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6"/>
        <w:pBdr/>
        <w:spacing w:after="200" w:afterAutospacing="0" w:before="0" w:beforeAutospacing="0" w:line="240" w:lineRule="auto"/>
        <w:ind/>
        <w:jc w:val="both"/>
        <w:rPr>
          <w:rFonts w:ascii="Times" w:hAnsi="Times" w:cs="Times"/>
          <w:b/>
          <w:bCs/>
          <w:color w:val="000000" w:themeColor="text1"/>
        </w:rPr>
      </w:pPr>
      <w:r>
        <w:rPr>
          <w:rFonts w:ascii="Times" w:hAnsi="Times" w:eastAsia="Times" w:cs="Times"/>
          <w:b/>
          <w:bCs/>
          <w:color w:val="000000" w:themeColor="text1"/>
          <w:lang w:val="en-US"/>
        </w:rPr>
        <w:t xml:space="preserve">Table S1</w:t>
      </w:r>
      <w:r>
        <w:rPr>
          <w:rFonts w:ascii="Times" w:hAnsi="Times" w:eastAsia="Times" w:cs="Times"/>
          <w:b/>
          <w:bCs/>
          <w:color w:val="000000" w:themeColor="text1"/>
          <w:lang w:val="en-US"/>
        </w:rPr>
        <w:t xml:space="preserve"> </w:t>
      </w:r>
      <w:r>
        <w:rPr>
          <w:rFonts w:ascii="Times" w:hAnsi="Times" w:eastAsia="Times" w:cs="Times"/>
          <w:color w:val="000000" w:themeColor="text1"/>
          <w:lang w:val="en-US"/>
        </w:rPr>
        <w:t xml:space="preserve">Seroprevalences of the study population stratified by vaccination and infection status, COVIDKID December 2020 - August 2022</w:t>
      </w:r>
      <w:r>
        <w:rPr>
          <w:rFonts w:ascii="Times" w:hAnsi="Times" w:cs="Times"/>
          <w:b/>
          <w:bCs/>
          <w:color w:val="000000" w:themeColor="text1"/>
        </w:rPr>
      </w:r>
      <w:r>
        <w:rPr>
          <w:rFonts w:ascii="Times" w:hAnsi="Times" w:cs="Times"/>
          <w:b/>
          <w:bCs/>
          <w:color w:val="000000" w:themeColor="text1"/>
        </w:rPr>
      </w:r>
    </w:p>
    <w:tbl>
      <w:tblPr>
        <w:tblStyle w:val="689"/>
        <w:tblW w:w="10206" w:type="dxa"/>
        <w:tblBorders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01"/>
        <w:gridCol w:w="567"/>
        <w:gridCol w:w="1701"/>
        <w:gridCol w:w="567"/>
        <w:gridCol w:w="1701"/>
        <w:gridCol w:w="850"/>
      </w:tblGrid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b w:val="0"/>
                <w:bCs/>
                <w:color w:val="000000" w:themeColor="text1"/>
                <w:sz w:val="21"/>
                <w:szCs w:val="20"/>
                <w:lang w:val="en-US"/>
              </w:rPr>
              <w:t xml:space="preserve"> </w:t>
            </w:r>
            <w:r>
              <w:rPr>
                <w:rFonts w:ascii="Times" w:hAnsi="Times" w:cs="Times"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1"/>
                <w:szCs w:val="20"/>
              </w:rPr>
            </w:r>
          </w:p>
        </w:tc>
        <w:tc>
          <w:tcPr>
            <w:gridSpan w:val="7"/>
            <w:tcBorders/>
            <w:tcW w:w="765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rFonts w:ascii="Times" w:hAnsi="Times" w:cs="Times"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bCs/>
                <w:color w:val="000000" w:themeColor="text1"/>
                <w:sz w:val="21"/>
                <w:szCs w:val="20"/>
                <w:lang w:val="en-US"/>
              </w:rPr>
              <w:t xml:space="preserve">Included children in Western Pomerania, Germany</w:t>
            </w:r>
            <w:r>
              <w:rPr>
                <w:rFonts w:ascii="Times" w:hAnsi="Times" w:cs="Times"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1"/>
                <w:szCs w:val="20"/>
              </w:rPr>
            </w:r>
          </w:p>
        </w:tc>
      </w:tr>
      <w:tr>
        <w:trPr>
          <w:trHeight w:val="748"/>
        </w:trPr>
        <w:tc>
          <w:tcPr>
            <w:tcBorders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1"/>
                <w:szCs w:val="20"/>
                <w:lang w:val="en-US"/>
              </w:rPr>
            </w:r>
            <w:r>
              <w:rPr>
                <w:rFonts w:ascii="Times" w:hAnsi="Times" w:cs="Times"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1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  <w:lang w:val="en-US"/>
              </w:rPr>
              <w:t xml:space="preserve">Vaccinated </w:t>
            </w: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  <w:lang w:val="en-US"/>
              </w:rPr>
              <w:br/>
            </w:r>
            <w:r>
              <w:rPr>
                <w:rFonts w:ascii="Times" w:hAnsi="Times" w:eastAsia="Times" w:cs="Times"/>
                <w:bCs/>
                <w:color w:val="000000" w:themeColor="text1"/>
                <w:sz w:val="21"/>
                <w:szCs w:val="20"/>
                <w:lang w:val="en-US"/>
              </w:rPr>
              <w:t xml:space="preserve">(with and without infection)</w:t>
            </w:r>
            <w:r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color w:val="000000" w:themeColor="text1"/>
                <w:sz w:val="21"/>
                <w:szCs w:val="20"/>
              </w:rPr>
              <w:t xml:space="preserve">N=</w:t>
            </w:r>
            <w:r>
              <w:rPr>
                <w:rFonts w:ascii="Times" w:hAnsi="Times" w:eastAsia="Times" w:cs="Times"/>
                <w:i/>
                <w:color w:val="000000" w:themeColor="text1"/>
                <w:sz w:val="21"/>
                <w:szCs w:val="20"/>
              </w:rPr>
              <w:t xml:space="preserve">134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</w:rPr>
              <w:t xml:space="preserve">Only</w:t>
            </w: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</w:rPr>
              <w:t xml:space="preserve">diagnosed</w:t>
            </w:r>
            <w:r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color w:val="000000" w:themeColor="text1"/>
                <w:sz w:val="21"/>
                <w:szCs w:val="20"/>
              </w:rPr>
              <w:t xml:space="preserve">N=</w:t>
            </w:r>
            <w:r>
              <w:rPr>
                <w:rFonts w:ascii="Times" w:hAnsi="Times" w:eastAsia="Times" w:cs="Times"/>
                <w:i/>
                <w:color w:val="000000" w:themeColor="text1"/>
                <w:sz w:val="21"/>
                <w:szCs w:val="20"/>
              </w:rPr>
              <w:t xml:space="preserve">162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Bdr/>
              <w:tabs>
                <w:tab w:val="center" w:leader="none" w:pos="784"/>
              </w:tabs>
              <w:spacing/>
              <w:ind/>
              <w:jc w:val="center"/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</w:rPr>
              <w:t xml:space="preserve">Unvaccinated</w:t>
            </w: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</w:rPr>
              <w:t xml:space="preserve"> and </w:t>
            </w:r>
            <w:r>
              <w:rPr>
                <w:rFonts w:ascii="Times" w:hAnsi="Times" w:eastAsia="Times" w:cs="Times"/>
                <w:b/>
                <w:bCs/>
                <w:color w:val="000000" w:themeColor="text1"/>
                <w:sz w:val="21"/>
                <w:szCs w:val="20"/>
              </w:rPr>
              <w:t xml:space="preserve">undiagnosed</w:t>
            </w:r>
            <w:r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/>
                <w:color w:val="000000" w:themeColor="text1"/>
                <w:sz w:val="21"/>
                <w:szCs w:val="20"/>
              </w:rPr>
            </w:r>
          </w:p>
          <w:p>
            <w:pPr>
              <w:pBdr/>
              <w:tabs>
                <w:tab w:val="center" w:leader="none" w:pos="784"/>
              </w:tabs>
              <w:spacing/>
              <w:ind/>
              <w:jc w:val="center"/>
              <w:rPr>
                <w:rFonts w:ascii="Times" w:hAnsi="Times" w:cs="Times"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color w:val="000000" w:themeColor="text1"/>
                <w:sz w:val="21"/>
                <w:szCs w:val="20"/>
              </w:rPr>
              <w:t xml:space="preserve">N=</w:t>
            </w:r>
            <w:r>
              <w:rPr>
                <w:rFonts w:ascii="Times" w:hAnsi="Times" w:eastAsia="Times" w:cs="Times"/>
                <w:i/>
                <w:color w:val="000000" w:themeColor="text1"/>
                <w:sz w:val="21"/>
                <w:szCs w:val="20"/>
              </w:rPr>
              <w:t xml:space="preserve">806</w:t>
            </w:r>
            <w:r>
              <w:rPr>
                <w:rFonts w:ascii="Times" w:hAnsi="Times" w:cs="Times"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i/>
                <w:color w:val="000000" w:themeColor="text1"/>
                <w:sz w:val="21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bCs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bCs/>
                <w:color w:val="000000" w:themeColor="text1"/>
                <w:sz w:val="21"/>
                <w:szCs w:val="20"/>
              </w:rPr>
              <w:t xml:space="preserve">Variable</w:t>
            </w:r>
            <w:r>
              <w:rPr>
                <w:rFonts w:ascii="Times" w:hAnsi="Times" w:cs="Times"/>
                <w:bCs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right"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N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Seroprevalence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right"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N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Seroprevalence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right"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N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Seroprevalence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pP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P-</w:t>
            </w:r>
            <w:r>
              <w:rPr>
                <w:rFonts w:ascii="Times" w:hAnsi="Times" w:eastAsia="Times" w:cs="Times"/>
                <w:i/>
                <w:iCs/>
                <w:color w:val="000000" w:themeColor="text1"/>
                <w:sz w:val="21"/>
                <w:szCs w:val="20"/>
              </w:rPr>
              <w:t xml:space="preserve">value</w:t>
            </w:r>
            <w:r>
              <w:rPr>
                <w:rFonts w:ascii="Times" w:hAnsi="Times" w:eastAsia="Times" w:cs="Times"/>
                <w:color w:val="000000" w:themeColor="text1"/>
                <w:sz w:val="21"/>
                <w:szCs w:val="20"/>
                <w:vertAlign w:val="superscript"/>
              </w:rPr>
              <w:t xml:space="preserve">a</w:t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  <w:r>
              <w:rPr>
                <w:rFonts w:ascii="Times" w:hAnsi="Times" w:cs="Times"/>
                <w:bCs/>
                <w:i/>
                <w:color w:val="000000" w:themeColor="text1"/>
                <w:sz w:val="21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Age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group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162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806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0.066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Children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under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5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&lt;5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years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1/2 (50.0%)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33/44 (75.0%)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18/220 (8.2%)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School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children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5-11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years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21/21 (100.0%)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48/77 (62.3%)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12/295 (4.1%)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Adolescents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12-17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years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104/111 (93.7%)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29/41 (70.7%)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11/291 (3.8%)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Sex,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162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806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0.75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Male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51/57 (89.5%)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57/82 (69.5%)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22/411 (5.4%)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Female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75/77 (97.4%)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53/80 (66.2%)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19/395 (4.8%)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Sampling at,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162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806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&lt;0.001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Alpha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waves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(10/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Dec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/20-19/Jun/21)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2/3 (66.7%)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6/11 (54.5%)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9/446 (2.0%)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Delta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waves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(20/Jun/21-05/Jan/22)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24/30 (80.0%)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17/20 (85.0%)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13/244 (5.3%)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Omicron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waves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(06/Jan/22-31/Aug/22)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100/101 (99.0%)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87/131 (66.4%)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19/116 (16.4%)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Day care facility,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757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0.25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Not in a day care facility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8/9 (88.9%)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5/8 (62.5%)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0/65 (0.0%)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Nursery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/Nanny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0/0 (NaN%)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15/18 (83.3%)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5/97 (5.2%)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Kindergarten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4/5 (80.0%)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25/34 (73.5%)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9/130 (6.9%)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  School with after-school care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4/4 (100.0%)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9/15 (60.0%)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2/56 (3.6%)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  School without after-school care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96/101 (95.0%)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47/77 (61.0%)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19/409 (4.6%)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Medication intake at sampling,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133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153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783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0.24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57/61 (93.4%)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52/68 (76.5%)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14/381 (3.7%)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68/72 (94.4%)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50/85 (58.8%)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23/402 (5.7%)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Chronic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diseases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782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0.048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chronic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diseases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76/82 (92.7%)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74/114 (64.9%)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26/568 (4.6%)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Chronic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diseases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except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respiratory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36/37 (97.3%)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20/31 (64.5%)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5/163 (3.1%)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Chronic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diseases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including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respiratory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11/12 (91.7%)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8/9 (88.9%)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6/51 (11.8%)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Smoking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parent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791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0.18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80/84 (95.2%)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69/102 (67.6%)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24/417 (5.8%)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43/47 (91.5%)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36/55 (65.5%)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13/374 (3.5%)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Child is smoking,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795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0.40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110/115 (95.7%)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101/150 (67.3%)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37/760 (4.9%)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Yes/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maybe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14/17 (82.4%)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4/7 (57.1%)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0/35 (0.0%)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Household member works in the healthcare system with patient contact (including nursing home, nursing service and others),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1016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1016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782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1016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1.0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36/37 (97.3%)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33/57 (57.9%)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11/242 (4.5%)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83/89 (93.3%)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71/99 (71.7%)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26/540 (4.8%)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Highest level of education of the household,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579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0.69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high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school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diploma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yet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) („(noch) kein Abschluss“)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13/13 (100.0%)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2/2 (100.0%)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2/28 (7.1%)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Secondary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school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(„Hauptschule“)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7/8 (87.5%)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8/9 (88.9%)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2/38 (5.3%)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  Junior high school (“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Mittlere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Reife”)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36/38 (94.7%)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36/57 (63.2%)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15/250 (6.0%)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University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entrance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qualification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(„Hochschulreife“)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26/27 (96.3%)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31/40 (77.5%)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5/120 (4.2%)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Academic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degree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(„Hochschulabschluss“)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33/36 (91.7%)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25/43 (58.1%)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12/143 (8.4%)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Number of household members,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771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0.29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1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or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13/14 (92.9%)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5/10 (50.0%)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2/51 (3.9%)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3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27/29 (93.1%)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20/31 (64.5%)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12/227 (5.3%)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43/46 (93.5%)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46/68 (67.6%)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11/313 (3.5%)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5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20/20 (100.0%)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23/34 (67.6%)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4/106 (3.8%)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6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or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more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12/13 (92.3%)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10/13 (76.9%)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7/74 (9.5%)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A small child (&lt;5 years) belongs to the household or is one of the very close contacts of the household community,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68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83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586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0.27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57/61 (93.4%)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44/64 (68.8%)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16/444 (3.6%)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6/7 (85.7%)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11/19 (57.9%)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2/142 (1.4%)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A senior (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≥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60 years) belongs to the household or is one of the very close contacts of the household community,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68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83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586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0.23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31/33 (93.9%)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26/41 (63.4%)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8/342 (2.3%)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32/35 (91.4%)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29/42 (69.0%)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10/244 (4.1%)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Animals/pets in the household,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128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774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0.29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44/47 (93.6%)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33/52 (63.5%)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11/327 (3.4%)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61/65 (93.8%)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51/76 (67.1%)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23/447 (5.1%)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Travelled beyond the district during the past 6 months,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131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796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0.12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46/49 (93.9%)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48/75 (64.0%)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18/484 (3.7%)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78/82 (95.1%)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57/82 (69.5%)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19/312 (6.1%)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Burdens of the respondent parent considered to be the most serious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Job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insecurity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594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0.17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106/113 (93.8%)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85/125 (68.0%)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32/456 (7.0%)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16/16 (100.0%)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20/29 (69.0%)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5/138 (3.6%)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Fear of their own illness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594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0.57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92/98 (93.9%)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86/126 (68.3%)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29/433 (6.7%)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30/31 (96.8%)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19/28 (67.9%)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8/161 (5.0%)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Fear of illness in close relatives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  <w:lang w:val="en-US"/>
              </w:rPr>
              <w:t xml:space="preserve">, n/N (%)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129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594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0.39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No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61/63 (96.8%)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62/90 (68.9%)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24/338 (7.1%)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b w:val="0"/>
                <w:color w:val="000000" w:themeColor="text1"/>
                <w:sz w:val="20"/>
                <w:szCs w:val="20"/>
              </w:rPr>
              <w:t xml:space="preserve">      Yes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61/66 (92.4%)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43/64 (67.2%)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/>
                <w:sz w:val="20"/>
                <w:szCs w:val="20"/>
              </w:rPr>
              <w:t xml:space="preserve">13/256 (5.1%)</w:t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eastAsia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  <w:r>
              <w:rPr>
                <w:rFonts w:ascii="Times" w:hAnsi="Times" w:cs="Times"/>
                <w:sz w:val="20"/>
                <w:szCs w:val="20"/>
              </w:rPr>
            </w:r>
          </w:p>
        </w:tc>
      </w:tr>
    </w:tbl>
    <w:p>
      <w:pPr>
        <w:pBdr/>
        <w:spacing w:line="480" w:lineRule="auto"/>
        <w:ind/>
        <w:rPr>
          <w:rFonts w:ascii="Times" w:hAnsi="Times" w:cs="Times"/>
          <w:color w:val="000000" w:themeColor="text1"/>
          <w:sz w:val="20"/>
          <w:szCs w:val="24"/>
        </w:rPr>
      </w:pPr>
      <w:r>
        <w:rPr>
          <w:rFonts w:ascii="Times" w:hAnsi="Times" w:eastAsia="Times" w:cs="Times"/>
          <w:color w:val="000000" w:themeColor="text1"/>
          <w:sz w:val="20"/>
          <w:szCs w:val="24"/>
          <w:vertAlign w:val="superscript"/>
          <w:lang w:val="en-US"/>
        </w:rPr>
        <w:t xml:space="preserve">a</w:t>
      </w:r>
      <w:r>
        <w:rPr>
          <w:rFonts w:ascii="Times" w:hAnsi="Times" w:eastAsia="Times" w:cs="Times"/>
          <w:color w:val="000000" w:themeColor="text1"/>
          <w:sz w:val="20"/>
          <w:szCs w:val="24"/>
          <w:lang w:val="en-US"/>
        </w:rPr>
        <w:t xml:space="preserve"> </w:t>
      </w:r>
      <w:r>
        <w:rPr>
          <w:rFonts w:ascii="Times" w:hAnsi="Times" w:eastAsia="Times" w:cs="Times"/>
          <w:color w:val="000000" w:themeColor="text1"/>
          <w:sz w:val="20"/>
          <w:szCs w:val="24"/>
          <w:lang w:val="en-US"/>
        </w:rPr>
        <w:t xml:space="preserve">Fisher‘</w:t>
      </w:r>
      <w:r>
        <w:rPr>
          <w:rFonts w:ascii="Times" w:hAnsi="Times" w:eastAsia="Times" w:cs="Times"/>
          <w:color w:val="000000" w:themeColor="text1"/>
          <w:sz w:val="20"/>
          <w:szCs w:val="24"/>
          <w:lang w:val="en-US"/>
        </w:rPr>
        <w:t xml:space="preserve">s exact test for testing counts of unvaccinated and undiagnosed children</w:t>
      </w:r>
      <w:r>
        <w:rPr>
          <w:rFonts w:ascii="Times" w:hAnsi="Times" w:cs="Times"/>
          <w:color w:val="000000" w:themeColor="text1"/>
          <w:sz w:val="20"/>
          <w:szCs w:val="24"/>
        </w:rPr>
      </w:r>
      <w:r>
        <w:rPr>
          <w:rFonts w:ascii="Times" w:hAnsi="Times" w:cs="Times"/>
          <w:color w:val="000000" w:themeColor="text1"/>
          <w:sz w:val="20"/>
          <w:szCs w:val="24"/>
        </w:rPr>
      </w:r>
    </w:p>
    <w:p>
      <w:pPr>
        <w:pBdr/>
        <w:spacing/>
        <w:ind/>
        <w:rPr>
          <w:rFonts w:ascii="Times" w:hAnsi="Times" w:cs="Times"/>
        </w:rPr>
      </w:pPr>
      <w:r>
        <w:rPr>
          <w:rFonts w:ascii="Times" w:hAnsi="Times" w:eastAsia="Times" w:cs="Times"/>
        </w:rPr>
      </w:r>
      <w:r>
        <w:rPr>
          <w:rFonts w:ascii="Times" w:hAnsi="Times" w:cs="Times"/>
        </w:rPr>
      </w:r>
      <w:r>
        <w:rPr>
          <w:rFonts w:ascii="Times" w:hAnsi="Times" w:cs="Times"/>
        </w:rPr>
      </w:r>
    </w:p>
    <w:sectPr>
      <w:footnotePr/>
      <w:endnotePr/>
      <w:type w:val="nextPage"/>
      <w:pgSz w:h="16838" w:orient="portrait" w:w="11906"/>
      <w:pgMar w:top="1134" w:right="850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  <w:style w:type="paragraph" w:styleId="836" w:customStyle="1">
    <w:name w:val="docdata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de-DE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Marcus Vollmer</cp:lastModifiedBy>
  <cp:revision>5</cp:revision>
  <dcterms:modified xsi:type="dcterms:W3CDTF">2024-08-26T13:25:40Z</dcterms:modified>
</cp:coreProperties>
</file>