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Supplemental Table 1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</w:rPr>
        <w:t>. Study population characteristics.</w:t>
      </w:r>
    </w:p>
    <w:tbl>
      <w:tblPr>
        <w:tblStyle w:val="2"/>
        <w:tblW w:w="55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6"/>
        <w:gridCol w:w="1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  <w:t>Variables</w:t>
            </w:r>
          </w:p>
        </w:tc>
        <w:tc>
          <w:tcPr>
            <w:tcW w:w="137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231F2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231F20"/>
                <w:kern w:val="0"/>
                <w:sz w:val="21"/>
                <w:szCs w:val="21"/>
              </w:rPr>
              <w:t>Age, n (%)</w:t>
            </w:r>
          </w:p>
        </w:tc>
        <w:tc>
          <w:tcPr>
            <w:tcW w:w="137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231F2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231F2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231F20"/>
                <w:kern w:val="0"/>
                <w:sz w:val="21"/>
                <w:szCs w:val="21"/>
              </w:rPr>
              <w:t xml:space="preserve">     &lt;65 years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267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75%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≥65 years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25%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231F2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231F20"/>
                <w:kern w:val="0"/>
                <w:sz w:val="21"/>
                <w:szCs w:val="21"/>
              </w:rPr>
              <w:t>Sex, n (%)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231F2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Male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223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63%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Female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132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37%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231F2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231F20"/>
                <w:kern w:val="0"/>
                <w:sz w:val="21"/>
                <w:szCs w:val="21"/>
              </w:rPr>
              <w:t>MM subtype, n (%)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231F2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 IgG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212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60%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IgA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25%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Light chain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 xml:space="preserve">     a 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Others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  <w:t>DS stage, n (%)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I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23%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II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24%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III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188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53%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  <w:t>ISS, n (%)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1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28%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22%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3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176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50%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  <w:noBreakHyphen/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  <w:t>ISS, n (%)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1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97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27%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213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60%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3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13%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  <w:t>IMWG risk stratification, n (%)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Low risk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25%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Moderate risk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241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68%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High risk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  <w:t>Number of Bone lesions, n (%)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None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23%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1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≥2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247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70%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  <w:t>Plasma cells in bone marrow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 ＜10%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160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≥10%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195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  <w:t>EMD, n (%)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No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325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92%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Yes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vertAlign w:val="superscript"/>
              </w:rPr>
              <w:t>b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  <w:t>Use of bortezomib, n (%)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248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70%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vertAlign w:val="superscript"/>
              </w:rPr>
              <w:t>b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  <w:t>Use of thalidomide, n (%)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99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28%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vertAlign w:val="superscript"/>
              </w:rPr>
              <w:t>b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  <w:t>Use of lenalidomide, n (%)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175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49%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vertAlign w:val="superscript"/>
              </w:rPr>
              <w:t>b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  <w:t>ASCT, n (%)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17%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  <w:t>Baseline laboratory parameters, n (%)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β2 _x005f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noBreakHyphen/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microglobulin ≥3.5 mg/l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230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65%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Hemoglobin &lt;100 g/l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214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60%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1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 Platelets &lt;100x10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9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/l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11%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Albumin &lt;35 g/l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160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45%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Alkaline phosphatase &gt;185 IU/l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 Lactate dehydrogenase &gt;245 IU/l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15%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Serum creatinine ≥177 µmol/l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59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17%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Serum calcium &gt;2.65 mmol/l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10%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C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noBreakHyphen/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reactive protein &gt;5 mg/l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140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39%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vertAlign w:val="superscript"/>
              </w:rPr>
              <w:t>b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  <w:t>HBV reactivation, n (%)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No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322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91%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 xml:space="preserve">     Yes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33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9%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1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</w:rPr>
              <w:t>Died, n (%)</w:t>
            </w:r>
          </w:p>
        </w:tc>
        <w:tc>
          <w:tcPr>
            <w:tcW w:w="137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89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</w:rPr>
              <w:t>25%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 xml:space="preserve">Others include IgM, IgD, IgE and non-secretory myeloma. </w:t>
      </w:r>
      <w:r>
        <w:rPr>
          <w:rFonts w:ascii="Times New Roman" w:hAnsi="Times New Roman" w:cs="Times New Roman"/>
          <w:vertAlign w:val="superscript"/>
        </w:rPr>
        <w:t xml:space="preserve">b </w:t>
      </w:r>
      <w:r>
        <w:rPr>
          <w:rFonts w:ascii="Times New Roman" w:hAnsi="Times New Roman" w:cs="Times New Roman"/>
        </w:rPr>
        <w:t>Before the first progression. MM, multiple myeloma; Ig, immunoglobulin; DS, Durie-Salmon; ISS, International Staging System; R-ISS, Revised-International Staging System; IMWG, International Myeloma Working Group; EMD, extramedullary disease; HBV, hepatitis B virus; ASCT, autologous stem cell transplantation.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0NjgyMmNmNmRlNTY4MmM0NzRmZmM0OWRjNDNiMzUifQ=="/>
  </w:docVars>
  <w:rsids>
    <w:rsidRoot w:val="008843EB"/>
    <w:rsid w:val="008843EB"/>
    <w:rsid w:val="00D70B55"/>
    <w:rsid w:val="249243AD"/>
    <w:rsid w:val="5EE81DAF"/>
    <w:rsid w:val="6C6C71CC"/>
    <w:rsid w:val="6C82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121"/>
    <w:basedOn w:val="3"/>
    <w:autoRedefine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6">
    <w:name w:val="font01"/>
    <w:basedOn w:val="3"/>
    <w:uiPriority w:val="0"/>
    <w:rPr>
      <w:rFonts w:hint="eastAsia" w:ascii="等线" w:hAnsi="等线" w:eastAsia="等线"/>
      <w:color w:val="000000"/>
      <w:sz w:val="22"/>
      <w:szCs w:val="22"/>
      <w:u w:val="none"/>
    </w:rPr>
  </w:style>
  <w:style w:type="character" w:customStyle="1" w:styleId="7">
    <w:name w:val="font81"/>
    <w:basedOn w:val="3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8">
    <w:name w:val="font4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16"/>
    <w:basedOn w:val="3"/>
    <w:uiPriority w:val="0"/>
    <w:rPr>
      <w:rFonts w:hint="default" w:ascii="Times" w:hAnsi="Times"/>
      <w:color w:val="000000"/>
      <w:sz w:val="22"/>
      <w:szCs w:val="22"/>
      <w:u w:val="none"/>
    </w:rPr>
  </w:style>
  <w:style w:type="character" w:customStyle="1" w:styleId="10">
    <w:name w:val="font91"/>
    <w:basedOn w:val="3"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1">
    <w:name w:val="font101"/>
    <w:basedOn w:val="3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  <w:vertAlign w:val="superscript"/>
    </w:rPr>
  </w:style>
  <w:style w:type="character" w:customStyle="1" w:styleId="12">
    <w:name w:val="font61"/>
    <w:basedOn w:val="3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3">
    <w:name w:val="font151"/>
    <w:basedOn w:val="3"/>
    <w:autoRedefine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4">
    <w:name w:val="font141"/>
    <w:basedOn w:val="3"/>
    <w:autoRedefine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15">
    <w:name w:val="font111"/>
    <w:basedOn w:val="3"/>
    <w:autoRedefine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  <w:vertAlign w:val="superscript"/>
    </w:rPr>
  </w:style>
  <w:style w:type="character" w:customStyle="1" w:styleId="16">
    <w:name w:val="font21"/>
    <w:basedOn w:val="3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1279</Characters>
  <Lines>12</Lines>
  <Paragraphs>3</Paragraphs>
  <TotalTime>1</TotalTime>
  <ScaleCrop>false</ScaleCrop>
  <LinksUpToDate>false</LinksUpToDate>
  <CharactersWithSpaces>1598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2023-07-25T08:41:00Z</dcterms:created>
  <dc:creator>l wr</dc:creator>
  <cp:lastModifiedBy>大花</cp:lastModifiedBy>
  <dcterms:modified xsi:type="dcterms:W3CDTF">2024-04-17T13:31:15Z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0061B4748B344205AC48590E601E5FDD_12</vt:lpwstr>
  </property>
</Properties>
</file>