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84"/>
        <w:gridCol w:w="1030"/>
        <w:gridCol w:w="1030"/>
        <w:gridCol w:w="1215"/>
        <w:gridCol w:w="1030"/>
        <w:gridCol w:w="1030"/>
        <w:gridCol w:w="1030"/>
        <w:gridCol w:w="1030"/>
      </w:tblGrid>
      <w:tr w:rsidR="001A0173" w:rsidTr="001A0173">
        <w:trPr>
          <w:cantSplit/>
        </w:trPr>
        <w:tc>
          <w:tcPr>
            <w:tcW w:w="891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010205"/>
                <w:sz w:val="22"/>
                <w:szCs w:val="24"/>
              </w:rPr>
            </w:pPr>
            <w:r w:rsidRPr="005D15D5">
              <w:rPr>
                <w:b/>
                <w:color w:val="010205"/>
                <w:sz w:val="22"/>
                <w:szCs w:val="24"/>
                <w:vertAlign w:val="superscript"/>
              </w:rPr>
              <w:t xml:space="preserve">coefficient </w:t>
            </w:r>
          </w:p>
        </w:tc>
      </w:tr>
      <w:tr w:rsidR="001A0173" w:rsidTr="001A0173">
        <w:trPr>
          <w:cantSplit/>
        </w:trPr>
        <w:tc>
          <w:tcPr>
            <w:tcW w:w="1521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rPr>
                <w:rFonts w:hint="eastAsia"/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M</w:t>
            </w:r>
            <w:r>
              <w:rPr>
                <w:rFonts w:hint="eastAsia"/>
                <w:color w:val="264A60"/>
                <w:sz w:val="18"/>
                <w:szCs w:val="24"/>
              </w:rPr>
              <w:t>odels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rFonts w:hint="eastAsia"/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Unstandardized Coefficients</w:t>
            </w:r>
          </w:p>
        </w:tc>
        <w:tc>
          <w:tcPr>
            <w:tcW w:w="121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S</w:t>
            </w:r>
            <w:r w:rsidRPr="005D15D5">
              <w:rPr>
                <w:color w:val="264A60"/>
                <w:sz w:val="18"/>
                <w:szCs w:val="24"/>
              </w:rPr>
              <w:t xml:space="preserve">tandardized </w:t>
            </w:r>
            <w:r>
              <w:rPr>
                <w:color w:val="264A60"/>
                <w:sz w:val="18"/>
                <w:szCs w:val="24"/>
              </w:rPr>
              <w:t>C</w:t>
            </w:r>
            <w:r w:rsidRPr="005D15D5">
              <w:rPr>
                <w:color w:val="264A60"/>
                <w:sz w:val="18"/>
                <w:szCs w:val="24"/>
              </w:rPr>
              <w:t>oefficient</w:t>
            </w:r>
            <w:r>
              <w:rPr>
                <w:color w:val="264A60"/>
                <w:sz w:val="18"/>
                <w:szCs w:val="24"/>
              </w:rPr>
              <w:t>s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t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Sig.</w:t>
            </w:r>
          </w:p>
        </w:tc>
        <w:tc>
          <w:tcPr>
            <w:tcW w:w="2060" w:type="dxa"/>
            <w:gridSpan w:val="2"/>
            <w:tcBorders>
              <w:top w:val="nil"/>
              <w:left w:val="single" w:sz="8" w:space="0" w:color="E0E0E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 w:rsidRPr="005D15D5">
              <w:rPr>
                <w:color w:val="264A60"/>
                <w:sz w:val="18"/>
                <w:szCs w:val="24"/>
              </w:rPr>
              <w:t>Collinearity</w:t>
            </w:r>
            <w:r>
              <w:rPr>
                <w:color w:val="264A60"/>
                <w:sz w:val="18"/>
                <w:szCs w:val="24"/>
              </w:rPr>
              <w:t xml:space="preserve"> statistics</w:t>
            </w:r>
          </w:p>
        </w:tc>
      </w:tr>
      <w:tr w:rsidR="001A0173" w:rsidTr="001A0173">
        <w:trPr>
          <w:cantSplit/>
        </w:trPr>
        <w:tc>
          <w:tcPr>
            <w:tcW w:w="1521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rPr>
                <w:color w:val="264A60"/>
                <w:sz w:val="18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B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rFonts w:hint="eastAsia"/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Std. Error</w:t>
            </w:r>
          </w:p>
        </w:tc>
        <w:tc>
          <w:tcPr>
            <w:tcW w:w="12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Beta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rPr>
                <w:color w:val="264A60"/>
                <w:sz w:val="18"/>
                <w:szCs w:val="24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rPr>
                <w:color w:val="264A60"/>
                <w:sz w:val="18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rFonts w:hint="eastAsia"/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Tolerance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1A0173" w:rsidRDefault="001A0173" w:rsidP="00DB7C99">
            <w:pPr>
              <w:spacing w:line="320" w:lineRule="atLeast"/>
              <w:ind w:left="60" w:right="60"/>
              <w:jc w:val="center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VIF</w:t>
            </w:r>
          </w:p>
        </w:tc>
      </w:tr>
      <w:tr w:rsidR="001A0173" w:rsidTr="001A0173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spacing w:line="320" w:lineRule="atLeast"/>
              <w:ind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(</w:t>
            </w:r>
            <w:r w:rsidRPr="005D15D5">
              <w:rPr>
                <w:color w:val="264A60"/>
                <w:sz w:val="18"/>
                <w:szCs w:val="24"/>
              </w:rPr>
              <w:t>constant</w:t>
            </w:r>
            <w:r>
              <w:rPr>
                <w:color w:val="264A60"/>
                <w:sz w:val="18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.863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.146</w:t>
            </w:r>
          </w:p>
        </w:tc>
        <w:tc>
          <w:tcPr>
            <w:tcW w:w="12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  <w:vAlign w:val="center"/>
          </w:tcPr>
          <w:p w:rsidR="001A0173" w:rsidRDefault="001A0173" w:rsidP="00DB7C99">
            <w:pPr>
              <w:rPr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5.901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  <w:vAlign w:val="center"/>
          </w:tcPr>
          <w:p w:rsidR="001A0173" w:rsidRDefault="001A0173" w:rsidP="00DB7C99">
            <w:pPr>
              <w:rPr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1A0173" w:rsidRDefault="001A0173" w:rsidP="00DB7C99">
            <w:pPr>
              <w:rPr>
                <w:szCs w:val="24"/>
              </w:rPr>
            </w:pPr>
          </w:p>
        </w:tc>
      </w:tr>
      <w:tr w:rsidR="001A0173" w:rsidTr="001A017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rPr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BUN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.010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.008</w:t>
            </w:r>
          </w:p>
        </w:tc>
        <w:tc>
          <w:tcPr>
            <w:tcW w:w="12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.119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1.335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.184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.314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3.180</w:t>
            </w:r>
          </w:p>
        </w:tc>
      </w:tr>
      <w:tr w:rsidR="001A0173" w:rsidTr="001A017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rPr>
                <w:color w:val="010205"/>
                <w:sz w:val="1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CR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.000</w:t>
            </w:r>
          </w:p>
        </w:tc>
        <w:tc>
          <w:tcPr>
            <w:tcW w:w="12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-.026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-.284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.776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.308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3.250</w:t>
            </w:r>
          </w:p>
        </w:tc>
      </w:tr>
      <w:tr w:rsidR="001A0173" w:rsidTr="001A017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rPr>
                <w:color w:val="010205"/>
                <w:sz w:val="1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UA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.000</w:t>
            </w:r>
          </w:p>
        </w:tc>
        <w:tc>
          <w:tcPr>
            <w:tcW w:w="12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.143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2.506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.013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.778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1.286</w:t>
            </w:r>
          </w:p>
        </w:tc>
      </w:tr>
      <w:tr w:rsidR="001A0173" w:rsidTr="001A0173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rPr>
                <w:color w:val="010205"/>
                <w:sz w:val="1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1A0173" w:rsidRDefault="001A0173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GFR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-.008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.001</w:t>
            </w:r>
          </w:p>
        </w:tc>
        <w:tc>
          <w:tcPr>
            <w:tcW w:w="12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-.580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-8.327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.520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1.925</w:t>
            </w:r>
          </w:p>
        </w:tc>
      </w:tr>
      <w:tr w:rsidR="001A0173" w:rsidTr="001A0173">
        <w:trPr>
          <w:cantSplit/>
        </w:trPr>
        <w:tc>
          <w:tcPr>
            <w:tcW w:w="891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1A0173" w:rsidRDefault="001A0173" w:rsidP="00DB7C99">
            <w:pPr>
              <w:spacing w:line="320" w:lineRule="atLeast"/>
              <w:ind w:left="60" w:right="60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 xml:space="preserve">a. </w:t>
            </w:r>
            <w:r>
              <w:rPr>
                <w:rFonts w:hint="eastAsia"/>
                <w:color w:val="010205"/>
                <w:sz w:val="18"/>
                <w:szCs w:val="24"/>
              </w:rPr>
              <w:t>D</w:t>
            </w:r>
            <w:r>
              <w:rPr>
                <w:color w:val="010205"/>
                <w:sz w:val="18"/>
                <w:szCs w:val="24"/>
              </w:rPr>
              <w:t>ependent variable</w:t>
            </w:r>
            <w:r>
              <w:rPr>
                <w:color w:val="010205"/>
                <w:sz w:val="18"/>
                <w:szCs w:val="24"/>
              </w:rPr>
              <w:t>：</w:t>
            </w:r>
            <w:r>
              <w:rPr>
                <w:color w:val="010205"/>
                <w:sz w:val="18"/>
                <w:szCs w:val="24"/>
              </w:rPr>
              <w:t>DKD</w:t>
            </w:r>
          </w:p>
        </w:tc>
      </w:tr>
    </w:tbl>
    <w:p w:rsidR="00E17781" w:rsidRPr="001A0173" w:rsidRDefault="001A0173">
      <w:r>
        <w:rPr>
          <w:color w:val="000000" w:themeColor="text1"/>
          <w:szCs w:val="24"/>
        </w:rPr>
        <w:t>C</w:t>
      </w:r>
      <w:r w:rsidRPr="00906322">
        <w:rPr>
          <w:color w:val="000000" w:themeColor="text1"/>
          <w:szCs w:val="24"/>
        </w:rPr>
        <w:t>ollinearity statistics among codependent variables (uric acid, creatinine, eGFR and blood urea nitrogen)</w:t>
      </w:r>
      <w:r>
        <w:rPr>
          <w:color w:val="000000" w:themeColor="text1"/>
          <w:szCs w:val="24"/>
        </w:rPr>
        <w:t>. According to the results</w:t>
      </w:r>
      <w:r w:rsidRPr="00906322">
        <w:rPr>
          <w:color w:val="000000" w:themeColor="text1"/>
          <w:szCs w:val="24"/>
        </w:rPr>
        <w:t>,</w:t>
      </w:r>
      <w:r w:rsidRPr="00906322">
        <w:rPr>
          <w:color w:val="000000" w:themeColor="text1"/>
        </w:rPr>
        <w:t xml:space="preserve"> </w:t>
      </w:r>
      <w:r w:rsidRPr="00906322">
        <w:rPr>
          <w:color w:val="000000" w:themeColor="text1"/>
          <w:szCs w:val="24"/>
        </w:rPr>
        <w:t>with VIF &lt; 5, it can be assumed that there is no collinearity between these variables.</w:t>
      </w:r>
      <w:bookmarkStart w:id="0" w:name="_GoBack"/>
      <w:bookmarkEnd w:id="0"/>
    </w:p>
    <w:sectPr w:rsidR="00E17781" w:rsidRPr="001A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41" w:rsidRDefault="00D96641" w:rsidP="001A0173">
      <w:r>
        <w:separator/>
      </w:r>
    </w:p>
  </w:endnote>
  <w:endnote w:type="continuationSeparator" w:id="0">
    <w:p w:rsidR="00D96641" w:rsidRDefault="00D96641" w:rsidP="001A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41" w:rsidRDefault="00D96641" w:rsidP="001A0173">
      <w:r>
        <w:separator/>
      </w:r>
    </w:p>
  </w:footnote>
  <w:footnote w:type="continuationSeparator" w:id="0">
    <w:p w:rsidR="00D96641" w:rsidRDefault="00D96641" w:rsidP="001A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0"/>
    <w:rsid w:val="001A0173"/>
    <w:rsid w:val="00777690"/>
    <w:rsid w:val="00D96641"/>
    <w:rsid w:val="00E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4241B"/>
  <w15:chartTrackingRefBased/>
  <w15:docId w15:val="{0DF3035E-53B0-4B72-8163-6C5B88B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Segoe UI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1A0173"/>
    <w:rPr>
      <w:sz w:val="18"/>
    </w:rPr>
  </w:style>
  <w:style w:type="paragraph" w:styleId="a5">
    <w:name w:val="footer"/>
    <w:basedOn w:val="a"/>
    <w:link w:val="a6"/>
    <w:uiPriority w:val="99"/>
    <w:unhideWhenUsed/>
    <w:rsid w:val="001A01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1A01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2024-09-03T12:55:00Z</dcterms:created>
  <dcterms:modified xsi:type="dcterms:W3CDTF">2024-09-03T12:57:00Z</dcterms:modified>
</cp:coreProperties>
</file>