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584B">
      <w:pPr>
        <w:widowControl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Calculation formula for chlorophyll a and b</w:t>
      </w:r>
    </w:p>
    <w:p w14:paraId="42E243A6">
      <w:pPr>
        <w:widowControl/>
        <w:numPr>
          <w:ilvl w:val="-1"/>
          <w:numId w:val="0"/>
        </w:numPr>
        <w:spacing w:line="360" w:lineRule="auto"/>
        <w:ind w:firstLine="630" w:firstLineChars="30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Chlorophyll a content (mg/g)=(12.27 * A663-2.59 * A645) * Vs/1000w</w:t>
      </w:r>
    </w:p>
    <w:p w14:paraId="0A0B7965">
      <w:pPr>
        <w:widowControl/>
        <w:numPr>
          <w:ilvl w:val="-1"/>
          <w:numId w:val="0"/>
        </w:numPr>
        <w:spacing w:line="360" w:lineRule="auto"/>
        <w:ind w:firstLine="630" w:firstLineChars="30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Chlorophyll b content (mg/g)=(22.88 * A645-4.67 * A663) * Vs/1000w</w:t>
      </w:r>
    </w:p>
    <w:p w14:paraId="7A7932CC">
      <w:pPr>
        <w:widowControl/>
        <w:numPr>
          <w:ilvl w:val="-1"/>
          <w:numId w:val="0"/>
        </w:numPr>
        <w:spacing w:line="360" w:lineRule="auto"/>
        <w:ind w:firstLine="630" w:firstLineChars="30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Vs - total volume of extraction solution, ml;</w:t>
      </w:r>
    </w:p>
    <w:p w14:paraId="5F893EDF">
      <w:pPr>
        <w:widowControl/>
        <w:numPr>
          <w:ilvl w:val="-1"/>
          <w:numId w:val="0"/>
        </w:numPr>
        <w:spacing w:line="360" w:lineRule="auto"/>
        <w:ind w:firstLine="630" w:firstLineChars="30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W - Quality of fresh licorice leaves, g.</w:t>
      </w:r>
    </w:p>
    <w:p w14:paraId="261DC339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p w14:paraId="6132FAB0">
      <w:pPr>
        <w:pStyle w:val="5"/>
        <w:numPr>
          <w:ilvl w:val="0"/>
          <w:numId w:val="3"/>
        </w:numPr>
        <w:bidi w:val="0"/>
        <w:ind w:leftChars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bookmarkStart w:id="0" w:name="_Toc639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Specific methods and parameters for HPLC determination of medicinal ingredients</w:t>
      </w:r>
    </w:p>
    <w:bookmarkEnd w:id="0"/>
    <w:p w14:paraId="2F533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The dried roots of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kern w:val="0"/>
          <w:szCs w:val="21"/>
        </w:rPr>
        <w:t>Glycyrrhiza uralensis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were crushed, passed through a 40 mesh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sieve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and weighed and set aside. The contents of glycyrrhizic acid, glycyrrh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et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ic acid,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Lsoliquirtigenin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Lsoliquirtin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Glabridin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Liquirtigenin,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and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Liquirtin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were determined using an ACQUITY UPLC ultra-high-performance liquid chromatograph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(U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PLC), a triple quadruple quadrupole tandem mass spectrometer (XEVO TQ-S), and a MassLynx workstation (Waters Corporation, USA). The chromatographic column was a Waters ACQUITY UPLC BEH 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18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column (50 mm × 2.1 mm, 1.7 μm)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. T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he optimized mobile phases were A (0.1% formic acid-water), B (acetonitrile) at a flow rate of 0.3 mL/min, the column temperature: 40 ℃, the injection volume of 1 μL, and the gradient elution in the order of:</w:t>
      </w:r>
    </w:p>
    <w:p w14:paraId="4B534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Table1 Gradient elution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23"/>
        <w:gridCol w:w="2323"/>
        <w:gridCol w:w="1785"/>
      </w:tblGrid>
      <w:tr w14:paraId="1667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 w14:paraId="23AF4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Time (min)</w:t>
            </w:r>
          </w:p>
        </w:tc>
        <w:tc>
          <w:tcPr>
            <w:tcW w:w="2123" w:type="dxa"/>
            <w:tcBorders>
              <w:top w:val="single" w:color="auto" w:sz="12" w:space="0"/>
              <w:bottom w:val="single" w:color="auto" w:sz="4" w:space="0"/>
            </w:tcBorders>
          </w:tcPr>
          <w:p w14:paraId="7055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Flow rate (mL/min)</w:t>
            </w:r>
          </w:p>
        </w:tc>
        <w:tc>
          <w:tcPr>
            <w:tcW w:w="2323" w:type="dxa"/>
            <w:tcBorders>
              <w:top w:val="single" w:color="auto" w:sz="12" w:space="0"/>
              <w:bottom w:val="single" w:color="auto" w:sz="4" w:space="0"/>
            </w:tcBorders>
          </w:tcPr>
          <w:p w14:paraId="387B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0.1% formic acid-water (%)</w:t>
            </w:r>
          </w:p>
        </w:tc>
        <w:tc>
          <w:tcPr>
            <w:tcW w:w="1785" w:type="dxa"/>
            <w:tcBorders>
              <w:top w:val="single" w:color="auto" w:sz="12" w:space="0"/>
              <w:bottom w:val="single" w:color="auto" w:sz="4" w:space="0"/>
              <w:right w:val="nil"/>
            </w:tcBorders>
          </w:tcPr>
          <w:p w14:paraId="3B6B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Acetonitrile (%)</w:t>
            </w:r>
          </w:p>
        </w:tc>
      </w:tr>
      <w:tr w14:paraId="592E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top w:val="single" w:color="auto" w:sz="4" w:space="0"/>
              <w:left w:val="nil"/>
            </w:tcBorders>
          </w:tcPr>
          <w:p w14:paraId="1C7E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2123" w:type="dxa"/>
            <w:tcBorders>
              <w:top w:val="single" w:color="auto" w:sz="4" w:space="0"/>
            </w:tcBorders>
          </w:tcPr>
          <w:p w14:paraId="53A9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  <w:tcBorders>
              <w:top w:val="single" w:color="auto" w:sz="4" w:space="0"/>
            </w:tcBorders>
          </w:tcPr>
          <w:p w14:paraId="010B8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785" w:type="dxa"/>
            <w:tcBorders>
              <w:top w:val="single" w:color="auto" w:sz="4" w:space="0"/>
              <w:right w:val="nil"/>
            </w:tcBorders>
          </w:tcPr>
          <w:p w14:paraId="0244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4C16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left w:val="nil"/>
            </w:tcBorders>
          </w:tcPr>
          <w:p w14:paraId="183D6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1.0</w:t>
            </w:r>
          </w:p>
        </w:tc>
        <w:tc>
          <w:tcPr>
            <w:tcW w:w="2123" w:type="dxa"/>
          </w:tcPr>
          <w:p w14:paraId="6255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</w:tcPr>
          <w:p w14:paraId="1506A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785" w:type="dxa"/>
            <w:tcBorders>
              <w:right w:val="nil"/>
            </w:tcBorders>
          </w:tcPr>
          <w:p w14:paraId="49AE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35CC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left w:val="nil"/>
            </w:tcBorders>
          </w:tcPr>
          <w:p w14:paraId="3243D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1.5</w:t>
            </w:r>
          </w:p>
        </w:tc>
        <w:tc>
          <w:tcPr>
            <w:tcW w:w="2123" w:type="dxa"/>
          </w:tcPr>
          <w:p w14:paraId="2942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</w:tcPr>
          <w:p w14:paraId="5312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1785" w:type="dxa"/>
            <w:tcBorders>
              <w:right w:val="nil"/>
            </w:tcBorders>
          </w:tcPr>
          <w:p w14:paraId="18CB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</w:t>
            </w:r>
          </w:p>
        </w:tc>
      </w:tr>
      <w:tr w14:paraId="13BF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left w:val="nil"/>
            </w:tcBorders>
          </w:tcPr>
          <w:p w14:paraId="08D67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2.0</w:t>
            </w:r>
          </w:p>
        </w:tc>
        <w:tc>
          <w:tcPr>
            <w:tcW w:w="2123" w:type="dxa"/>
          </w:tcPr>
          <w:p w14:paraId="639C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</w:tcPr>
          <w:p w14:paraId="609B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785" w:type="dxa"/>
            <w:tcBorders>
              <w:right w:val="nil"/>
            </w:tcBorders>
          </w:tcPr>
          <w:p w14:paraId="49B3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</w:tr>
      <w:tr w14:paraId="5A28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left w:val="nil"/>
            </w:tcBorders>
          </w:tcPr>
          <w:p w14:paraId="4EAA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3.5</w:t>
            </w:r>
          </w:p>
          <w:p w14:paraId="34894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3.8</w:t>
            </w:r>
          </w:p>
        </w:tc>
        <w:tc>
          <w:tcPr>
            <w:tcW w:w="2123" w:type="dxa"/>
          </w:tcPr>
          <w:p w14:paraId="213A6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  <w:p w14:paraId="69F0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</w:tcPr>
          <w:p w14:paraId="58F0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  <w:p w14:paraId="09E4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785" w:type="dxa"/>
            <w:tcBorders>
              <w:right w:val="nil"/>
            </w:tcBorders>
          </w:tcPr>
          <w:p w14:paraId="57B7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  <w:p w14:paraId="3439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72B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tcBorders>
              <w:left w:val="nil"/>
              <w:bottom w:val="single" w:color="auto" w:sz="12" w:space="0"/>
            </w:tcBorders>
          </w:tcPr>
          <w:p w14:paraId="544F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5.0</w:t>
            </w:r>
          </w:p>
        </w:tc>
        <w:tc>
          <w:tcPr>
            <w:tcW w:w="2123" w:type="dxa"/>
            <w:tcBorders>
              <w:bottom w:val="single" w:color="auto" w:sz="12" w:space="0"/>
            </w:tcBorders>
          </w:tcPr>
          <w:p w14:paraId="3947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0.3</w:t>
            </w:r>
          </w:p>
        </w:tc>
        <w:tc>
          <w:tcPr>
            <w:tcW w:w="2323" w:type="dxa"/>
            <w:tcBorders>
              <w:bottom w:val="single" w:color="auto" w:sz="12" w:space="0"/>
            </w:tcBorders>
          </w:tcPr>
          <w:p w14:paraId="00A7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1785" w:type="dxa"/>
            <w:tcBorders>
              <w:bottom w:val="single" w:color="auto" w:sz="12" w:space="0"/>
              <w:right w:val="nil"/>
            </w:tcBorders>
          </w:tcPr>
          <w:p w14:paraId="5137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</w:tbl>
    <w:p w14:paraId="3B310622">
      <w:pPr>
        <w:widowControl/>
        <w:spacing w:line="360" w:lineRule="auto"/>
        <w:ind w:firstLine="42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Mass spectrometry conditions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Ion source was an electrospray ionization (ESI) source, and the content determination was carried out in multiple reaction detection mode (MRM), desolvation gas temperature: 450 ℃; source temperature: 150 ℃; desolvation gas flow rate: 800 L/h; conical pore gas: 150 L/h; capillary voltage: 3000 V. The daughter ions of the BZA were obtained based on the optimization of the collision-induced dissociation of their parent ions, which were used for the quantitative analysis. The ion pairs, cleavage voltages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and collision energies for quantitative analysis were as follows:</w:t>
      </w:r>
    </w:p>
    <w:p w14:paraId="54C70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Table2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Mass spectrometry parameters for quantitative components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09"/>
        <w:gridCol w:w="1216"/>
        <w:gridCol w:w="1247"/>
        <w:gridCol w:w="1290"/>
        <w:gridCol w:w="1298"/>
        <w:gridCol w:w="1092"/>
      </w:tblGrid>
      <w:tr w14:paraId="6B47DD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top w:val="single" w:color="auto" w:sz="12" w:space="0"/>
              <w:bottom w:val="single" w:color="auto" w:sz="4" w:space="0"/>
            </w:tcBorders>
          </w:tcPr>
          <w:p w14:paraId="309E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ingredient</w:t>
            </w:r>
          </w:p>
        </w:tc>
        <w:tc>
          <w:tcPr>
            <w:tcW w:w="835" w:type="dxa"/>
            <w:tcBorders>
              <w:top w:val="single" w:color="auto" w:sz="12" w:space="0"/>
              <w:bottom w:val="single" w:color="auto" w:sz="4" w:space="0"/>
            </w:tcBorders>
          </w:tcPr>
          <w:p w14:paraId="4F6DA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t(min)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</w:tcPr>
          <w:p w14:paraId="3F6E6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ionization mode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</w:tcPr>
          <w:p w14:paraId="6A064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Parent ion MS (m/z)</w:t>
            </w:r>
          </w:p>
        </w:tc>
        <w:tc>
          <w:tcPr>
            <w:tcW w:w="1442" w:type="dxa"/>
            <w:tcBorders>
              <w:top w:val="single" w:color="auto" w:sz="12" w:space="0"/>
              <w:bottom w:val="single" w:color="auto" w:sz="4" w:space="0"/>
            </w:tcBorders>
          </w:tcPr>
          <w:p w14:paraId="1E14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Sub-ion MS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(m/z)</w:t>
            </w:r>
          </w:p>
        </w:tc>
        <w:tc>
          <w:tcPr>
            <w:tcW w:w="1393" w:type="dxa"/>
            <w:tcBorders>
              <w:top w:val="single" w:color="auto" w:sz="12" w:space="0"/>
              <w:bottom w:val="single" w:color="auto" w:sz="4" w:space="0"/>
            </w:tcBorders>
          </w:tcPr>
          <w:p w14:paraId="3ACBB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Cone hole voltage/V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4" w:space="0"/>
            </w:tcBorders>
          </w:tcPr>
          <w:p w14:paraId="4888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Crash energy/eV</w:t>
            </w:r>
          </w:p>
        </w:tc>
      </w:tr>
      <w:tr w14:paraId="347008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</w:tcBorders>
          </w:tcPr>
          <w:p w14:paraId="2CDF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lycyrrhizic acid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</w:tcBorders>
          </w:tcPr>
          <w:p w14:paraId="7511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4.84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 w14:paraId="60E4C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11F19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823.13</w:t>
            </w:r>
          </w:p>
        </w:tc>
        <w:tc>
          <w:tcPr>
            <w:tcW w:w="1442" w:type="dxa"/>
            <w:tcBorders>
              <w:top w:val="single" w:color="auto" w:sz="4" w:space="0"/>
            </w:tcBorders>
          </w:tcPr>
          <w:p w14:paraId="5BEC6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453.1*</w:t>
            </w:r>
          </w:p>
        </w:tc>
        <w:tc>
          <w:tcPr>
            <w:tcW w:w="1393" w:type="dxa"/>
            <w:tcBorders>
              <w:top w:val="single" w:color="auto" w:sz="4" w:space="0"/>
            </w:tcBorders>
          </w:tcPr>
          <w:p w14:paraId="5689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043" w:type="dxa"/>
            <w:tcBorders>
              <w:top w:val="single" w:color="auto" w:sz="4" w:space="0"/>
            </w:tcBorders>
          </w:tcPr>
          <w:p w14:paraId="4491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</w:t>
            </w:r>
          </w:p>
        </w:tc>
      </w:tr>
      <w:tr w14:paraId="2395DD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5A59B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1257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3F6A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5721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605F8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647.1</w:t>
            </w:r>
          </w:p>
        </w:tc>
        <w:tc>
          <w:tcPr>
            <w:tcW w:w="1393" w:type="dxa"/>
          </w:tcPr>
          <w:p w14:paraId="46A5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043" w:type="dxa"/>
          </w:tcPr>
          <w:p w14:paraId="25F4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</w:tr>
      <w:tr w14:paraId="1CB769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695C0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Liquirtigenin</w:t>
            </w:r>
          </w:p>
        </w:tc>
        <w:tc>
          <w:tcPr>
            <w:tcW w:w="835" w:type="dxa"/>
            <w:vMerge w:val="restart"/>
          </w:tcPr>
          <w:p w14:paraId="2BEC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3.32</w:t>
            </w:r>
          </w:p>
        </w:tc>
        <w:tc>
          <w:tcPr>
            <w:tcW w:w="1276" w:type="dxa"/>
            <w:vMerge w:val="restart"/>
          </w:tcPr>
          <w:p w14:paraId="4A730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417" w:type="dxa"/>
            <w:vMerge w:val="restart"/>
          </w:tcPr>
          <w:p w14:paraId="44BE1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257.1</w:t>
            </w:r>
          </w:p>
        </w:tc>
        <w:tc>
          <w:tcPr>
            <w:tcW w:w="1442" w:type="dxa"/>
          </w:tcPr>
          <w:p w14:paraId="0B13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136.9*</w:t>
            </w:r>
          </w:p>
        </w:tc>
        <w:tc>
          <w:tcPr>
            <w:tcW w:w="1393" w:type="dxa"/>
          </w:tcPr>
          <w:p w14:paraId="592E9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1043" w:type="dxa"/>
          </w:tcPr>
          <w:p w14:paraId="346F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</w:tr>
      <w:tr w14:paraId="7F2010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38ABE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2328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61BF5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69D02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3A40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146.9</w:t>
            </w:r>
          </w:p>
        </w:tc>
        <w:tc>
          <w:tcPr>
            <w:tcW w:w="1393" w:type="dxa"/>
          </w:tcPr>
          <w:p w14:paraId="0973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1043" w:type="dxa"/>
          </w:tcPr>
          <w:p w14:paraId="1182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</w:tr>
      <w:tr w14:paraId="73D54F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7C7A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Liquirtin</w:t>
            </w:r>
          </w:p>
        </w:tc>
        <w:tc>
          <w:tcPr>
            <w:tcW w:w="835" w:type="dxa"/>
            <w:vMerge w:val="restart"/>
          </w:tcPr>
          <w:p w14:paraId="3D9D2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4.59</w:t>
            </w:r>
          </w:p>
        </w:tc>
        <w:tc>
          <w:tcPr>
            <w:tcW w:w="1276" w:type="dxa"/>
            <w:vMerge w:val="restart"/>
          </w:tcPr>
          <w:p w14:paraId="461E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417" w:type="dxa"/>
            <w:vMerge w:val="restart"/>
          </w:tcPr>
          <w:p w14:paraId="5F666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256.9</w:t>
            </w:r>
          </w:p>
        </w:tc>
        <w:tc>
          <w:tcPr>
            <w:tcW w:w="1442" w:type="dxa"/>
          </w:tcPr>
          <w:p w14:paraId="556E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136.8*</w:t>
            </w:r>
          </w:p>
        </w:tc>
        <w:tc>
          <w:tcPr>
            <w:tcW w:w="1393" w:type="dxa"/>
          </w:tcPr>
          <w:p w14:paraId="3982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43" w:type="dxa"/>
          </w:tcPr>
          <w:p w14:paraId="75BD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</w:tr>
      <w:tr w14:paraId="4A3FB3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64D3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7C7B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2B90B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59B0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56914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146.9</w:t>
            </w:r>
          </w:p>
        </w:tc>
        <w:tc>
          <w:tcPr>
            <w:tcW w:w="1393" w:type="dxa"/>
          </w:tcPr>
          <w:p w14:paraId="119F3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43" w:type="dxa"/>
          </w:tcPr>
          <w:p w14:paraId="4290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</w:tr>
      <w:tr w14:paraId="3C1EE5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34DA0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Lsoliquirtigenin</w:t>
            </w:r>
          </w:p>
        </w:tc>
        <w:tc>
          <w:tcPr>
            <w:tcW w:w="835" w:type="dxa"/>
            <w:vMerge w:val="restart"/>
          </w:tcPr>
          <w:p w14:paraId="2263F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1.89</w:t>
            </w:r>
          </w:p>
        </w:tc>
        <w:tc>
          <w:tcPr>
            <w:tcW w:w="1276" w:type="dxa"/>
            <w:vMerge w:val="restart"/>
          </w:tcPr>
          <w:p w14:paraId="5AB2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417" w:type="dxa"/>
            <w:vMerge w:val="restart"/>
          </w:tcPr>
          <w:p w14:paraId="05C4B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416.9</w:t>
            </w:r>
          </w:p>
        </w:tc>
        <w:tc>
          <w:tcPr>
            <w:tcW w:w="1442" w:type="dxa"/>
          </w:tcPr>
          <w:p w14:paraId="6D4B3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254.9*</w:t>
            </w:r>
          </w:p>
        </w:tc>
        <w:tc>
          <w:tcPr>
            <w:tcW w:w="1393" w:type="dxa"/>
          </w:tcPr>
          <w:p w14:paraId="2DB35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1043" w:type="dxa"/>
          </w:tcPr>
          <w:p w14:paraId="2030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2065F7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2515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0C5B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08579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42A66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14F5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134.9</w:t>
            </w:r>
          </w:p>
        </w:tc>
        <w:tc>
          <w:tcPr>
            <w:tcW w:w="1393" w:type="dxa"/>
          </w:tcPr>
          <w:p w14:paraId="491C6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1043" w:type="dxa"/>
          </w:tcPr>
          <w:p w14:paraId="23A4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</w:t>
            </w:r>
          </w:p>
        </w:tc>
      </w:tr>
      <w:tr w14:paraId="61DA7D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6012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Lsoliquirtin</w:t>
            </w:r>
          </w:p>
        </w:tc>
        <w:tc>
          <w:tcPr>
            <w:tcW w:w="835" w:type="dxa"/>
            <w:vMerge w:val="restart"/>
          </w:tcPr>
          <w:p w14:paraId="210E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3.06</w:t>
            </w:r>
          </w:p>
        </w:tc>
        <w:tc>
          <w:tcPr>
            <w:tcW w:w="1276" w:type="dxa"/>
            <w:vMerge w:val="restart"/>
          </w:tcPr>
          <w:p w14:paraId="16C41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417" w:type="dxa"/>
            <w:vMerge w:val="restart"/>
          </w:tcPr>
          <w:p w14:paraId="29F2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416.9</w:t>
            </w:r>
          </w:p>
        </w:tc>
        <w:tc>
          <w:tcPr>
            <w:tcW w:w="1442" w:type="dxa"/>
          </w:tcPr>
          <w:p w14:paraId="315D0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254.9*</w:t>
            </w:r>
          </w:p>
        </w:tc>
        <w:tc>
          <w:tcPr>
            <w:tcW w:w="1393" w:type="dxa"/>
          </w:tcPr>
          <w:p w14:paraId="56FF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1043" w:type="dxa"/>
          </w:tcPr>
          <w:p w14:paraId="49660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</w:tr>
      <w:tr w14:paraId="22FB62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6F47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072C7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2FFA7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6CD9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12C3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134.9</w:t>
            </w:r>
          </w:p>
        </w:tc>
        <w:tc>
          <w:tcPr>
            <w:tcW w:w="1393" w:type="dxa"/>
          </w:tcPr>
          <w:p w14:paraId="2241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1043" w:type="dxa"/>
          </w:tcPr>
          <w:p w14:paraId="1744D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30</w:t>
            </w:r>
          </w:p>
        </w:tc>
      </w:tr>
      <w:tr w14:paraId="74BA01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0605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lycyrrh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et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ic acid</w:t>
            </w:r>
          </w:p>
        </w:tc>
        <w:tc>
          <w:tcPr>
            <w:tcW w:w="835" w:type="dxa"/>
            <w:vMerge w:val="restart"/>
          </w:tcPr>
          <w:p w14:paraId="6EE4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6.43</w:t>
            </w:r>
          </w:p>
        </w:tc>
        <w:tc>
          <w:tcPr>
            <w:tcW w:w="1276" w:type="dxa"/>
            <w:vMerge w:val="restart"/>
          </w:tcPr>
          <w:p w14:paraId="4D1F4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417" w:type="dxa"/>
            <w:vMerge w:val="restart"/>
          </w:tcPr>
          <w:p w14:paraId="48FA5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469.1</w:t>
            </w:r>
          </w:p>
        </w:tc>
        <w:tc>
          <w:tcPr>
            <w:tcW w:w="1442" w:type="dxa"/>
          </w:tcPr>
          <w:p w14:paraId="3BC4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355.0*</w:t>
            </w:r>
          </w:p>
        </w:tc>
        <w:tc>
          <w:tcPr>
            <w:tcW w:w="1393" w:type="dxa"/>
          </w:tcPr>
          <w:p w14:paraId="7AC6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1043" w:type="dxa"/>
          </w:tcPr>
          <w:p w14:paraId="5565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</w:t>
            </w:r>
          </w:p>
        </w:tc>
      </w:tr>
      <w:tr w14:paraId="7FCB08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2E6A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2342F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044F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151A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6AE2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409.1</w:t>
            </w:r>
          </w:p>
        </w:tc>
        <w:tc>
          <w:tcPr>
            <w:tcW w:w="1393" w:type="dxa"/>
          </w:tcPr>
          <w:p w14:paraId="543C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1043" w:type="dxa"/>
          </w:tcPr>
          <w:p w14:paraId="3F31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46</w:t>
            </w:r>
          </w:p>
        </w:tc>
      </w:tr>
      <w:tr w14:paraId="795F64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</w:tcPr>
          <w:p w14:paraId="0E6A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Glabridin</w:t>
            </w:r>
          </w:p>
        </w:tc>
        <w:tc>
          <w:tcPr>
            <w:tcW w:w="835" w:type="dxa"/>
            <w:vMerge w:val="restart"/>
          </w:tcPr>
          <w:p w14:paraId="3983A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6.06</w:t>
            </w:r>
          </w:p>
        </w:tc>
        <w:tc>
          <w:tcPr>
            <w:tcW w:w="1276" w:type="dxa"/>
            <w:vMerge w:val="restart"/>
          </w:tcPr>
          <w:p w14:paraId="4A9E1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ESI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</w:rPr>
              <w:t>-</w:t>
            </w:r>
          </w:p>
        </w:tc>
        <w:tc>
          <w:tcPr>
            <w:tcW w:w="1417" w:type="dxa"/>
            <w:vMerge w:val="restart"/>
          </w:tcPr>
          <w:p w14:paraId="20F3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322.9</w:t>
            </w:r>
          </w:p>
        </w:tc>
        <w:tc>
          <w:tcPr>
            <w:tcW w:w="1442" w:type="dxa"/>
          </w:tcPr>
          <w:p w14:paraId="47BA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134.9*</w:t>
            </w:r>
          </w:p>
        </w:tc>
        <w:tc>
          <w:tcPr>
            <w:tcW w:w="1393" w:type="dxa"/>
          </w:tcPr>
          <w:p w14:paraId="44357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43" w:type="dxa"/>
          </w:tcPr>
          <w:p w14:paraId="15E8F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</w:tr>
      <w:tr w14:paraId="5ACAF7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</w:tcPr>
          <w:p w14:paraId="4B95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</w:tcPr>
          <w:p w14:paraId="4CB4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</w:tcPr>
          <w:p w14:paraId="53B0D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20FE2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42" w:type="dxa"/>
          </w:tcPr>
          <w:p w14:paraId="5FD02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200.9</w:t>
            </w:r>
          </w:p>
        </w:tc>
        <w:tc>
          <w:tcPr>
            <w:tcW w:w="1393" w:type="dxa"/>
          </w:tcPr>
          <w:p w14:paraId="353E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43" w:type="dxa"/>
          </w:tcPr>
          <w:p w14:paraId="7BFCF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</w:tr>
    </w:tbl>
    <w:p w14:paraId="2081EB5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Note: * represents quantitative ion.</w:t>
      </w:r>
    </w:p>
    <w:p w14:paraId="0943A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Accurately weigh 2mg of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each standard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 xml:space="preserve">,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respectively, in a 10mL volumetric flask, and the methanol was fixed to obtain a standard stock solution with a mass concentration of 200 μg/mL. Precisely aspirate the reserve solution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of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7 controls respectively, and prepare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methanol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solution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into the control solution with mass concentration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of 10, 100, 250, 500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and 1000 ng/mL. 1.5 mL was pipetted into an Agilent injection vial, and 1 μL was injected into the vial respectively. The working curve was plotted with the peak area Y as the vertical coordinate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the mass concentration (x, ng/mL) as the horizontal coordinate, and the correlation coefficient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, R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above 0.9960. The results showed that there was a good linear relationship between the concentration of the control and the peak area in the range of 9.3-1000.4 ng/mL.</w:t>
      </w:r>
    </w:p>
    <w:p w14:paraId="3E82C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Table3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Regression equation and correlation coefficient of chemical components of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Glycyrrhiza uralensis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Fisch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27"/>
        <w:gridCol w:w="2098"/>
        <w:gridCol w:w="2086"/>
      </w:tblGrid>
      <w:tr w14:paraId="0120E1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30" w:type="dxa"/>
            <w:tcBorders>
              <w:top w:val="single" w:color="auto" w:sz="12" w:space="0"/>
              <w:bottom w:val="single" w:color="auto" w:sz="4" w:space="0"/>
            </w:tcBorders>
          </w:tcPr>
          <w:p w14:paraId="6985B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chemical compound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4" w:space="0"/>
            </w:tcBorders>
          </w:tcPr>
          <w:p w14:paraId="1EF8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regression equation</w:t>
            </w:r>
          </w:p>
        </w:tc>
        <w:tc>
          <w:tcPr>
            <w:tcW w:w="2131" w:type="dxa"/>
            <w:tcBorders>
              <w:top w:val="single" w:color="auto" w:sz="12" w:space="0"/>
              <w:bottom w:val="single" w:color="auto" w:sz="4" w:space="0"/>
            </w:tcBorders>
          </w:tcPr>
          <w:p w14:paraId="6A09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Correlation coefficient R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color="auto" w:sz="12" w:space="0"/>
              <w:bottom w:val="single" w:color="auto" w:sz="4" w:space="0"/>
            </w:tcBorders>
          </w:tcPr>
          <w:p w14:paraId="0180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Linear range ng/ml</w:t>
            </w:r>
          </w:p>
        </w:tc>
      </w:tr>
      <w:tr w14:paraId="006075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</w:tcBorders>
          </w:tcPr>
          <w:p w14:paraId="5A3D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lycyrrhizic acid</w:t>
            </w:r>
          </w:p>
        </w:tc>
        <w:tc>
          <w:tcPr>
            <w:tcW w:w="2130" w:type="dxa"/>
            <w:tcBorders>
              <w:top w:val="single" w:color="auto" w:sz="4" w:space="0"/>
            </w:tcBorders>
          </w:tcPr>
          <w:p w14:paraId="272A1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Y=3150.8*X+14239.2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 w14:paraId="2465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0.9992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 w14:paraId="14B4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9.3 - 1000.4</w:t>
            </w:r>
          </w:p>
        </w:tc>
      </w:tr>
      <w:tr w14:paraId="4B4975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5A4CF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Liquirtigenin</w:t>
            </w:r>
          </w:p>
        </w:tc>
        <w:tc>
          <w:tcPr>
            <w:tcW w:w="2130" w:type="dxa"/>
          </w:tcPr>
          <w:p w14:paraId="7A16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Y=720.3*X+1644.0</w:t>
            </w:r>
          </w:p>
        </w:tc>
        <w:tc>
          <w:tcPr>
            <w:tcW w:w="2131" w:type="dxa"/>
          </w:tcPr>
          <w:p w14:paraId="44E9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0.9985</w:t>
            </w:r>
          </w:p>
        </w:tc>
        <w:tc>
          <w:tcPr>
            <w:tcW w:w="2131" w:type="dxa"/>
          </w:tcPr>
          <w:p w14:paraId="6BBF7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9.0 - 969.1</w:t>
            </w:r>
          </w:p>
        </w:tc>
      </w:tr>
      <w:tr w14:paraId="49ED12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6563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Liquirtin</w:t>
            </w:r>
          </w:p>
        </w:tc>
        <w:tc>
          <w:tcPr>
            <w:tcW w:w="2130" w:type="dxa"/>
          </w:tcPr>
          <w:p w14:paraId="70BDC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Y=25676.3*X+26145.2</w:t>
            </w:r>
          </w:p>
        </w:tc>
        <w:tc>
          <w:tcPr>
            <w:tcW w:w="2131" w:type="dxa"/>
          </w:tcPr>
          <w:p w14:paraId="19F1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0.9999</w:t>
            </w:r>
          </w:p>
        </w:tc>
        <w:tc>
          <w:tcPr>
            <w:tcW w:w="2131" w:type="dxa"/>
          </w:tcPr>
          <w:p w14:paraId="5A86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1.0 - 498.8</w:t>
            </w:r>
          </w:p>
        </w:tc>
      </w:tr>
      <w:tr w14:paraId="6CBCA9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C54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Lsoliquirtigenin</w:t>
            </w:r>
          </w:p>
        </w:tc>
        <w:tc>
          <w:tcPr>
            <w:tcW w:w="2130" w:type="dxa"/>
          </w:tcPr>
          <w:p w14:paraId="6B179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Y=516.9*X+3821.2</w:t>
            </w:r>
          </w:p>
        </w:tc>
        <w:tc>
          <w:tcPr>
            <w:tcW w:w="2131" w:type="dxa"/>
          </w:tcPr>
          <w:p w14:paraId="1989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0.9991</w:t>
            </w:r>
          </w:p>
        </w:tc>
        <w:tc>
          <w:tcPr>
            <w:tcW w:w="2131" w:type="dxa"/>
          </w:tcPr>
          <w:p w14:paraId="3466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1.3 - 1001.2</w:t>
            </w:r>
          </w:p>
        </w:tc>
      </w:tr>
      <w:tr w14:paraId="0BD753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6210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Lsoliquirtin</w:t>
            </w:r>
          </w:p>
        </w:tc>
        <w:tc>
          <w:tcPr>
            <w:tcW w:w="2130" w:type="dxa"/>
          </w:tcPr>
          <w:p w14:paraId="5EF5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Y=626.8*X+859.7</w:t>
            </w:r>
          </w:p>
        </w:tc>
        <w:tc>
          <w:tcPr>
            <w:tcW w:w="2131" w:type="dxa"/>
          </w:tcPr>
          <w:p w14:paraId="2DC4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0.9981</w:t>
            </w:r>
          </w:p>
        </w:tc>
        <w:tc>
          <w:tcPr>
            <w:tcW w:w="2131" w:type="dxa"/>
          </w:tcPr>
          <w:p w14:paraId="218D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0.8 - 961.8</w:t>
            </w:r>
          </w:p>
        </w:tc>
      </w:tr>
      <w:tr w14:paraId="568215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3860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lycyrrh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et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ic acid</w:t>
            </w:r>
          </w:p>
        </w:tc>
        <w:tc>
          <w:tcPr>
            <w:tcW w:w="2130" w:type="dxa"/>
          </w:tcPr>
          <w:p w14:paraId="25B8D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Y=425.6*X+109.5</w:t>
            </w:r>
          </w:p>
        </w:tc>
        <w:tc>
          <w:tcPr>
            <w:tcW w:w="2131" w:type="dxa"/>
          </w:tcPr>
          <w:p w14:paraId="6E40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0.9998</w:t>
            </w:r>
          </w:p>
        </w:tc>
        <w:tc>
          <w:tcPr>
            <w:tcW w:w="2131" w:type="dxa"/>
          </w:tcPr>
          <w:p w14:paraId="5CCB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0.9 - 992.4</w:t>
            </w:r>
          </w:p>
        </w:tc>
      </w:tr>
      <w:tr w14:paraId="19D4BF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ADA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Glabridin</w:t>
            </w:r>
          </w:p>
        </w:tc>
        <w:tc>
          <w:tcPr>
            <w:tcW w:w="2130" w:type="dxa"/>
          </w:tcPr>
          <w:p w14:paraId="56C6D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Y=156.0*X+78.3</w:t>
            </w:r>
          </w:p>
        </w:tc>
        <w:tc>
          <w:tcPr>
            <w:tcW w:w="2131" w:type="dxa"/>
          </w:tcPr>
          <w:p w14:paraId="092F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0.9960</w:t>
            </w:r>
          </w:p>
        </w:tc>
        <w:tc>
          <w:tcPr>
            <w:tcW w:w="2131" w:type="dxa"/>
          </w:tcPr>
          <w:p w14:paraId="6626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0.6 - 954.0</w:t>
            </w:r>
          </w:p>
        </w:tc>
      </w:tr>
    </w:tbl>
    <w:p w14:paraId="65BD6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The powder of each treatment group was accurately weighed into three portions of 0.200 g each, which were placed in 10 mL centrifuge tubes, and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each of them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was added with 5 mL of methanol (chromatographic purity) as the extraction solution, and extracted superficially for 2 h with an ultrasonic extractor with a power of 300 W (KQ-300E, Kunshan Ultrasonic Instrument Co., Ltd., China), and then centrifuged for 15 min with a high-speed centrifuge (12,000 r/min), and then the upper supernatant was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taken. After centrifugation for 15 min with a high-speed centrifuge (12000 r/min), the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supernatant was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filtered through a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microporous membrane with a pore size of 0.25 μm and poured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into an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Agilent injection vial with an injection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volume of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1 μL, and the determination was repeated three times for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each sample.</w:t>
      </w:r>
    </w:p>
    <w:p w14:paraId="62F61AFC">
      <w:pPr>
        <w:widowControl/>
        <w:numPr>
          <w:ilvl w:val="0"/>
          <w:numId w:val="4"/>
        </w:num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Sequencing quality assessment form</w:t>
      </w:r>
    </w:p>
    <w:p w14:paraId="2D16D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Table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Sequencing data results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652343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150CF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Samples Name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7079A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Clean reads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14FC9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Clean bases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0A930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GC Content</w:t>
            </w:r>
          </w:p>
        </w:tc>
      </w:tr>
      <w:tr w14:paraId="3C0CDE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op w:val="single" w:color="auto" w:sz="4" w:space="0"/>
            </w:tcBorders>
          </w:tcPr>
          <w:p w14:paraId="06D7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A1</w:t>
            </w:r>
          </w:p>
        </w:tc>
        <w:tc>
          <w:tcPr>
            <w:tcW w:w="2074" w:type="dxa"/>
            <w:tcBorders>
              <w:top w:val="single" w:color="auto" w:sz="4" w:space="0"/>
            </w:tcBorders>
          </w:tcPr>
          <w:p w14:paraId="70B18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22,952,611</w:t>
            </w:r>
          </w:p>
        </w:tc>
        <w:tc>
          <w:tcPr>
            <w:tcW w:w="2074" w:type="dxa"/>
            <w:tcBorders>
              <w:top w:val="single" w:color="auto" w:sz="4" w:space="0"/>
            </w:tcBorders>
          </w:tcPr>
          <w:p w14:paraId="7DE5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6,872,115,873</w:t>
            </w:r>
          </w:p>
        </w:tc>
        <w:tc>
          <w:tcPr>
            <w:tcW w:w="2074" w:type="dxa"/>
            <w:tcBorders>
              <w:top w:val="single" w:color="auto" w:sz="4" w:space="0"/>
            </w:tcBorders>
          </w:tcPr>
          <w:p w14:paraId="5F0A3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44.70%</w:t>
            </w:r>
          </w:p>
        </w:tc>
      </w:tr>
      <w:tr w14:paraId="3DBD80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BF3F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A2</w:t>
            </w:r>
          </w:p>
        </w:tc>
        <w:tc>
          <w:tcPr>
            <w:tcW w:w="2074" w:type="dxa"/>
          </w:tcPr>
          <w:p w14:paraId="420B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19,426,608</w:t>
            </w:r>
          </w:p>
        </w:tc>
        <w:tc>
          <w:tcPr>
            <w:tcW w:w="2074" w:type="dxa"/>
          </w:tcPr>
          <w:p w14:paraId="07DF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5,820,601,375</w:t>
            </w:r>
          </w:p>
        </w:tc>
        <w:tc>
          <w:tcPr>
            <w:tcW w:w="2074" w:type="dxa"/>
          </w:tcPr>
          <w:p w14:paraId="5860A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44.74%</w:t>
            </w:r>
          </w:p>
        </w:tc>
      </w:tr>
      <w:tr w14:paraId="08A85F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777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A3</w:t>
            </w:r>
          </w:p>
        </w:tc>
        <w:tc>
          <w:tcPr>
            <w:tcW w:w="2074" w:type="dxa"/>
          </w:tcPr>
          <w:p w14:paraId="7D34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21,880,694</w:t>
            </w:r>
          </w:p>
        </w:tc>
        <w:tc>
          <w:tcPr>
            <w:tcW w:w="2074" w:type="dxa"/>
          </w:tcPr>
          <w:p w14:paraId="30ED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6,553,263,471</w:t>
            </w:r>
          </w:p>
        </w:tc>
        <w:tc>
          <w:tcPr>
            <w:tcW w:w="2074" w:type="dxa"/>
          </w:tcPr>
          <w:p w14:paraId="08DBA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44.83%</w:t>
            </w:r>
          </w:p>
        </w:tc>
      </w:tr>
      <w:tr w14:paraId="7DBA33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430D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B1</w:t>
            </w:r>
          </w:p>
        </w:tc>
        <w:tc>
          <w:tcPr>
            <w:tcW w:w="2074" w:type="dxa"/>
          </w:tcPr>
          <w:p w14:paraId="29722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21,245,886</w:t>
            </w:r>
          </w:p>
        </w:tc>
        <w:tc>
          <w:tcPr>
            <w:tcW w:w="2074" w:type="dxa"/>
          </w:tcPr>
          <w:p w14:paraId="0EA02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6,363,773,413</w:t>
            </w:r>
          </w:p>
        </w:tc>
        <w:tc>
          <w:tcPr>
            <w:tcW w:w="2074" w:type="dxa"/>
          </w:tcPr>
          <w:p w14:paraId="342C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44.21%</w:t>
            </w:r>
          </w:p>
        </w:tc>
      </w:tr>
      <w:tr w14:paraId="450630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5C02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B2</w:t>
            </w:r>
          </w:p>
        </w:tc>
        <w:tc>
          <w:tcPr>
            <w:tcW w:w="2074" w:type="dxa"/>
          </w:tcPr>
          <w:p w14:paraId="40719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23,206,194</w:t>
            </w:r>
          </w:p>
        </w:tc>
        <w:tc>
          <w:tcPr>
            <w:tcW w:w="2074" w:type="dxa"/>
          </w:tcPr>
          <w:p w14:paraId="33F0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6,950,027,201</w:t>
            </w:r>
          </w:p>
        </w:tc>
        <w:tc>
          <w:tcPr>
            <w:tcW w:w="2074" w:type="dxa"/>
          </w:tcPr>
          <w:p w14:paraId="4BB0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45.01%</w:t>
            </w:r>
          </w:p>
        </w:tc>
      </w:tr>
      <w:tr w14:paraId="1DE658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B5B0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B3</w:t>
            </w:r>
          </w:p>
        </w:tc>
        <w:tc>
          <w:tcPr>
            <w:tcW w:w="2074" w:type="dxa"/>
          </w:tcPr>
          <w:p w14:paraId="7B15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21,746,087</w:t>
            </w:r>
          </w:p>
        </w:tc>
        <w:tc>
          <w:tcPr>
            <w:tcW w:w="2074" w:type="dxa"/>
          </w:tcPr>
          <w:p w14:paraId="2BC5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6,511,936,937</w:t>
            </w:r>
          </w:p>
        </w:tc>
        <w:tc>
          <w:tcPr>
            <w:tcW w:w="2074" w:type="dxa"/>
          </w:tcPr>
          <w:p w14:paraId="019E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43.91%</w:t>
            </w:r>
          </w:p>
        </w:tc>
      </w:tr>
      <w:tr w14:paraId="40E66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0E3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D1</w:t>
            </w:r>
          </w:p>
        </w:tc>
        <w:tc>
          <w:tcPr>
            <w:tcW w:w="2074" w:type="dxa"/>
          </w:tcPr>
          <w:p w14:paraId="4A99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21,223,568</w:t>
            </w:r>
          </w:p>
        </w:tc>
        <w:tc>
          <w:tcPr>
            <w:tcW w:w="2074" w:type="dxa"/>
          </w:tcPr>
          <w:p w14:paraId="20DE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6,353,161,680</w:t>
            </w:r>
          </w:p>
        </w:tc>
        <w:tc>
          <w:tcPr>
            <w:tcW w:w="2074" w:type="dxa"/>
          </w:tcPr>
          <w:p w14:paraId="397F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44.37%</w:t>
            </w:r>
          </w:p>
        </w:tc>
      </w:tr>
      <w:tr w14:paraId="65C0DC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AD1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D2</w:t>
            </w:r>
          </w:p>
        </w:tc>
        <w:tc>
          <w:tcPr>
            <w:tcW w:w="2074" w:type="dxa"/>
          </w:tcPr>
          <w:p w14:paraId="5494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20,982,722</w:t>
            </w:r>
          </w:p>
        </w:tc>
        <w:tc>
          <w:tcPr>
            <w:tcW w:w="2074" w:type="dxa"/>
          </w:tcPr>
          <w:p w14:paraId="50D7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6,265,701,629</w:t>
            </w:r>
          </w:p>
        </w:tc>
        <w:tc>
          <w:tcPr>
            <w:tcW w:w="2074" w:type="dxa"/>
          </w:tcPr>
          <w:p w14:paraId="52A74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43.51%</w:t>
            </w:r>
          </w:p>
        </w:tc>
      </w:tr>
      <w:tr w14:paraId="0A3236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8681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D3</w:t>
            </w:r>
          </w:p>
        </w:tc>
        <w:tc>
          <w:tcPr>
            <w:tcW w:w="2074" w:type="dxa"/>
          </w:tcPr>
          <w:p w14:paraId="79C4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22,801,827</w:t>
            </w:r>
          </w:p>
        </w:tc>
        <w:tc>
          <w:tcPr>
            <w:tcW w:w="2074" w:type="dxa"/>
          </w:tcPr>
          <w:p w14:paraId="0D99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6,814,059,838</w:t>
            </w:r>
          </w:p>
        </w:tc>
        <w:tc>
          <w:tcPr>
            <w:tcW w:w="2074" w:type="dxa"/>
          </w:tcPr>
          <w:p w14:paraId="3926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44.37%</w:t>
            </w:r>
          </w:p>
        </w:tc>
      </w:tr>
      <w:tr w14:paraId="2EBDF2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FBAE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E1</w:t>
            </w:r>
          </w:p>
        </w:tc>
        <w:tc>
          <w:tcPr>
            <w:tcW w:w="2074" w:type="dxa"/>
          </w:tcPr>
          <w:p w14:paraId="304E6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20,581,537</w:t>
            </w:r>
          </w:p>
        </w:tc>
        <w:tc>
          <w:tcPr>
            <w:tcW w:w="2074" w:type="dxa"/>
          </w:tcPr>
          <w:p w14:paraId="02562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6,161,220,909</w:t>
            </w:r>
          </w:p>
        </w:tc>
        <w:tc>
          <w:tcPr>
            <w:tcW w:w="2074" w:type="dxa"/>
          </w:tcPr>
          <w:p w14:paraId="5E2B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44.52%</w:t>
            </w:r>
          </w:p>
        </w:tc>
      </w:tr>
      <w:tr w14:paraId="7FDCEB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8EA8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E2</w:t>
            </w:r>
          </w:p>
        </w:tc>
        <w:tc>
          <w:tcPr>
            <w:tcW w:w="2074" w:type="dxa"/>
          </w:tcPr>
          <w:p w14:paraId="1E0A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20,322,757</w:t>
            </w:r>
          </w:p>
        </w:tc>
        <w:tc>
          <w:tcPr>
            <w:tcW w:w="2074" w:type="dxa"/>
          </w:tcPr>
          <w:p w14:paraId="2A0EA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6,084,402,825</w:t>
            </w:r>
          </w:p>
        </w:tc>
        <w:tc>
          <w:tcPr>
            <w:tcW w:w="2074" w:type="dxa"/>
          </w:tcPr>
          <w:p w14:paraId="6DF0F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43.95%</w:t>
            </w:r>
          </w:p>
        </w:tc>
      </w:tr>
      <w:tr w14:paraId="03798D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F473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E3</w:t>
            </w:r>
          </w:p>
        </w:tc>
        <w:tc>
          <w:tcPr>
            <w:tcW w:w="2074" w:type="dxa"/>
          </w:tcPr>
          <w:p w14:paraId="7271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21,462,333</w:t>
            </w:r>
          </w:p>
        </w:tc>
        <w:tc>
          <w:tcPr>
            <w:tcW w:w="2074" w:type="dxa"/>
          </w:tcPr>
          <w:p w14:paraId="00890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6,416,074,397</w:t>
            </w:r>
          </w:p>
        </w:tc>
        <w:tc>
          <w:tcPr>
            <w:tcW w:w="2074" w:type="dxa"/>
          </w:tcPr>
          <w:p w14:paraId="3DED4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43.51%</w:t>
            </w:r>
          </w:p>
        </w:tc>
      </w:tr>
      <w:tr w14:paraId="5E9958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4F9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G1</w:t>
            </w:r>
          </w:p>
        </w:tc>
        <w:tc>
          <w:tcPr>
            <w:tcW w:w="2074" w:type="dxa"/>
          </w:tcPr>
          <w:p w14:paraId="566E3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24,457,003</w:t>
            </w:r>
          </w:p>
        </w:tc>
        <w:tc>
          <w:tcPr>
            <w:tcW w:w="2074" w:type="dxa"/>
          </w:tcPr>
          <w:p w14:paraId="7ED4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7,298,495,974</w:t>
            </w:r>
          </w:p>
        </w:tc>
        <w:tc>
          <w:tcPr>
            <w:tcW w:w="2074" w:type="dxa"/>
          </w:tcPr>
          <w:p w14:paraId="07040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43.99%</w:t>
            </w:r>
          </w:p>
        </w:tc>
      </w:tr>
      <w:tr w14:paraId="50C2A6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F37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G2</w:t>
            </w:r>
          </w:p>
        </w:tc>
        <w:tc>
          <w:tcPr>
            <w:tcW w:w="2074" w:type="dxa"/>
          </w:tcPr>
          <w:p w14:paraId="16BB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29,416,246</w:t>
            </w:r>
          </w:p>
        </w:tc>
        <w:tc>
          <w:tcPr>
            <w:tcW w:w="2074" w:type="dxa"/>
          </w:tcPr>
          <w:p w14:paraId="49C5B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8,729,915,104</w:t>
            </w:r>
          </w:p>
        </w:tc>
        <w:tc>
          <w:tcPr>
            <w:tcW w:w="2074" w:type="dxa"/>
          </w:tcPr>
          <w:p w14:paraId="6B03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43.87%</w:t>
            </w:r>
          </w:p>
        </w:tc>
      </w:tr>
      <w:tr w14:paraId="173537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392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G3</w:t>
            </w:r>
          </w:p>
        </w:tc>
        <w:tc>
          <w:tcPr>
            <w:tcW w:w="2074" w:type="dxa"/>
          </w:tcPr>
          <w:p w14:paraId="3F046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27,500,000</w:t>
            </w:r>
          </w:p>
        </w:tc>
        <w:tc>
          <w:tcPr>
            <w:tcW w:w="2074" w:type="dxa"/>
          </w:tcPr>
          <w:p w14:paraId="39A5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8,200,121,174</w:t>
            </w:r>
          </w:p>
        </w:tc>
        <w:tc>
          <w:tcPr>
            <w:tcW w:w="2074" w:type="dxa"/>
          </w:tcPr>
          <w:p w14:paraId="3FEE0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43.86%</w:t>
            </w:r>
          </w:p>
        </w:tc>
      </w:tr>
      <w:tr w14:paraId="4CD89C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25D2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H1</w:t>
            </w:r>
          </w:p>
        </w:tc>
        <w:tc>
          <w:tcPr>
            <w:tcW w:w="2074" w:type="dxa"/>
          </w:tcPr>
          <w:p w14:paraId="7E49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25,544,621</w:t>
            </w:r>
          </w:p>
        </w:tc>
        <w:tc>
          <w:tcPr>
            <w:tcW w:w="2074" w:type="dxa"/>
          </w:tcPr>
          <w:p w14:paraId="03B9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7,646,695,951</w:t>
            </w:r>
          </w:p>
        </w:tc>
        <w:tc>
          <w:tcPr>
            <w:tcW w:w="2074" w:type="dxa"/>
          </w:tcPr>
          <w:p w14:paraId="1AE7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44.99%</w:t>
            </w:r>
          </w:p>
        </w:tc>
      </w:tr>
      <w:tr w14:paraId="14479E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131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H2</w:t>
            </w:r>
          </w:p>
        </w:tc>
        <w:tc>
          <w:tcPr>
            <w:tcW w:w="2074" w:type="dxa"/>
          </w:tcPr>
          <w:p w14:paraId="3249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21,992,193</w:t>
            </w:r>
          </w:p>
        </w:tc>
        <w:tc>
          <w:tcPr>
            <w:tcW w:w="2074" w:type="dxa"/>
          </w:tcPr>
          <w:p w14:paraId="4E59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6,582,249,795</w:t>
            </w:r>
          </w:p>
        </w:tc>
        <w:tc>
          <w:tcPr>
            <w:tcW w:w="2074" w:type="dxa"/>
          </w:tcPr>
          <w:p w14:paraId="7C6D8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43.76%</w:t>
            </w:r>
          </w:p>
        </w:tc>
      </w:tr>
      <w:tr w14:paraId="5329D8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AB3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H3</w:t>
            </w:r>
          </w:p>
        </w:tc>
        <w:tc>
          <w:tcPr>
            <w:tcW w:w="2074" w:type="dxa"/>
          </w:tcPr>
          <w:p w14:paraId="0367F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23,310,473</w:t>
            </w:r>
          </w:p>
        </w:tc>
        <w:tc>
          <w:tcPr>
            <w:tcW w:w="2074" w:type="dxa"/>
          </w:tcPr>
          <w:p w14:paraId="44C2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6,975,484,972</w:t>
            </w:r>
          </w:p>
        </w:tc>
        <w:tc>
          <w:tcPr>
            <w:tcW w:w="2074" w:type="dxa"/>
          </w:tcPr>
          <w:p w14:paraId="7533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43.26%</w:t>
            </w:r>
          </w:p>
        </w:tc>
      </w:tr>
    </w:tbl>
    <w:p w14:paraId="63310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Table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Sequencing quality assessment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623"/>
        <w:gridCol w:w="1525"/>
      </w:tblGrid>
      <w:tr w14:paraId="76FB96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704B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Sample Name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4" w:space="0"/>
            </w:tcBorders>
          </w:tcPr>
          <w:p w14:paraId="7E95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Total Reads</w:t>
            </w:r>
          </w:p>
        </w:tc>
        <w:tc>
          <w:tcPr>
            <w:tcW w:w="2623" w:type="dxa"/>
            <w:tcBorders>
              <w:top w:val="single" w:color="auto" w:sz="12" w:space="0"/>
              <w:bottom w:val="single" w:color="auto" w:sz="4" w:space="0"/>
            </w:tcBorders>
          </w:tcPr>
          <w:p w14:paraId="1C2B7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Mapped Reads</w:t>
            </w:r>
          </w:p>
        </w:tc>
        <w:tc>
          <w:tcPr>
            <w:tcW w:w="1525" w:type="dxa"/>
            <w:tcBorders>
              <w:top w:val="single" w:color="auto" w:sz="12" w:space="0"/>
              <w:bottom w:val="single" w:color="auto" w:sz="4" w:space="0"/>
            </w:tcBorders>
          </w:tcPr>
          <w:p w14:paraId="2E85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% ≥ Q30</w:t>
            </w:r>
          </w:p>
        </w:tc>
      </w:tr>
      <w:tr w14:paraId="4A7967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064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A1</w:t>
            </w:r>
          </w:p>
        </w:tc>
        <w:tc>
          <w:tcPr>
            <w:tcW w:w="2074" w:type="dxa"/>
          </w:tcPr>
          <w:p w14:paraId="6DF0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45,905,222</w:t>
            </w:r>
          </w:p>
        </w:tc>
        <w:tc>
          <w:tcPr>
            <w:tcW w:w="2623" w:type="dxa"/>
          </w:tcPr>
          <w:p w14:paraId="3358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39,000,533 (84.96%)</w:t>
            </w:r>
          </w:p>
        </w:tc>
        <w:tc>
          <w:tcPr>
            <w:tcW w:w="1525" w:type="dxa"/>
          </w:tcPr>
          <w:p w14:paraId="6621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96.64%</w:t>
            </w:r>
          </w:p>
        </w:tc>
      </w:tr>
      <w:tr w14:paraId="3D7F75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676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A2</w:t>
            </w:r>
          </w:p>
        </w:tc>
        <w:tc>
          <w:tcPr>
            <w:tcW w:w="2074" w:type="dxa"/>
          </w:tcPr>
          <w:p w14:paraId="3A36E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38,853,216</w:t>
            </w:r>
          </w:p>
        </w:tc>
        <w:tc>
          <w:tcPr>
            <w:tcW w:w="2623" w:type="dxa"/>
          </w:tcPr>
          <w:p w14:paraId="5730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33,218,927 (85.50%)</w:t>
            </w:r>
          </w:p>
        </w:tc>
        <w:tc>
          <w:tcPr>
            <w:tcW w:w="1525" w:type="dxa"/>
          </w:tcPr>
          <w:p w14:paraId="2F97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98.02%</w:t>
            </w:r>
          </w:p>
        </w:tc>
      </w:tr>
      <w:tr w14:paraId="580C0D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68C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A3</w:t>
            </w:r>
          </w:p>
        </w:tc>
        <w:tc>
          <w:tcPr>
            <w:tcW w:w="2074" w:type="dxa"/>
          </w:tcPr>
          <w:p w14:paraId="3707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43,761,388</w:t>
            </w:r>
          </w:p>
        </w:tc>
        <w:tc>
          <w:tcPr>
            <w:tcW w:w="2623" w:type="dxa"/>
          </w:tcPr>
          <w:p w14:paraId="438E9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38,489,298 (87.95%)</w:t>
            </w:r>
          </w:p>
        </w:tc>
        <w:tc>
          <w:tcPr>
            <w:tcW w:w="1525" w:type="dxa"/>
          </w:tcPr>
          <w:p w14:paraId="63649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97.13%</w:t>
            </w:r>
          </w:p>
        </w:tc>
      </w:tr>
      <w:tr w14:paraId="34DB25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327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B1</w:t>
            </w:r>
          </w:p>
        </w:tc>
        <w:tc>
          <w:tcPr>
            <w:tcW w:w="2074" w:type="dxa"/>
          </w:tcPr>
          <w:p w14:paraId="32C35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42,491,772</w:t>
            </w:r>
          </w:p>
        </w:tc>
        <w:tc>
          <w:tcPr>
            <w:tcW w:w="2623" w:type="dxa"/>
          </w:tcPr>
          <w:p w14:paraId="703C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37,980,622 (89.38%)</w:t>
            </w:r>
          </w:p>
        </w:tc>
        <w:tc>
          <w:tcPr>
            <w:tcW w:w="1525" w:type="dxa"/>
          </w:tcPr>
          <w:p w14:paraId="7E3FD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97.49%</w:t>
            </w:r>
          </w:p>
        </w:tc>
      </w:tr>
      <w:tr w14:paraId="15926F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224F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B2</w:t>
            </w:r>
          </w:p>
        </w:tc>
        <w:tc>
          <w:tcPr>
            <w:tcW w:w="2074" w:type="dxa"/>
          </w:tcPr>
          <w:p w14:paraId="5384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46,412,388</w:t>
            </w:r>
          </w:p>
        </w:tc>
        <w:tc>
          <w:tcPr>
            <w:tcW w:w="2623" w:type="dxa"/>
          </w:tcPr>
          <w:p w14:paraId="5682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42,142,991 (90.80%)</w:t>
            </w:r>
          </w:p>
        </w:tc>
        <w:tc>
          <w:tcPr>
            <w:tcW w:w="1525" w:type="dxa"/>
          </w:tcPr>
          <w:p w14:paraId="1C4FA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96.61%</w:t>
            </w:r>
          </w:p>
        </w:tc>
      </w:tr>
      <w:tr w14:paraId="67777A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0A42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B3</w:t>
            </w:r>
          </w:p>
        </w:tc>
        <w:tc>
          <w:tcPr>
            <w:tcW w:w="2074" w:type="dxa"/>
          </w:tcPr>
          <w:p w14:paraId="47AD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43,492,174</w:t>
            </w:r>
          </w:p>
        </w:tc>
        <w:tc>
          <w:tcPr>
            <w:tcW w:w="2623" w:type="dxa"/>
          </w:tcPr>
          <w:p w14:paraId="1726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36,359,845 (83.60%)</w:t>
            </w:r>
          </w:p>
        </w:tc>
        <w:tc>
          <w:tcPr>
            <w:tcW w:w="1525" w:type="dxa"/>
          </w:tcPr>
          <w:p w14:paraId="7A8A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96.65%</w:t>
            </w:r>
          </w:p>
        </w:tc>
      </w:tr>
      <w:tr w14:paraId="09EF48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CC2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D1</w:t>
            </w:r>
          </w:p>
        </w:tc>
        <w:tc>
          <w:tcPr>
            <w:tcW w:w="2074" w:type="dxa"/>
          </w:tcPr>
          <w:p w14:paraId="4AA0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42,447,136</w:t>
            </w:r>
          </w:p>
        </w:tc>
        <w:tc>
          <w:tcPr>
            <w:tcW w:w="2623" w:type="dxa"/>
          </w:tcPr>
          <w:p w14:paraId="0778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35,925,303 (84.64%)</w:t>
            </w:r>
          </w:p>
        </w:tc>
        <w:tc>
          <w:tcPr>
            <w:tcW w:w="1525" w:type="dxa"/>
          </w:tcPr>
          <w:p w14:paraId="39B9D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96.67%</w:t>
            </w:r>
          </w:p>
        </w:tc>
      </w:tr>
      <w:tr w14:paraId="686243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F95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D2</w:t>
            </w:r>
          </w:p>
        </w:tc>
        <w:tc>
          <w:tcPr>
            <w:tcW w:w="2074" w:type="dxa"/>
          </w:tcPr>
          <w:p w14:paraId="7D2A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41,965,444</w:t>
            </w:r>
          </w:p>
        </w:tc>
        <w:tc>
          <w:tcPr>
            <w:tcW w:w="2623" w:type="dxa"/>
          </w:tcPr>
          <w:p w14:paraId="71600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35,450,665 (84.48%)</w:t>
            </w:r>
          </w:p>
        </w:tc>
        <w:tc>
          <w:tcPr>
            <w:tcW w:w="1525" w:type="dxa"/>
          </w:tcPr>
          <w:p w14:paraId="0D130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96.83%</w:t>
            </w:r>
          </w:p>
        </w:tc>
      </w:tr>
      <w:tr w14:paraId="023802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0C13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D3</w:t>
            </w:r>
          </w:p>
        </w:tc>
        <w:tc>
          <w:tcPr>
            <w:tcW w:w="2074" w:type="dxa"/>
          </w:tcPr>
          <w:p w14:paraId="2A19D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45,603,654</w:t>
            </w:r>
          </w:p>
        </w:tc>
        <w:tc>
          <w:tcPr>
            <w:tcW w:w="2623" w:type="dxa"/>
          </w:tcPr>
          <w:p w14:paraId="342F7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35,998,406 (78.94%)</w:t>
            </w:r>
          </w:p>
        </w:tc>
        <w:tc>
          <w:tcPr>
            <w:tcW w:w="1525" w:type="dxa"/>
          </w:tcPr>
          <w:p w14:paraId="6DE66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96.90%</w:t>
            </w:r>
          </w:p>
        </w:tc>
      </w:tr>
      <w:tr w14:paraId="0CB91C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D01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E1</w:t>
            </w:r>
          </w:p>
        </w:tc>
        <w:tc>
          <w:tcPr>
            <w:tcW w:w="2074" w:type="dxa"/>
          </w:tcPr>
          <w:p w14:paraId="109F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41,163,074</w:t>
            </w:r>
          </w:p>
        </w:tc>
        <w:tc>
          <w:tcPr>
            <w:tcW w:w="2623" w:type="dxa"/>
          </w:tcPr>
          <w:p w14:paraId="0C17D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34,735,163 (84.38%)</w:t>
            </w:r>
          </w:p>
        </w:tc>
        <w:tc>
          <w:tcPr>
            <w:tcW w:w="1525" w:type="dxa"/>
          </w:tcPr>
          <w:p w14:paraId="21D4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96.62%</w:t>
            </w:r>
          </w:p>
        </w:tc>
      </w:tr>
      <w:tr w14:paraId="20C23F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CBD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E2</w:t>
            </w:r>
          </w:p>
        </w:tc>
        <w:tc>
          <w:tcPr>
            <w:tcW w:w="2074" w:type="dxa"/>
          </w:tcPr>
          <w:p w14:paraId="6F7E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40,645,514</w:t>
            </w:r>
          </w:p>
        </w:tc>
        <w:tc>
          <w:tcPr>
            <w:tcW w:w="2623" w:type="dxa"/>
          </w:tcPr>
          <w:p w14:paraId="2F2B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32,985,637 (81.15%)</w:t>
            </w:r>
          </w:p>
        </w:tc>
        <w:tc>
          <w:tcPr>
            <w:tcW w:w="1525" w:type="dxa"/>
          </w:tcPr>
          <w:p w14:paraId="3869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98.09%</w:t>
            </w:r>
          </w:p>
        </w:tc>
      </w:tr>
      <w:tr w14:paraId="2BBD21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05F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E3</w:t>
            </w:r>
          </w:p>
        </w:tc>
        <w:tc>
          <w:tcPr>
            <w:tcW w:w="2074" w:type="dxa"/>
          </w:tcPr>
          <w:p w14:paraId="6A396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42,924,666</w:t>
            </w:r>
          </w:p>
        </w:tc>
        <w:tc>
          <w:tcPr>
            <w:tcW w:w="2623" w:type="dxa"/>
          </w:tcPr>
          <w:p w14:paraId="0C57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36,394,007 (84.79%)</w:t>
            </w:r>
          </w:p>
        </w:tc>
        <w:tc>
          <w:tcPr>
            <w:tcW w:w="1525" w:type="dxa"/>
          </w:tcPr>
          <w:p w14:paraId="6F58C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97.93%</w:t>
            </w:r>
          </w:p>
        </w:tc>
      </w:tr>
      <w:tr w14:paraId="65E731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1AB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G1</w:t>
            </w:r>
          </w:p>
        </w:tc>
        <w:tc>
          <w:tcPr>
            <w:tcW w:w="2074" w:type="dxa"/>
          </w:tcPr>
          <w:p w14:paraId="0984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48,914,006</w:t>
            </w:r>
          </w:p>
        </w:tc>
        <w:tc>
          <w:tcPr>
            <w:tcW w:w="2623" w:type="dxa"/>
          </w:tcPr>
          <w:p w14:paraId="2D47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42,162,916 (86.20%)</w:t>
            </w:r>
          </w:p>
        </w:tc>
        <w:tc>
          <w:tcPr>
            <w:tcW w:w="1525" w:type="dxa"/>
          </w:tcPr>
          <w:p w14:paraId="412FD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96.70%</w:t>
            </w:r>
          </w:p>
        </w:tc>
      </w:tr>
      <w:tr w14:paraId="15F06E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C9D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G2</w:t>
            </w:r>
          </w:p>
        </w:tc>
        <w:tc>
          <w:tcPr>
            <w:tcW w:w="2074" w:type="dxa"/>
          </w:tcPr>
          <w:p w14:paraId="73AC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58,832,492</w:t>
            </w:r>
          </w:p>
        </w:tc>
        <w:tc>
          <w:tcPr>
            <w:tcW w:w="2623" w:type="dxa"/>
          </w:tcPr>
          <w:p w14:paraId="54EF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51,712,421 (87.90%)</w:t>
            </w:r>
          </w:p>
        </w:tc>
        <w:tc>
          <w:tcPr>
            <w:tcW w:w="1525" w:type="dxa"/>
          </w:tcPr>
          <w:p w14:paraId="1E16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96.80%</w:t>
            </w:r>
          </w:p>
        </w:tc>
      </w:tr>
      <w:tr w14:paraId="73CA8A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D59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G3</w:t>
            </w:r>
          </w:p>
        </w:tc>
        <w:tc>
          <w:tcPr>
            <w:tcW w:w="2074" w:type="dxa"/>
          </w:tcPr>
          <w:p w14:paraId="661D6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55,000,000</w:t>
            </w:r>
          </w:p>
        </w:tc>
        <w:tc>
          <w:tcPr>
            <w:tcW w:w="2623" w:type="dxa"/>
          </w:tcPr>
          <w:p w14:paraId="74EE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48,230,974 (87.69%)</w:t>
            </w:r>
          </w:p>
        </w:tc>
        <w:tc>
          <w:tcPr>
            <w:tcW w:w="1525" w:type="dxa"/>
          </w:tcPr>
          <w:p w14:paraId="57BB7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97.97%</w:t>
            </w:r>
          </w:p>
        </w:tc>
      </w:tr>
      <w:tr w14:paraId="4DF524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E00D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H1</w:t>
            </w:r>
          </w:p>
        </w:tc>
        <w:tc>
          <w:tcPr>
            <w:tcW w:w="2074" w:type="dxa"/>
          </w:tcPr>
          <w:p w14:paraId="024B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51,089,242</w:t>
            </w:r>
          </w:p>
        </w:tc>
        <w:tc>
          <w:tcPr>
            <w:tcW w:w="2623" w:type="dxa"/>
          </w:tcPr>
          <w:p w14:paraId="3913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36,687,309 (71.81%)</w:t>
            </w:r>
          </w:p>
        </w:tc>
        <w:tc>
          <w:tcPr>
            <w:tcW w:w="1525" w:type="dxa"/>
          </w:tcPr>
          <w:p w14:paraId="772C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95.25%</w:t>
            </w:r>
          </w:p>
        </w:tc>
      </w:tr>
      <w:tr w14:paraId="7DAA7F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733E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H2</w:t>
            </w:r>
          </w:p>
        </w:tc>
        <w:tc>
          <w:tcPr>
            <w:tcW w:w="2074" w:type="dxa"/>
          </w:tcPr>
          <w:p w14:paraId="7CA8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43,984,386</w:t>
            </w:r>
          </w:p>
        </w:tc>
        <w:tc>
          <w:tcPr>
            <w:tcW w:w="2623" w:type="dxa"/>
          </w:tcPr>
          <w:p w14:paraId="69E1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38,126,116 (86.68%)</w:t>
            </w:r>
          </w:p>
        </w:tc>
        <w:tc>
          <w:tcPr>
            <w:tcW w:w="1525" w:type="dxa"/>
          </w:tcPr>
          <w:p w14:paraId="4DE92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96.97%</w:t>
            </w:r>
          </w:p>
        </w:tc>
      </w:tr>
      <w:tr w14:paraId="7D0222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9E9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H3</w:t>
            </w:r>
          </w:p>
        </w:tc>
        <w:tc>
          <w:tcPr>
            <w:tcW w:w="2074" w:type="dxa"/>
          </w:tcPr>
          <w:p w14:paraId="6AD8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46,620,946</w:t>
            </w:r>
          </w:p>
        </w:tc>
        <w:tc>
          <w:tcPr>
            <w:tcW w:w="2623" w:type="dxa"/>
          </w:tcPr>
          <w:p w14:paraId="42F96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38,533,581 (82.65%)</w:t>
            </w:r>
          </w:p>
        </w:tc>
        <w:tc>
          <w:tcPr>
            <w:tcW w:w="1525" w:type="dxa"/>
          </w:tcPr>
          <w:p w14:paraId="76AB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95.95%</w:t>
            </w:r>
          </w:p>
        </w:tc>
      </w:tr>
    </w:tbl>
    <w:p w14:paraId="6CD5A9C4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</w:p>
    <w:p w14:paraId="2BEB342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5449"/>
    <w:multiLevelType w:val="singleLevel"/>
    <w:tmpl w:val="9326544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F2C2637"/>
    <w:multiLevelType w:val="multilevel"/>
    <w:tmpl w:val="9F2C2637"/>
    <w:lvl w:ilvl="0" w:tentative="0">
      <w:start w:val="1"/>
      <w:numFmt w:val="decimal"/>
      <w:isLgl/>
      <w:suff w:val="space"/>
      <w:lvlText w:val="第%1章 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A135BB6D"/>
    <w:multiLevelType w:val="singleLevel"/>
    <w:tmpl w:val="A135BB6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183626D"/>
    <w:multiLevelType w:val="singleLevel"/>
    <w:tmpl w:val="A183626D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jRmNzcxZWYyZjVhOGQ1MGFkMjlkOTgzOGU3MzgifQ=="/>
  </w:docVars>
  <w:rsids>
    <w:rsidRoot w:val="673F4972"/>
    <w:rsid w:val="4B0E6EAA"/>
    <w:rsid w:val="673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四级标题"/>
    <w:basedOn w:val="1"/>
    <w:autoRedefine/>
    <w:qFormat/>
    <w:uiPriority w:val="0"/>
    <w:pPr>
      <w:widowControl/>
      <w:numPr>
        <w:ilvl w:val="3"/>
        <w:numId w:val="1"/>
      </w:numPr>
      <w:spacing w:before="180" w:after="180" w:line="360" w:lineRule="auto"/>
      <w:jc w:val="left"/>
      <w:outlineLvl w:val="3"/>
    </w:pPr>
    <w:rPr>
      <w:rFonts w:ascii="黑体" w:hAnsi="黑体" w:eastAsia="黑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7095</Characters>
  <Lines>0</Lines>
  <Paragraphs>0</Paragraphs>
  <TotalTime>0</TotalTime>
  <ScaleCrop>false</ScaleCrop>
  <LinksUpToDate>false</LinksUpToDate>
  <CharactersWithSpaces>7812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2024-09-11T12:53:00Z</dcterms:created>
  <dc:creator>doki</dc:creator>
  <cp:lastModifiedBy>doki</cp:lastModifiedBy>
  <dcterms:modified xsi:type="dcterms:W3CDTF">2024-10-05T10:01:15Z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B51C53E68CF542FB840BFFBF06CEBAE3_11</vt:lpwstr>
  </property>
</Properties>
</file>