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E598" w14:textId="32B5DBC3" w:rsidR="00C14B34" w:rsidRPr="009F72B0" w:rsidRDefault="00227748" w:rsidP="000934B3">
      <w:pPr>
        <w:spacing w:line="360" w:lineRule="auto"/>
        <w:jc w:val="both"/>
        <w:rPr>
          <w:b/>
          <w:bCs/>
          <w:lang w:val="en-US"/>
        </w:rPr>
      </w:pPr>
      <w:r w:rsidRPr="009F72B0">
        <w:rPr>
          <w:b/>
          <w:bCs/>
          <w:lang w:val="en-US"/>
        </w:rPr>
        <w:t xml:space="preserve">Description of </w:t>
      </w:r>
      <w:r w:rsidR="00242E43" w:rsidRPr="009F72B0">
        <w:rPr>
          <w:b/>
          <w:bCs/>
          <w:lang w:val="en-US"/>
        </w:rPr>
        <w:t>RT-</w:t>
      </w:r>
      <w:r w:rsidRPr="009F72B0">
        <w:rPr>
          <w:b/>
          <w:bCs/>
          <w:lang w:val="en-US"/>
        </w:rPr>
        <w:t xml:space="preserve">qPCR according to </w:t>
      </w:r>
      <w:r w:rsidR="00052CC2" w:rsidRPr="009F72B0">
        <w:rPr>
          <w:b/>
          <w:bCs/>
          <w:lang w:val="en-US"/>
        </w:rPr>
        <w:t xml:space="preserve">the </w:t>
      </w:r>
      <w:r w:rsidR="00C14B34" w:rsidRPr="009F72B0">
        <w:rPr>
          <w:b/>
          <w:bCs/>
          <w:lang w:val="en-US"/>
        </w:rPr>
        <w:t>MIQE guidelines</w:t>
      </w:r>
      <w:r w:rsidR="00A95966" w:rsidRPr="009F72B0">
        <w:rPr>
          <w:b/>
          <w:bCs/>
          <w:lang w:val="en-US"/>
        </w:rPr>
        <w:t xml:space="preserve"> (E = essential, D = desirable): </w:t>
      </w:r>
    </w:p>
    <w:p w14:paraId="1B0804D0" w14:textId="15A0D7B0" w:rsidR="009F776F" w:rsidRPr="003752FC" w:rsidRDefault="009F776F" w:rsidP="000934B3">
      <w:pPr>
        <w:spacing w:line="360" w:lineRule="auto"/>
        <w:jc w:val="both"/>
        <w:rPr>
          <w:b/>
          <w:bCs/>
          <w:lang w:val="en-US"/>
        </w:rPr>
      </w:pPr>
      <w:r w:rsidRPr="003752FC">
        <w:rPr>
          <w:b/>
          <w:bCs/>
          <w:lang w:val="en-US"/>
        </w:rPr>
        <w:t>Experimental design:</w:t>
      </w:r>
    </w:p>
    <w:p w14:paraId="14F6E757" w14:textId="10640B51" w:rsidR="004D054E" w:rsidRPr="00004C84" w:rsidRDefault="009F776F" w:rsidP="000934B3">
      <w:pPr>
        <w:spacing w:line="360" w:lineRule="auto"/>
        <w:jc w:val="both"/>
        <w:rPr>
          <w:b/>
          <w:bCs/>
          <w:lang w:val="en-US"/>
        </w:rPr>
      </w:pPr>
      <w:r w:rsidRPr="00004C84">
        <w:rPr>
          <w:b/>
          <w:bCs/>
          <w:lang w:val="en-US"/>
        </w:rPr>
        <w:t>Definition of experimental and control groups</w:t>
      </w:r>
      <w:r w:rsidR="004D054E" w:rsidRPr="00004C84">
        <w:rPr>
          <w:b/>
          <w:bCs/>
          <w:lang w:val="en-US"/>
        </w:rPr>
        <w:t xml:space="preserve"> (E)</w:t>
      </w:r>
      <w:r w:rsidRPr="00004C84">
        <w:rPr>
          <w:b/>
          <w:bCs/>
          <w:lang w:val="en-US"/>
        </w:rPr>
        <w:t>:</w:t>
      </w:r>
      <w:r w:rsidR="004D054E" w:rsidRPr="00004C84">
        <w:rPr>
          <w:b/>
          <w:bCs/>
          <w:lang w:val="en-US"/>
        </w:rPr>
        <w:t xml:space="preserve"> </w:t>
      </w:r>
    </w:p>
    <w:p w14:paraId="7C86063C" w14:textId="12ED0730" w:rsidR="00560796" w:rsidRPr="009F72B0" w:rsidRDefault="004D054E" w:rsidP="00824B72">
      <w:pPr>
        <w:pStyle w:val="Odstavecseseznamem"/>
        <w:numPr>
          <w:ilvl w:val="0"/>
          <w:numId w:val="1"/>
        </w:numPr>
        <w:spacing w:line="360" w:lineRule="auto"/>
        <w:jc w:val="both"/>
        <w:rPr>
          <w:lang w:val="en-US"/>
        </w:rPr>
      </w:pPr>
      <w:r w:rsidRPr="00004C84">
        <w:rPr>
          <w:lang w:val="en-US"/>
        </w:rPr>
        <w:t xml:space="preserve">Control group </w:t>
      </w:r>
      <w:r w:rsidR="00824B72" w:rsidRPr="00004C84">
        <w:rPr>
          <w:lang w:val="en-US"/>
        </w:rPr>
        <w:t xml:space="preserve">(to which </w:t>
      </w:r>
      <w:proofErr w:type="spellStart"/>
      <w:r w:rsidR="00824B72" w:rsidRPr="00004C84">
        <w:rPr>
          <w:lang w:val="en-US"/>
        </w:rPr>
        <w:t>ΔCt</w:t>
      </w:r>
      <w:proofErr w:type="spellEnd"/>
      <w:r w:rsidR="00824B72" w:rsidRPr="00004C84">
        <w:rPr>
          <w:lang w:val="en-US"/>
        </w:rPr>
        <w:t xml:space="preserve"> was compared</w:t>
      </w:r>
      <w:r w:rsidR="00C418E5" w:rsidRPr="00004C84">
        <w:rPr>
          <w:lang w:val="en-US"/>
        </w:rPr>
        <w:t xml:space="preserve"> to</w:t>
      </w:r>
      <w:r w:rsidR="00824B72" w:rsidRPr="00004C84">
        <w:rPr>
          <w:lang w:val="en-US"/>
        </w:rPr>
        <w:t>):</w:t>
      </w:r>
      <w:r w:rsidR="00824B72" w:rsidRPr="009F72B0">
        <w:rPr>
          <w:lang w:val="en-US"/>
        </w:rPr>
        <w:t xml:space="preserve"> </w:t>
      </w:r>
      <w:r w:rsidR="00916A5E" w:rsidRPr="009F72B0">
        <w:rPr>
          <w:lang w:val="en-US"/>
        </w:rPr>
        <w:t>RNA from</w:t>
      </w:r>
      <w:r w:rsidR="00291050" w:rsidRPr="009F72B0">
        <w:rPr>
          <w:lang w:val="en-US"/>
        </w:rPr>
        <w:t xml:space="preserve"> </w:t>
      </w:r>
      <w:r w:rsidR="00916A5E" w:rsidRPr="009F72B0">
        <w:rPr>
          <w:lang w:val="en-US"/>
        </w:rPr>
        <w:t>cells cultured conventionally</w:t>
      </w:r>
      <w:r w:rsidR="00824B72" w:rsidRPr="009F72B0">
        <w:rPr>
          <w:lang w:val="en-US"/>
        </w:rPr>
        <w:t xml:space="preserve"> (i.e., </w:t>
      </w:r>
      <w:r w:rsidR="00560796" w:rsidRPr="009F72B0">
        <w:rPr>
          <w:lang w:val="en-US"/>
        </w:rPr>
        <w:t>cells in medium with no gel and no scaffold</w:t>
      </w:r>
      <w:r w:rsidR="00824B72" w:rsidRPr="009F72B0">
        <w:rPr>
          <w:lang w:val="en-US"/>
        </w:rPr>
        <w:t>)</w:t>
      </w:r>
    </w:p>
    <w:p w14:paraId="684F883D" w14:textId="4FFE807F" w:rsidR="009F776F" w:rsidRPr="00004C84" w:rsidRDefault="00824B72" w:rsidP="00824B72">
      <w:pPr>
        <w:pStyle w:val="Odstavecseseznamem"/>
        <w:numPr>
          <w:ilvl w:val="0"/>
          <w:numId w:val="1"/>
        </w:numPr>
        <w:spacing w:line="360" w:lineRule="auto"/>
        <w:jc w:val="both"/>
        <w:rPr>
          <w:lang w:val="en-US"/>
        </w:rPr>
      </w:pPr>
      <w:r w:rsidRPr="00004C84">
        <w:rPr>
          <w:b/>
          <w:bCs/>
          <w:lang w:val="en-US"/>
        </w:rPr>
        <w:t xml:space="preserve"> </w:t>
      </w:r>
      <w:r w:rsidR="00C418E5" w:rsidRPr="00004C84">
        <w:rPr>
          <w:lang w:val="en-US"/>
        </w:rPr>
        <w:t>Experimental group</w:t>
      </w:r>
      <w:r w:rsidR="00916A5E" w:rsidRPr="00004C84">
        <w:rPr>
          <w:lang w:val="en-US"/>
        </w:rPr>
        <w:t>s:</w:t>
      </w:r>
    </w:p>
    <w:p w14:paraId="64740602" w14:textId="3A6F0128" w:rsidR="00916A5E" w:rsidRPr="009F72B0" w:rsidRDefault="00916A5E" w:rsidP="00916A5E">
      <w:pPr>
        <w:pStyle w:val="Odstavecseseznamem"/>
        <w:numPr>
          <w:ilvl w:val="1"/>
          <w:numId w:val="1"/>
        </w:numPr>
        <w:spacing w:line="360" w:lineRule="auto"/>
        <w:jc w:val="both"/>
        <w:rPr>
          <w:lang w:val="en-US"/>
        </w:rPr>
      </w:pPr>
      <w:r w:rsidRPr="009F72B0">
        <w:rPr>
          <w:lang w:val="en-US"/>
        </w:rPr>
        <w:t>RNA from cells cultured in collagen scaffold</w:t>
      </w:r>
    </w:p>
    <w:p w14:paraId="7FAB8208" w14:textId="0FC6C2BE" w:rsidR="00916A5E" w:rsidRPr="009F72B0" w:rsidRDefault="00916A5E" w:rsidP="00916A5E">
      <w:pPr>
        <w:pStyle w:val="Odstavecseseznamem"/>
        <w:numPr>
          <w:ilvl w:val="1"/>
          <w:numId w:val="1"/>
        </w:numPr>
        <w:spacing w:line="360" w:lineRule="auto"/>
        <w:jc w:val="both"/>
        <w:rPr>
          <w:lang w:val="en-US"/>
        </w:rPr>
      </w:pPr>
      <w:r w:rsidRPr="009F72B0">
        <w:rPr>
          <w:lang w:val="en-US"/>
        </w:rPr>
        <w:t>RNA from cells cultured in CMC-PEG gel</w:t>
      </w:r>
    </w:p>
    <w:p w14:paraId="27E80AA8" w14:textId="4EE20C21" w:rsidR="00916A5E" w:rsidRPr="00004C84" w:rsidRDefault="00916A5E" w:rsidP="00916A5E">
      <w:pPr>
        <w:pStyle w:val="Odstavecseseznamem"/>
        <w:numPr>
          <w:ilvl w:val="0"/>
          <w:numId w:val="1"/>
        </w:numPr>
        <w:spacing w:line="360" w:lineRule="auto"/>
        <w:jc w:val="both"/>
        <w:rPr>
          <w:lang w:val="en-US"/>
        </w:rPr>
      </w:pPr>
      <w:r w:rsidRPr="00004C84">
        <w:rPr>
          <w:lang w:val="en-US"/>
        </w:rPr>
        <w:t>Negative controls:</w:t>
      </w:r>
    </w:p>
    <w:p w14:paraId="28D4E239" w14:textId="556FBB3D" w:rsidR="00A95966" w:rsidRPr="009F72B0" w:rsidRDefault="00916A5E" w:rsidP="00A95966">
      <w:pPr>
        <w:pStyle w:val="Odstavecseseznamem"/>
        <w:numPr>
          <w:ilvl w:val="1"/>
          <w:numId w:val="1"/>
        </w:numPr>
        <w:spacing w:line="360" w:lineRule="auto"/>
        <w:jc w:val="both"/>
        <w:rPr>
          <w:lang w:val="en-US"/>
        </w:rPr>
      </w:pPr>
      <w:r w:rsidRPr="009F72B0">
        <w:rPr>
          <w:lang w:val="en-US"/>
        </w:rPr>
        <w:t>RNA f</w:t>
      </w:r>
      <w:r w:rsidR="00C47051" w:rsidRPr="009F72B0">
        <w:rPr>
          <w:lang w:val="en-US"/>
        </w:rPr>
        <w:t>rom unseeded collagen scaffold</w:t>
      </w:r>
    </w:p>
    <w:p w14:paraId="22EA6A22" w14:textId="5EB47FA3" w:rsidR="00C47051" w:rsidRPr="009F72B0" w:rsidRDefault="00C47051" w:rsidP="00A95966">
      <w:pPr>
        <w:pStyle w:val="Odstavecseseznamem"/>
        <w:numPr>
          <w:ilvl w:val="1"/>
          <w:numId w:val="1"/>
        </w:numPr>
        <w:spacing w:line="360" w:lineRule="auto"/>
        <w:jc w:val="both"/>
        <w:rPr>
          <w:lang w:val="en-US"/>
        </w:rPr>
      </w:pPr>
      <w:r w:rsidRPr="009F72B0">
        <w:rPr>
          <w:lang w:val="en-US"/>
        </w:rPr>
        <w:t>RNA from unseeded CMC-PEG gel</w:t>
      </w:r>
    </w:p>
    <w:p w14:paraId="6272A0A8" w14:textId="406A8339" w:rsidR="00C47051" w:rsidRPr="009F72B0" w:rsidRDefault="00C47051" w:rsidP="00A95966">
      <w:pPr>
        <w:pStyle w:val="Odstavecseseznamem"/>
        <w:numPr>
          <w:ilvl w:val="1"/>
          <w:numId w:val="1"/>
        </w:numPr>
        <w:spacing w:line="360" w:lineRule="auto"/>
        <w:jc w:val="both"/>
        <w:rPr>
          <w:lang w:val="en-US"/>
        </w:rPr>
      </w:pPr>
      <w:r w:rsidRPr="009F72B0">
        <w:rPr>
          <w:lang w:val="en-US"/>
        </w:rPr>
        <w:t>RNA from M2-10B4 (</w:t>
      </w:r>
      <w:r w:rsidR="00565BB5">
        <w:rPr>
          <w:lang w:val="en-US"/>
        </w:rPr>
        <w:t xml:space="preserve">i.e., </w:t>
      </w:r>
      <w:r w:rsidRPr="009F72B0">
        <w:rPr>
          <w:lang w:val="en-US"/>
        </w:rPr>
        <w:t>co-cultured murine cell line)</w:t>
      </w:r>
    </w:p>
    <w:p w14:paraId="2B3AEDC7" w14:textId="5C9A6EDC" w:rsidR="00C47051" w:rsidRPr="009F72B0" w:rsidRDefault="00C47051" w:rsidP="00A95966">
      <w:pPr>
        <w:pStyle w:val="Odstavecseseznamem"/>
        <w:numPr>
          <w:ilvl w:val="1"/>
          <w:numId w:val="1"/>
        </w:numPr>
        <w:spacing w:line="360" w:lineRule="auto"/>
        <w:jc w:val="both"/>
        <w:rPr>
          <w:lang w:val="en-US"/>
        </w:rPr>
      </w:pPr>
      <w:r w:rsidRPr="009F72B0">
        <w:rPr>
          <w:lang w:val="en-US"/>
        </w:rPr>
        <w:t>Nuclease-free water supplemented in Luna universal one-step RT-qPCR kit (New England Biolabs, Ipswich, MA, USA)</w:t>
      </w:r>
    </w:p>
    <w:p w14:paraId="11A49D04" w14:textId="0A95CB64" w:rsidR="00C47051" w:rsidRPr="00004C84" w:rsidRDefault="00C47051" w:rsidP="00C47051">
      <w:pPr>
        <w:pStyle w:val="Odstavecseseznamem"/>
        <w:numPr>
          <w:ilvl w:val="0"/>
          <w:numId w:val="1"/>
        </w:numPr>
        <w:spacing w:line="360" w:lineRule="auto"/>
        <w:jc w:val="both"/>
        <w:rPr>
          <w:lang w:val="en-US"/>
        </w:rPr>
      </w:pPr>
      <w:r w:rsidRPr="00004C84">
        <w:rPr>
          <w:lang w:val="en-US"/>
        </w:rPr>
        <w:t>Positive control:</w:t>
      </w:r>
    </w:p>
    <w:p w14:paraId="6E8CA587" w14:textId="7F3D2BCE" w:rsidR="00C47051" w:rsidRPr="009F72B0" w:rsidRDefault="00C47051" w:rsidP="00C47051">
      <w:pPr>
        <w:pStyle w:val="Odstavecseseznamem"/>
        <w:numPr>
          <w:ilvl w:val="1"/>
          <w:numId w:val="1"/>
        </w:numPr>
        <w:spacing w:line="360" w:lineRule="auto"/>
        <w:jc w:val="both"/>
        <w:rPr>
          <w:lang w:val="en-US"/>
        </w:rPr>
      </w:pPr>
      <w:r w:rsidRPr="009F72B0">
        <w:rPr>
          <w:lang w:val="en-US"/>
        </w:rPr>
        <w:t xml:space="preserve">RNA from monoculture of </w:t>
      </w:r>
      <w:r w:rsidR="00291050" w:rsidRPr="009F72B0">
        <w:rPr>
          <w:lang w:val="en-US"/>
        </w:rPr>
        <w:t xml:space="preserve">human </w:t>
      </w:r>
      <w:r w:rsidRPr="009F72B0">
        <w:rPr>
          <w:lang w:val="en-US"/>
        </w:rPr>
        <w:t xml:space="preserve">primary cells acquired from a CLL </w:t>
      </w:r>
      <w:r w:rsidR="002F77D1" w:rsidRPr="009F72B0">
        <w:rPr>
          <w:lang w:val="en-US"/>
        </w:rPr>
        <w:t>patient</w:t>
      </w:r>
    </w:p>
    <w:p w14:paraId="5ECDB9AB" w14:textId="552575C2" w:rsidR="00C47051" w:rsidRPr="00004C84" w:rsidRDefault="002F77D1" w:rsidP="001D1205">
      <w:pPr>
        <w:spacing w:line="360" w:lineRule="auto"/>
        <w:jc w:val="both"/>
        <w:rPr>
          <w:b/>
          <w:bCs/>
          <w:lang w:val="en-US"/>
        </w:rPr>
      </w:pPr>
      <w:r w:rsidRPr="00004C84">
        <w:rPr>
          <w:b/>
          <w:bCs/>
          <w:lang w:val="en-US"/>
        </w:rPr>
        <w:t>Number within each group (E):</w:t>
      </w:r>
    </w:p>
    <w:p w14:paraId="32738ADF" w14:textId="55CA857C" w:rsidR="00F02795" w:rsidRPr="00F02795" w:rsidRDefault="00F02795" w:rsidP="00F02795">
      <w:pPr>
        <w:pStyle w:val="Odstavecseseznamem"/>
        <w:numPr>
          <w:ilvl w:val="0"/>
          <w:numId w:val="1"/>
        </w:numPr>
        <w:spacing w:line="360" w:lineRule="auto"/>
        <w:jc w:val="both"/>
        <w:rPr>
          <w:lang w:val="en-US"/>
        </w:rPr>
      </w:pPr>
      <w:r>
        <w:rPr>
          <w:lang w:val="en-US"/>
        </w:rPr>
        <w:t>Cells of 15 patients (Supplemental Table S1) were cultured in three conditions (control</w:t>
      </w:r>
      <w:r w:rsidR="003739B2">
        <w:rPr>
          <w:lang w:val="en-US"/>
        </w:rPr>
        <w:t>s</w:t>
      </w:r>
      <w:r>
        <w:rPr>
          <w:lang w:val="en-US"/>
        </w:rPr>
        <w:t xml:space="preserve"> – conventionally; experimental groups </w:t>
      </w:r>
      <w:r w:rsidR="003739B2">
        <w:rPr>
          <w:lang w:val="en-US"/>
        </w:rPr>
        <w:t>– in collagen scaffold, in CMC-PEG gel)</w:t>
      </w:r>
    </w:p>
    <w:p w14:paraId="798E3D91" w14:textId="5DDAEAEE" w:rsidR="00C92F49" w:rsidRPr="00004C84" w:rsidRDefault="001228F3" w:rsidP="002F77D1">
      <w:pPr>
        <w:pStyle w:val="Odstavecseseznamem"/>
        <w:numPr>
          <w:ilvl w:val="0"/>
          <w:numId w:val="1"/>
        </w:numPr>
        <w:spacing w:line="360" w:lineRule="auto"/>
        <w:jc w:val="both"/>
        <w:rPr>
          <w:lang w:val="en-US"/>
        </w:rPr>
      </w:pPr>
      <w:r w:rsidRPr="00004C84">
        <w:rPr>
          <w:lang w:val="en-US"/>
        </w:rPr>
        <w:t xml:space="preserve">For each control </w:t>
      </w:r>
      <w:r w:rsidR="00C92F49" w:rsidRPr="00004C84">
        <w:rPr>
          <w:lang w:val="en-US"/>
        </w:rPr>
        <w:t xml:space="preserve">group </w:t>
      </w:r>
      <w:r w:rsidRPr="00004C84">
        <w:rPr>
          <w:lang w:val="en-US"/>
        </w:rPr>
        <w:t xml:space="preserve">and experimental group: </w:t>
      </w:r>
    </w:p>
    <w:p w14:paraId="11B80799" w14:textId="7C570232" w:rsidR="00C92F49" w:rsidRPr="009F72B0" w:rsidRDefault="00514772" w:rsidP="00C92F49">
      <w:pPr>
        <w:pStyle w:val="Odstavecseseznamem"/>
        <w:numPr>
          <w:ilvl w:val="1"/>
          <w:numId w:val="1"/>
        </w:numPr>
        <w:spacing w:line="360" w:lineRule="auto"/>
        <w:jc w:val="both"/>
        <w:rPr>
          <w:lang w:val="en-US"/>
        </w:rPr>
      </w:pPr>
      <w:r>
        <w:rPr>
          <w:lang w:val="en-US"/>
        </w:rPr>
        <w:t xml:space="preserve">3 </w:t>
      </w:r>
      <w:r w:rsidR="001228F3" w:rsidRPr="009F72B0">
        <w:rPr>
          <w:lang w:val="en-US"/>
        </w:rPr>
        <w:t>biological replicates for each patient and culture type</w:t>
      </w:r>
    </w:p>
    <w:p w14:paraId="7F50AC27" w14:textId="23C6F01F" w:rsidR="002F77D1" w:rsidRDefault="001228F3" w:rsidP="00C92F49">
      <w:pPr>
        <w:pStyle w:val="Odstavecseseznamem"/>
        <w:numPr>
          <w:ilvl w:val="1"/>
          <w:numId w:val="1"/>
        </w:numPr>
        <w:spacing w:line="360" w:lineRule="auto"/>
        <w:jc w:val="both"/>
        <w:rPr>
          <w:lang w:val="en-US"/>
        </w:rPr>
      </w:pPr>
      <w:r w:rsidRPr="009F72B0">
        <w:rPr>
          <w:lang w:val="en-US"/>
        </w:rPr>
        <w:t xml:space="preserve">3 </w:t>
      </w:r>
      <w:r w:rsidR="00251F14">
        <w:rPr>
          <w:lang w:val="en-US"/>
        </w:rPr>
        <w:t>RT-</w:t>
      </w:r>
      <w:r w:rsidRPr="009F72B0">
        <w:rPr>
          <w:lang w:val="en-US"/>
        </w:rPr>
        <w:t>qPCR replicates for each RNA</w:t>
      </w:r>
      <w:r w:rsidR="00C92F49" w:rsidRPr="009F72B0">
        <w:rPr>
          <w:lang w:val="en-US"/>
        </w:rPr>
        <w:t xml:space="preserve"> template</w:t>
      </w:r>
    </w:p>
    <w:p w14:paraId="4ACAE38E" w14:textId="1DAE5E77" w:rsidR="00C92F49" w:rsidRPr="009F72B0" w:rsidRDefault="00C92F49" w:rsidP="00C92F49">
      <w:pPr>
        <w:pStyle w:val="Odstavecseseznamem"/>
        <w:numPr>
          <w:ilvl w:val="0"/>
          <w:numId w:val="1"/>
        </w:numPr>
        <w:spacing w:line="360" w:lineRule="auto"/>
        <w:jc w:val="both"/>
        <w:rPr>
          <w:lang w:val="en-US"/>
        </w:rPr>
      </w:pPr>
      <w:r w:rsidRPr="009F72B0">
        <w:rPr>
          <w:lang w:val="en-US"/>
        </w:rPr>
        <w:t>For each negative and positive control:</w:t>
      </w:r>
    </w:p>
    <w:p w14:paraId="2A66944A" w14:textId="665212CE" w:rsidR="00C92F49" w:rsidRPr="009F72B0" w:rsidRDefault="00C92F49" w:rsidP="00C92F49">
      <w:pPr>
        <w:pStyle w:val="Odstavecseseznamem"/>
        <w:numPr>
          <w:ilvl w:val="1"/>
          <w:numId w:val="1"/>
        </w:numPr>
        <w:spacing w:line="360" w:lineRule="auto"/>
        <w:jc w:val="both"/>
        <w:rPr>
          <w:lang w:val="en-US"/>
        </w:rPr>
      </w:pPr>
      <w:r w:rsidRPr="009F72B0">
        <w:rPr>
          <w:lang w:val="en-US"/>
        </w:rPr>
        <w:t xml:space="preserve">3 </w:t>
      </w:r>
      <w:r w:rsidR="00251F14">
        <w:rPr>
          <w:lang w:val="en-US"/>
        </w:rPr>
        <w:t>RT-</w:t>
      </w:r>
      <w:r w:rsidRPr="009F72B0">
        <w:rPr>
          <w:lang w:val="en-US"/>
        </w:rPr>
        <w:t>qPCR replicates for each RNA template</w:t>
      </w:r>
    </w:p>
    <w:p w14:paraId="247C48A5" w14:textId="3F817126" w:rsidR="00E45C76" w:rsidRPr="00004C84" w:rsidRDefault="00E45C76" w:rsidP="00DC3B68">
      <w:pPr>
        <w:spacing w:line="360" w:lineRule="auto"/>
        <w:jc w:val="both"/>
        <w:rPr>
          <w:b/>
          <w:bCs/>
          <w:lang w:val="en-US"/>
        </w:rPr>
      </w:pPr>
      <w:r w:rsidRPr="00004C84">
        <w:rPr>
          <w:b/>
          <w:bCs/>
          <w:lang w:val="en-US"/>
        </w:rPr>
        <w:t xml:space="preserve">Assay carried out by core lab or investigator’s </w:t>
      </w:r>
      <w:proofErr w:type="gramStart"/>
      <w:r w:rsidRPr="00004C84">
        <w:rPr>
          <w:b/>
          <w:bCs/>
          <w:lang w:val="en-US"/>
        </w:rPr>
        <w:t>lab?</w:t>
      </w:r>
      <w:proofErr w:type="gramEnd"/>
      <w:r w:rsidRPr="00004C84">
        <w:rPr>
          <w:b/>
          <w:bCs/>
          <w:lang w:val="en-US"/>
        </w:rPr>
        <w:t xml:space="preserve"> (D):</w:t>
      </w:r>
    </w:p>
    <w:p w14:paraId="269556AA" w14:textId="1A1C7641" w:rsidR="00DC3B68" w:rsidRPr="009F72B0" w:rsidRDefault="00DC3B68" w:rsidP="00DC3B68">
      <w:pPr>
        <w:pStyle w:val="Odstavecseseznamem"/>
        <w:numPr>
          <w:ilvl w:val="0"/>
          <w:numId w:val="1"/>
        </w:numPr>
        <w:spacing w:line="360" w:lineRule="auto"/>
        <w:jc w:val="both"/>
        <w:rPr>
          <w:lang w:val="en-US"/>
        </w:rPr>
      </w:pPr>
      <w:r w:rsidRPr="009F72B0">
        <w:rPr>
          <w:lang w:val="en-US"/>
        </w:rPr>
        <w:t>By investigator’s lab</w:t>
      </w:r>
      <w:r w:rsidR="00053FA4">
        <w:rPr>
          <w:lang w:val="en-US"/>
        </w:rPr>
        <w:t>, also</w:t>
      </w:r>
      <w:r w:rsidRPr="009F72B0">
        <w:rPr>
          <w:lang w:val="en-US"/>
        </w:rPr>
        <w:t xml:space="preserve"> with the equipment of Core Facility Genomics, CEITEC, Masaryk University</w:t>
      </w:r>
      <w:r w:rsidR="002705FB">
        <w:rPr>
          <w:lang w:val="en-US"/>
        </w:rPr>
        <w:t xml:space="preserve"> Brno, Czech Republic</w:t>
      </w:r>
    </w:p>
    <w:p w14:paraId="66F504A7" w14:textId="11274178" w:rsidR="00DC3B68" w:rsidRPr="00004C84" w:rsidRDefault="00DC3B68" w:rsidP="00DC3B68">
      <w:pPr>
        <w:spacing w:line="360" w:lineRule="auto"/>
        <w:jc w:val="both"/>
        <w:rPr>
          <w:b/>
          <w:bCs/>
          <w:lang w:val="en-US"/>
        </w:rPr>
      </w:pPr>
      <w:r w:rsidRPr="00004C84">
        <w:rPr>
          <w:b/>
          <w:bCs/>
          <w:lang w:val="en-US"/>
        </w:rPr>
        <w:t>Acknowledgement of author’s contributions (D):</w:t>
      </w:r>
    </w:p>
    <w:p w14:paraId="76FAE951" w14:textId="1D38D9DC" w:rsidR="00DC3B68" w:rsidRPr="009F72B0" w:rsidRDefault="00DC3B68" w:rsidP="00DC3B68">
      <w:pPr>
        <w:pStyle w:val="Odstavecseseznamem"/>
        <w:numPr>
          <w:ilvl w:val="0"/>
          <w:numId w:val="1"/>
        </w:numPr>
        <w:spacing w:line="360" w:lineRule="auto"/>
        <w:jc w:val="both"/>
        <w:rPr>
          <w:lang w:val="en-US"/>
        </w:rPr>
      </w:pPr>
      <w:r w:rsidRPr="009F72B0">
        <w:rPr>
          <w:lang w:val="en-US"/>
        </w:rPr>
        <w:lastRenderedPageBreak/>
        <w:t xml:space="preserve">M.D. </w:t>
      </w:r>
      <w:r w:rsidR="00FD3A99" w:rsidRPr="009F72B0">
        <w:rPr>
          <w:lang w:val="en-US"/>
        </w:rPr>
        <w:t xml:space="preserve">was responsible for the patient selection and sample collection at the University Hospital Brno, </w:t>
      </w:r>
      <w:r w:rsidR="00347A64" w:rsidRPr="009F72B0">
        <w:rPr>
          <w:lang w:val="en-US"/>
        </w:rPr>
        <w:t xml:space="preserve">K.P. </w:t>
      </w:r>
      <w:r w:rsidR="00214B96" w:rsidRPr="009F72B0">
        <w:rPr>
          <w:lang w:val="en-US"/>
        </w:rPr>
        <w:t xml:space="preserve">selected the patient cohort </w:t>
      </w:r>
      <w:r w:rsidR="00BE0E45">
        <w:rPr>
          <w:lang w:val="en-US"/>
        </w:rPr>
        <w:t>based on</w:t>
      </w:r>
      <w:r w:rsidR="00B93EB9">
        <w:rPr>
          <w:lang w:val="en-US"/>
        </w:rPr>
        <w:t xml:space="preserve"> diagnostic</w:t>
      </w:r>
      <w:r w:rsidR="00BE0E45">
        <w:rPr>
          <w:lang w:val="en-US"/>
        </w:rPr>
        <w:t xml:space="preserve"> laboratory parameters </w:t>
      </w:r>
      <w:r w:rsidR="00214B96" w:rsidRPr="009F72B0">
        <w:rPr>
          <w:lang w:val="en-US"/>
        </w:rPr>
        <w:t xml:space="preserve">and assisted with the experimental design, </w:t>
      </w:r>
      <w:r w:rsidR="00721D51" w:rsidRPr="009F72B0">
        <w:rPr>
          <w:lang w:val="en-US"/>
        </w:rPr>
        <w:t>H.S.</w:t>
      </w:r>
      <w:r w:rsidR="007156A1">
        <w:rPr>
          <w:lang w:val="en-US"/>
        </w:rPr>
        <w:t xml:space="preserve"> </w:t>
      </w:r>
      <w:r w:rsidR="00A10F68">
        <w:rPr>
          <w:lang w:val="en-US"/>
        </w:rPr>
        <w:t>designed</w:t>
      </w:r>
      <w:r w:rsidR="006C3FB2">
        <w:rPr>
          <w:lang w:val="en-US"/>
        </w:rPr>
        <w:t xml:space="preserve"> </w:t>
      </w:r>
      <w:r w:rsidR="007156A1">
        <w:rPr>
          <w:lang w:val="en-US"/>
        </w:rPr>
        <w:t>the experiment</w:t>
      </w:r>
      <w:r w:rsidR="006C3FB2">
        <w:rPr>
          <w:lang w:val="en-US"/>
        </w:rPr>
        <w:t>s</w:t>
      </w:r>
      <w:r w:rsidR="007156A1">
        <w:rPr>
          <w:lang w:val="en-US"/>
        </w:rPr>
        <w:t>,</w:t>
      </w:r>
      <w:r w:rsidR="00721D51" w:rsidRPr="009F72B0">
        <w:rPr>
          <w:lang w:val="en-US"/>
        </w:rPr>
        <w:t xml:space="preserve"> carried out the </w:t>
      </w:r>
      <w:r w:rsidR="00654D6A">
        <w:rPr>
          <w:lang w:val="en-US"/>
        </w:rPr>
        <w:t xml:space="preserve">cell </w:t>
      </w:r>
      <w:r w:rsidR="00721D51" w:rsidRPr="009F72B0">
        <w:rPr>
          <w:lang w:val="en-US"/>
        </w:rPr>
        <w:t xml:space="preserve">culture, RNA isolation and </w:t>
      </w:r>
      <w:r w:rsidR="006C3FB2">
        <w:rPr>
          <w:lang w:val="en-US"/>
        </w:rPr>
        <w:t>RT-</w:t>
      </w:r>
      <w:r w:rsidR="00721D51" w:rsidRPr="009F72B0">
        <w:rPr>
          <w:lang w:val="en-US"/>
        </w:rPr>
        <w:t>qPCR</w:t>
      </w:r>
      <w:r w:rsidR="007156A1">
        <w:rPr>
          <w:lang w:val="en-US"/>
        </w:rPr>
        <w:t xml:space="preserve"> and prepared the data for statistical analysis</w:t>
      </w:r>
      <w:r w:rsidR="00721D51" w:rsidRPr="009F72B0">
        <w:rPr>
          <w:lang w:val="en-US"/>
        </w:rPr>
        <w:t>, J.</w:t>
      </w:r>
      <w:r w:rsidR="00C42ABB">
        <w:rPr>
          <w:lang w:val="en-US"/>
        </w:rPr>
        <w:t>B</w:t>
      </w:r>
      <w:r w:rsidR="00721D51" w:rsidRPr="009F72B0">
        <w:rPr>
          <w:lang w:val="en-US"/>
        </w:rPr>
        <w:t>. assisted with RNA isolation, primer design and evaluation</w:t>
      </w:r>
      <w:r w:rsidR="007156A1">
        <w:rPr>
          <w:lang w:val="en-US"/>
        </w:rPr>
        <w:t>, L.R. performed the statistical analysis</w:t>
      </w:r>
      <w:r w:rsidR="00721D51" w:rsidRPr="009F72B0">
        <w:rPr>
          <w:lang w:val="en-US"/>
        </w:rPr>
        <w:t xml:space="preserve">. </w:t>
      </w:r>
      <w:r w:rsidR="00065FBA" w:rsidRPr="009F72B0">
        <w:rPr>
          <w:lang w:val="en-US"/>
        </w:rPr>
        <w:t xml:space="preserve">We would like to express our gratitude to the team of Vitezslav Bryja (namely Pavlina </w:t>
      </w:r>
      <w:proofErr w:type="spellStart"/>
      <w:r w:rsidR="00065FBA" w:rsidRPr="009F72B0">
        <w:rPr>
          <w:lang w:val="en-US"/>
        </w:rPr>
        <w:t>Janovska</w:t>
      </w:r>
      <w:proofErr w:type="spellEnd"/>
      <w:r w:rsidR="00065FBA" w:rsidRPr="009F72B0">
        <w:rPr>
          <w:lang w:val="en-US"/>
        </w:rPr>
        <w:t xml:space="preserve">, and Milena </w:t>
      </w:r>
      <w:proofErr w:type="spellStart"/>
      <w:r w:rsidR="00065FBA" w:rsidRPr="009F72B0">
        <w:rPr>
          <w:lang w:val="en-US"/>
        </w:rPr>
        <w:t>Marakova</w:t>
      </w:r>
      <w:proofErr w:type="spellEnd"/>
      <w:r w:rsidR="00065FBA" w:rsidRPr="009F72B0">
        <w:rPr>
          <w:lang w:val="en-US"/>
        </w:rPr>
        <w:t>; from the Institute of Experimental Biology, Faculty of Science, Masaryk University, Brno, Czech Republic) for providing</w:t>
      </w:r>
      <w:r w:rsidR="00065FBA" w:rsidRPr="009F72B0">
        <w:rPr>
          <w:i/>
          <w:iCs/>
          <w:lang w:val="en-US"/>
        </w:rPr>
        <w:t xml:space="preserve"> MYC </w:t>
      </w:r>
      <w:r w:rsidR="00065FBA" w:rsidRPr="009F72B0">
        <w:rPr>
          <w:lang w:val="en-US"/>
        </w:rPr>
        <w:t xml:space="preserve">and </w:t>
      </w:r>
      <w:r w:rsidR="00065FBA" w:rsidRPr="009F72B0">
        <w:rPr>
          <w:i/>
          <w:iCs/>
          <w:lang w:val="en-US"/>
        </w:rPr>
        <w:t>VCAM1</w:t>
      </w:r>
      <w:r w:rsidR="00065FBA" w:rsidRPr="009F72B0">
        <w:rPr>
          <w:lang w:val="en-US"/>
        </w:rPr>
        <w:t xml:space="preserve"> primers.</w:t>
      </w:r>
    </w:p>
    <w:p w14:paraId="3512FCB1" w14:textId="37AA550A" w:rsidR="00F36650" w:rsidRPr="003752FC" w:rsidRDefault="00F36650" w:rsidP="00F36650">
      <w:pPr>
        <w:spacing w:line="360" w:lineRule="auto"/>
        <w:jc w:val="both"/>
        <w:rPr>
          <w:lang w:val="en-US"/>
        </w:rPr>
      </w:pPr>
      <w:r w:rsidRPr="003752FC">
        <w:rPr>
          <w:b/>
          <w:bCs/>
          <w:lang w:val="en-US"/>
        </w:rPr>
        <w:t>Sample</w:t>
      </w:r>
    </w:p>
    <w:p w14:paraId="6E2C069B" w14:textId="4DBEF5FE" w:rsidR="00F36650" w:rsidRPr="009F72B0" w:rsidRDefault="00F36650" w:rsidP="00F36650">
      <w:pPr>
        <w:pStyle w:val="Odstavecseseznamem"/>
        <w:numPr>
          <w:ilvl w:val="0"/>
          <w:numId w:val="1"/>
        </w:numPr>
        <w:spacing w:line="360" w:lineRule="auto"/>
        <w:jc w:val="both"/>
        <w:rPr>
          <w:lang w:val="en-US"/>
        </w:rPr>
      </w:pPr>
      <w:r w:rsidRPr="00004C84">
        <w:rPr>
          <w:b/>
          <w:bCs/>
          <w:lang w:val="en-US"/>
        </w:rPr>
        <w:t>Description (E):</w:t>
      </w:r>
      <w:r w:rsidRPr="009F72B0">
        <w:rPr>
          <w:lang w:val="en-US"/>
        </w:rPr>
        <w:t xml:space="preserve"> </w:t>
      </w:r>
      <w:r w:rsidR="00291050" w:rsidRPr="009F72B0">
        <w:rPr>
          <w:lang w:val="en-US"/>
        </w:rPr>
        <w:t>RNA isolated from human primary CLL cells co-cultured with murine M2-10B4 cell line either conventionally (in medium), or in biomaterials (i.e., collagen scaffolds or CMC-PEG gel)</w:t>
      </w:r>
    </w:p>
    <w:p w14:paraId="5D0CFE58" w14:textId="3766F668" w:rsidR="00291050" w:rsidRPr="009F72B0" w:rsidRDefault="00291050" w:rsidP="00291050">
      <w:pPr>
        <w:pStyle w:val="Odstavecseseznamem"/>
        <w:numPr>
          <w:ilvl w:val="1"/>
          <w:numId w:val="1"/>
        </w:numPr>
        <w:spacing w:line="360" w:lineRule="auto"/>
        <w:jc w:val="both"/>
        <w:rPr>
          <w:lang w:val="en-US"/>
        </w:rPr>
      </w:pPr>
      <w:r w:rsidRPr="009F72B0">
        <w:rPr>
          <w:lang w:val="en-US"/>
        </w:rPr>
        <w:t>Volume/mass of sample processed</w:t>
      </w:r>
      <w:r w:rsidR="00BF4C36" w:rsidRPr="009F72B0">
        <w:rPr>
          <w:lang w:val="en-US"/>
        </w:rPr>
        <w:t xml:space="preserve"> (D)</w:t>
      </w:r>
      <w:r w:rsidRPr="009F72B0">
        <w:rPr>
          <w:lang w:val="en-US"/>
        </w:rPr>
        <w:t xml:space="preserve">: </w:t>
      </w:r>
      <w:r w:rsidR="00BB26EA" w:rsidRPr="009F72B0">
        <w:rPr>
          <w:lang w:val="en-US"/>
        </w:rPr>
        <w:t xml:space="preserve">For one RNA isolation, </w:t>
      </w:r>
      <w:r w:rsidR="00D64281" w:rsidRPr="009F72B0">
        <w:rPr>
          <w:lang w:val="en-US"/>
        </w:rPr>
        <w:t>cells from one</w:t>
      </w:r>
      <w:r w:rsidR="005B11CE">
        <w:rPr>
          <w:lang w:val="en-US"/>
        </w:rPr>
        <w:t xml:space="preserve"> well of</w:t>
      </w:r>
      <w:r w:rsidR="00D64281" w:rsidRPr="009F72B0">
        <w:rPr>
          <w:lang w:val="en-US"/>
        </w:rPr>
        <w:t xml:space="preserve"> 96-well-plate were processed (i.e., </w:t>
      </w:r>
      <w:r w:rsidR="00F32670" w:rsidRPr="009F72B0">
        <w:rPr>
          <w:lang w:val="en-US"/>
        </w:rPr>
        <w:t>~</w:t>
      </w:r>
      <w:r w:rsidR="001203DB" w:rsidRPr="009F72B0">
        <w:rPr>
          <w:lang w:val="en-US"/>
        </w:rPr>
        <w:t>8×10</w:t>
      </w:r>
      <w:r w:rsidR="001203DB" w:rsidRPr="009F72B0">
        <w:rPr>
          <w:vertAlign w:val="superscript"/>
          <w:lang w:val="en-US"/>
        </w:rPr>
        <w:t xml:space="preserve">5 </w:t>
      </w:r>
      <w:r w:rsidR="001203DB" w:rsidRPr="009F72B0">
        <w:rPr>
          <w:lang w:val="en-US"/>
        </w:rPr>
        <w:t>CLL</w:t>
      </w:r>
      <w:r w:rsidR="001203DB" w:rsidRPr="009F72B0">
        <w:rPr>
          <w:vertAlign w:val="superscript"/>
          <w:lang w:val="en-US"/>
        </w:rPr>
        <w:t xml:space="preserve"> </w:t>
      </w:r>
      <w:r w:rsidR="001203DB" w:rsidRPr="009F72B0">
        <w:rPr>
          <w:lang w:val="en-US"/>
        </w:rPr>
        <w:t>cells)</w:t>
      </w:r>
    </w:p>
    <w:p w14:paraId="7EBBD388" w14:textId="2ABF2FEE" w:rsidR="00333416" w:rsidRPr="009F72B0" w:rsidRDefault="00333416" w:rsidP="00333416">
      <w:pPr>
        <w:pStyle w:val="Odstavecseseznamem"/>
        <w:numPr>
          <w:ilvl w:val="1"/>
          <w:numId w:val="1"/>
        </w:numPr>
        <w:spacing w:line="360" w:lineRule="auto"/>
        <w:jc w:val="both"/>
        <w:rPr>
          <w:lang w:val="en-US"/>
        </w:rPr>
      </w:pPr>
      <w:r w:rsidRPr="009F72B0">
        <w:rPr>
          <w:lang w:val="en-US"/>
        </w:rPr>
        <w:t>Micro</w:t>
      </w:r>
      <w:r w:rsidR="00A91283" w:rsidRPr="009F72B0">
        <w:rPr>
          <w:lang w:val="en-US"/>
        </w:rPr>
        <w:t xml:space="preserve">dissection or </w:t>
      </w:r>
      <w:proofErr w:type="spellStart"/>
      <w:r w:rsidR="00A91283" w:rsidRPr="009F72B0">
        <w:rPr>
          <w:lang w:val="en-US"/>
        </w:rPr>
        <w:t>macrodissection</w:t>
      </w:r>
      <w:proofErr w:type="spellEnd"/>
      <w:r w:rsidR="00A91283" w:rsidRPr="009F72B0">
        <w:rPr>
          <w:lang w:val="en-US"/>
        </w:rPr>
        <w:t xml:space="preserve"> (E): </w:t>
      </w:r>
      <w:r w:rsidR="009A01B9">
        <w:rPr>
          <w:lang w:val="en-US"/>
        </w:rPr>
        <w:t>Not applicable. Instead, n</w:t>
      </w:r>
      <w:r w:rsidR="00086AC5" w:rsidRPr="009F72B0">
        <w:rPr>
          <w:lang w:val="en-US"/>
        </w:rPr>
        <w:t xml:space="preserve">eoplastic B cells were separated from peripheral blood with high purity (&gt; 98 %) using </w:t>
      </w:r>
      <w:proofErr w:type="spellStart"/>
      <w:r w:rsidR="00086AC5" w:rsidRPr="009F72B0">
        <w:rPr>
          <w:lang w:val="en-US"/>
        </w:rPr>
        <w:t>Ficoll</w:t>
      </w:r>
      <w:proofErr w:type="spellEnd"/>
      <w:r w:rsidR="00086AC5" w:rsidRPr="009F72B0">
        <w:rPr>
          <w:lang w:val="en-US"/>
        </w:rPr>
        <w:t xml:space="preserve">-Paque Plus (GE Healthcare, Uppsala, Sweden) coupled with </w:t>
      </w:r>
      <w:proofErr w:type="spellStart"/>
      <w:r w:rsidR="00086AC5" w:rsidRPr="009F72B0">
        <w:rPr>
          <w:lang w:val="en-US"/>
        </w:rPr>
        <w:t>RosetteSep</w:t>
      </w:r>
      <w:proofErr w:type="spellEnd"/>
      <w:r w:rsidR="00086AC5" w:rsidRPr="009F72B0">
        <w:rPr>
          <w:lang w:val="en-US"/>
        </w:rPr>
        <w:t xml:space="preserve"> human B cell enrichment cocktail and CD3+ cell depletion cocktail (</w:t>
      </w:r>
      <w:proofErr w:type="spellStart"/>
      <w:r w:rsidR="00086AC5" w:rsidRPr="009F72B0">
        <w:rPr>
          <w:lang w:val="en-US"/>
        </w:rPr>
        <w:t>StemCell</w:t>
      </w:r>
      <w:proofErr w:type="spellEnd"/>
      <w:r w:rsidR="00086AC5" w:rsidRPr="009F72B0">
        <w:rPr>
          <w:lang w:val="en-US"/>
        </w:rPr>
        <w:t xml:space="preserve"> Technologies, Vancouver, Canada). The purity of the cells was assessed by flow cytometry.</w:t>
      </w:r>
    </w:p>
    <w:p w14:paraId="0FB104AF" w14:textId="029C9393" w:rsidR="009F72B0" w:rsidRDefault="009F72B0" w:rsidP="009F72B0">
      <w:pPr>
        <w:pStyle w:val="Odstavecseseznamem"/>
        <w:numPr>
          <w:ilvl w:val="0"/>
          <w:numId w:val="1"/>
        </w:numPr>
        <w:spacing w:line="360" w:lineRule="auto"/>
        <w:jc w:val="both"/>
        <w:rPr>
          <w:lang w:val="en-US"/>
        </w:rPr>
      </w:pPr>
      <w:r w:rsidRPr="00004C84">
        <w:rPr>
          <w:b/>
          <w:bCs/>
          <w:lang w:val="en-US"/>
        </w:rPr>
        <w:t>Processing procedure (E):</w:t>
      </w:r>
      <w:r>
        <w:rPr>
          <w:lang w:val="en-US"/>
        </w:rPr>
        <w:t xml:space="preserve"> </w:t>
      </w:r>
      <w:r w:rsidR="00C31DCF">
        <w:rPr>
          <w:lang w:val="en-US"/>
        </w:rPr>
        <w:t>Vitally frozen.</w:t>
      </w:r>
    </w:p>
    <w:p w14:paraId="398BBB63" w14:textId="4CBB7EAA" w:rsidR="00742EBC" w:rsidRDefault="00C31DCF" w:rsidP="00742EBC">
      <w:pPr>
        <w:pStyle w:val="Odstavecseseznamem"/>
        <w:numPr>
          <w:ilvl w:val="1"/>
          <w:numId w:val="1"/>
        </w:numPr>
        <w:spacing w:line="360" w:lineRule="auto"/>
        <w:jc w:val="both"/>
        <w:rPr>
          <w:lang w:val="en-US"/>
        </w:rPr>
      </w:pPr>
      <w:r>
        <w:rPr>
          <w:lang w:val="en-US"/>
        </w:rPr>
        <w:t xml:space="preserve">If frozen – how and how quickly (E): </w:t>
      </w:r>
      <w:r w:rsidR="002A599B">
        <w:rPr>
          <w:lang w:val="en-US"/>
        </w:rPr>
        <w:t>Cells i</w:t>
      </w:r>
      <w:r>
        <w:rPr>
          <w:lang w:val="en-US"/>
        </w:rPr>
        <w:t xml:space="preserve">n </w:t>
      </w:r>
      <w:r w:rsidR="002A599B">
        <w:rPr>
          <w:lang w:val="en-US"/>
        </w:rPr>
        <w:t xml:space="preserve">1 mL of </w:t>
      </w:r>
      <w:r>
        <w:rPr>
          <w:lang w:val="en-US"/>
        </w:rPr>
        <w:t xml:space="preserve">90% FBS and 10% </w:t>
      </w:r>
      <w:r w:rsidR="002A599B">
        <w:rPr>
          <w:lang w:val="en-US"/>
        </w:rPr>
        <w:t>dimethyl sulfoxide</w:t>
      </w:r>
      <w:r w:rsidR="002F7408">
        <w:rPr>
          <w:lang w:val="en-US"/>
        </w:rPr>
        <w:t xml:space="preserve"> </w:t>
      </w:r>
      <w:r w:rsidR="00C66215">
        <w:rPr>
          <w:lang w:val="en-US"/>
        </w:rPr>
        <w:t>were pipetted into a cryo-tube (</w:t>
      </w:r>
      <w:r w:rsidR="004A45FA">
        <w:rPr>
          <w:lang w:val="en-US"/>
        </w:rPr>
        <w:t xml:space="preserve">Nunc, </w:t>
      </w:r>
      <w:proofErr w:type="spellStart"/>
      <w:r w:rsidR="004A45FA">
        <w:rPr>
          <w:lang w:val="en-US"/>
        </w:rPr>
        <w:t>Thermo</w:t>
      </w:r>
      <w:proofErr w:type="spellEnd"/>
      <w:r w:rsidR="004A45FA">
        <w:rPr>
          <w:lang w:val="en-US"/>
        </w:rPr>
        <w:t xml:space="preserve"> Fisher Scientific, </w:t>
      </w:r>
      <w:r w:rsidR="007C0146">
        <w:rPr>
          <w:lang w:val="en-US"/>
        </w:rPr>
        <w:t>Roskilde, Denmark</w:t>
      </w:r>
      <w:r w:rsidR="00C66215">
        <w:rPr>
          <w:lang w:val="en-US"/>
        </w:rPr>
        <w:t>) and place</w:t>
      </w:r>
      <w:r w:rsidR="007C0146">
        <w:rPr>
          <w:lang w:val="en-US"/>
        </w:rPr>
        <w:t>d</w:t>
      </w:r>
      <w:r w:rsidR="00C66215">
        <w:rPr>
          <w:lang w:val="en-US"/>
        </w:rPr>
        <w:t xml:space="preserve"> into</w:t>
      </w:r>
      <w:r w:rsidR="002F7408">
        <w:rPr>
          <w:lang w:val="en-US"/>
        </w:rPr>
        <w:t xml:space="preserve"> a cryo</w:t>
      </w:r>
      <w:r w:rsidR="00C66215">
        <w:rPr>
          <w:lang w:val="en-US"/>
        </w:rPr>
        <w:t>-</w:t>
      </w:r>
      <w:r w:rsidR="002F7408">
        <w:rPr>
          <w:lang w:val="en-US"/>
        </w:rPr>
        <w:t>freezer filled with isopropyl alcohol (</w:t>
      </w:r>
      <w:r w:rsidR="00290413">
        <w:rPr>
          <w:lang w:val="en-US"/>
        </w:rPr>
        <w:t xml:space="preserve">#LCC5100, </w:t>
      </w:r>
      <w:r w:rsidR="002F7408">
        <w:rPr>
          <w:lang w:val="en-US"/>
        </w:rPr>
        <w:t xml:space="preserve">National Lab, </w:t>
      </w:r>
      <w:proofErr w:type="spellStart"/>
      <w:r w:rsidR="00943AB2">
        <w:rPr>
          <w:lang w:val="en-US"/>
        </w:rPr>
        <w:t>M</w:t>
      </w:r>
      <w:r w:rsidR="00DE7479">
        <w:rPr>
          <w:lang w:val="en-US"/>
        </w:rPr>
        <w:t>ö</w:t>
      </w:r>
      <w:r w:rsidR="00943AB2">
        <w:rPr>
          <w:lang w:val="en-US"/>
        </w:rPr>
        <w:t>lln</w:t>
      </w:r>
      <w:proofErr w:type="spellEnd"/>
      <w:r w:rsidR="00943AB2">
        <w:rPr>
          <w:lang w:val="en-US"/>
        </w:rPr>
        <w:t xml:space="preserve">, </w:t>
      </w:r>
      <w:r w:rsidR="00DE7479">
        <w:rPr>
          <w:lang w:val="en-US"/>
        </w:rPr>
        <w:t>Germany)</w:t>
      </w:r>
      <w:r w:rsidR="007C0146">
        <w:rPr>
          <w:lang w:val="en-US"/>
        </w:rPr>
        <w:t xml:space="preserve">. The cryo-freezer was </w:t>
      </w:r>
      <w:r w:rsidR="003B6356">
        <w:rPr>
          <w:lang w:val="en-US"/>
        </w:rPr>
        <w:t xml:space="preserve">put into -80 °C for 24 to </w:t>
      </w:r>
      <w:r w:rsidR="00747119">
        <w:rPr>
          <w:lang w:val="en-US"/>
        </w:rPr>
        <w:t>72 hours; then, the cells were transferred to</w:t>
      </w:r>
      <w:r w:rsidR="00742EBC">
        <w:rPr>
          <w:lang w:val="en-US"/>
        </w:rPr>
        <w:t xml:space="preserve"> the</w:t>
      </w:r>
      <w:r w:rsidR="00747119">
        <w:rPr>
          <w:lang w:val="en-US"/>
        </w:rPr>
        <w:t xml:space="preserve"> liquid nitrogen (-196 °C).</w:t>
      </w:r>
    </w:p>
    <w:p w14:paraId="21A210D6" w14:textId="73FC19FA" w:rsidR="00050937" w:rsidRDefault="00050937" w:rsidP="00742EBC">
      <w:pPr>
        <w:pStyle w:val="Odstavecseseznamem"/>
        <w:numPr>
          <w:ilvl w:val="1"/>
          <w:numId w:val="1"/>
        </w:numPr>
        <w:spacing w:line="360" w:lineRule="auto"/>
        <w:jc w:val="both"/>
        <w:rPr>
          <w:lang w:val="en-US"/>
        </w:rPr>
      </w:pPr>
      <w:r>
        <w:rPr>
          <w:lang w:val="en-US"/>
        </w:rPr>
        <w:t>If fixed – with what, how quickly (E): Not applicable.</w:t>
      </w:r>
    </w:p>
    <w:p w14:paraId="235F7294" w14:textId="0CF87D53" w:rsidR="00742EBC" w:rsidRPr="00004C84" w:rsidRDefault="00E9046F" w:rsidP="00742EBC">
      <w:pPr>
        <w:pStyle w:val="Odstavecseseznamem"/>
        <w:numPr>
          <w:ilvl w:val="0"/>
          <w:numId w:val="1"/>
        </w:numPr>
        <w:spacing w:line="360" w:lineRule="auto"/>
        <w:jc w:val="both"/>
        <w:rPr>
          <w:b/>
          <w:bCs/>
          <w:lang w:val="en-US"/>
        </w:rPr>
      </w:pPr>
      <w:r w:rsidRPr="00004C84">
        <w:rPr>
          <w:b/>
          <w:bCs/>
          <w:lang w:val="en-US"/>
        </w:rPr>
        <w:t>Sample storage conditions and duration (E):</w:t>
      </w:r>
    </w:p>
    <w:p w14:paraId="158B2646" w14:textId="7E646B43" w:rsidR="00E9046F" w:rsidRDefault="00E9046F" w:rsidP="00E9046F">
      <w:pPr>
        <w:pStyle w:val="Odstavecseseznamem"/>
        <w:numPr>
          <w:ilvl w:val="1"/>
          <w:numId w:val="1"/>
        </w:numPr>
        <w:spacing w:line="360" w:lineRule="auto"/>
        <w:jc w:val="both"/>
        <w:rPr>
          <w:lang w:val="en-US"/>
        </w:rPr>
      </w:pPr>
      <w:r>
        <w:rPr>
          <w:lang w:val="en-US"/>
        </w:rPr>
        <w:t xml:space="preserve">At -196 °C for </w:t>
      </w:r>
      <w:r w:rsidR="00B55E2B">
        <w:rPr>
          <w:lang w:val="en-US"/>
        </w:rPr>
        <w:t>0,4-14 years (median: 6,65 years)</w:t>
      </w:r>
    </w:p>
    <w:p w14:paraId="78301202" w14:textId="77777777" w:rsidR="003752FC" w:rsidRDefault="003752FC">
      <w:pPr>
        <w:rPr>
          <w:b/>
          <w:bCs/>
          <w:lang w:val="en-US"/>
        </w:rPr>
      </w:pPr>
      <w:r>
        <w:rPr>
          <w:b/>
          <w:bCs/>
          <w:lang w:val="en-US"/>
        </w:rPr>
        <w:br w:type="page"/>
      </w:r>
    </w:p>
    <w:p w14:paraId="6A4EF789" w14:textId="6716FE8B" w:rsidR="00F948DE" w:rsidRDefault="00F948DE" w:rsidP="00F948DE">
      <w:pPr>
        <w:spacing w:line="360" w:lineRule="auto"/>
        <w:jc w:val="both"/>
        <w:rPr>
          <w:lang w:val="en-US"/>
        </w:rPr>
      </w:pPr>
      <w:r>
        <w:rPr>
          <w:b/>
          <w:bCs/>
          <w:lang w:val="en-US"/>
        </w:rPr>
        <w:lastRenderedPageBreak/>
        <w:t>Nucleic acid extraction</w:t>
      </w:r>
    </w:p>
    <w:p w14:paraId="0536B106" w14:textId="27846DFD" w:rsidR="00FF312E" w:rsidRDefault="00F948DE" w:rsidP="00FF312E">
      <w:pPr>
        <w:pStyle w:val="Odstavecseseznamem"/>
        <w:numPr>
          <w:ilvl w:val="0"/>
          <w:numId w:val="1"/>
        </w:numPr>
        <w:spacing w:line="360" w:lineRule="auto"/>
        <w:jc w:val="both"/>
        <w:rPr>
          <w:lang w:val="en-US"/>
        </w:rPr>
      </w:pPr>
      <w:r w:rsidRPr="00004C84">
        <w:rPr>
          <w:b/>
          <w:bCs/>
          <w:lang w:val="en-US"/>
        </w:rPr>
        <w:t>Procedure and/or instrumentation</w:t>
      </w:r>
      <w:r w:rsidR="008D3439" w:rsidRPr="00004C84">
        <w:rPr>
          <w:b/>
          <w:bCs/>
          <w:lang w:val="en-US"/>
        </w:rPr>
        <w:t>, name of kit and details of any modifications (E):</w:t>
      </w:r>
      <w:r w:rsidR="008D3439">
        <w:rPr>
          <w:lang w:val="en-US"/>
        </w:rPr>
        <w:t xml:space="preserve"> Described in the Materials and methods section of the main article text.</w:t>
      </w:r>
    </w:p>
    <w:p w14:paraId="22A8F2D0" w14:textId="47144F77" w:rsidR="00FF312E" w:rsidRPr="00FF312E" w:rsidRDefault="00FF312E" w:rsidP="00FF312E">
      <w:pPr>
        <w:pStyle w:val="Odstavecseseznamem"/>
        <w:numPr>
          <w:ilvl w:val="1"/>
          <w:numId w:val="1"/>
        </w:numPr>
        <w:spacing w:line="360" w:lineRule="auto"/>
        <w:jc w:val="both"/>
        <w:rPr>
          <w:lang w:val="en-US"/>
        </w:rPr>
      </w:pPr>
      <w:r w:rsidRPr="00FF312E">
        <w:rPr>
          <w:lang w:val="en-US"/>
        </w:rPr>
        <w:t>Source of additional reagents used (D):</w:t>
      </w:r>
      <w:r>
        <w:rPr>
          <w:lang w:val="en-US"/>
        </w:rPr>
        <w:t xml:space="preserve"> Not applicable. </w:t>
      </w:r>
    </w:p>
    <w:p w14:paraId="6A6EE542" w14:textId="38A74E75" w:rsidR="00227748" w:rsidRDefault="009D0E87" w:rsidP="000934B3">
      <w:pPr>
        <w:pStyle w:val="Odstavecseseznamem"/>
        <w:numPr>
          <w:ilvl w:val="0"/>
          <w:numId w:val="1"/>
        </w:numPr>
        <w:spacing w:line="360" w:lineRule="auto"/>
        <w:jc w:val="both"/>
        <w:rPr>
          <w:lang w:val="en-US"/>
        </w:rPr>
      </w:pPr>
      <w:r w:rsidRPr="00004C84">
        <w:rPr>
          <w:b/>
          <w:bCs/>
          <w:lang w:val="en-US"/>
        </w:rPr>
        <w:t xml:space="preserve">Details of </w:t>
      </w:r>
      <w:proofErr w:type="spellStart"/>
      <w:r w:rsidRPr="00004C84">
        <w:rPr>
          <w:b/>
          <w:bCs/>
          <w:lang w:val="en-US"/>
        </w:rPr>
        <w:t>DNAse</w:t>
      </w:r>
      <w:proofErr w:type="spellEnd"/>
      <w:r w:rsidRPr="00004C84">
        <w:rPr>
          <w:b/>
          <w:bCs/>
          <w:lang w:val="en-US"/>
        </w:rPr>
        <w:t xml:space="preserve"> or </w:t>
      </w:r>
      <w:proofErr w:type="spellStart"/>
      <w:r w:rsidRPr="00004C84">
        <w:rPr>
          <w:b/>
          <w:bCs/>
          <w:lang w:val="en-US"/>
        </w:rPr>
        <w:t>RNAse</w:t>
      </w:r>
      <w:proofErr w:type="spellEnd"/>
      <w:r w:rsidRPr="00004C84">
        <w:rPr>
          <w:b/>
          <w:bCs/>
          <w:lang w:val="en-US"/>
        </w:rPr>
        <w:t xml:space="preserve"> treatment</w:t>
      </w:r>
      <w:r w:rsidR="008C773F" w:rsidRPr="00004C84">
        <w:rPr>
          <w:b/>
          <w:bCs/>
          <w:lang w:val="en-US"/>
        </w:rPr>
        <w:t xml:space="preserve"> (E); contamination </w:t>
      </w:r>
      <w:r w:rsidR="00F831D5" w:rsidRPr="00004C84">
        <w:rPr>
          <w:b/>
          <w:bCs/>
          <w:lang w:val="en-US"/>
        </w:rPr>
        <w:t>assessment</w:t>
      </w:r>
      <w:r w:rsidRPr="00004C84">
        <w:rPr>
          <w:b/>
          <w:bCs/>
          <w:lang w:val="en-US"/>
        </w:rPr>
        <w:t xml:space="preserve"> (E):</w:t>
      </w:r>
      <w:r>
        <w:rPr>
          <w:lang w:val="en-US"/>
        </w:rPr>
        <w:t xml:space="preserve"> </w:t>
      </w:r>
      <w:r w:rsidR="00381763">
        <w:rPr>
          <w:lang w:val="en-US"/>
        </w:rPr>
        <w:t>None</w:t>
      </w:r>
      <w:r w:rsidR="0032690C">
        <w:rPr>
          <w:lang w:val="en-US"/>
        </w:rPr>
        <w:t xml:space="preserve"> to reduce sample losses</w:t>
      </w:r>
      <w:r w:rsidR="00845ADE">
        <w:rPr>
          <w:lang w:val="en-US"/>
        </w:rPr>
        <w:t xml:space="preserve"> (amount of RNA extracted was too low)</w:t>
      </w:r>
      <w:r w:rsidR="0032690C">
        <w:rPr>
          <w:lang w:val="en-US"/>
        </w:rPr>
        <w:t xml:space="preserve">. Compensated by use of primers spanning exon-exon junctions, where possible. </w:t>
      </w:r>
    </w:p>
    <w:p w14:paraId="6D0D2224" w14:textId="053AEF87" w:rsidR="008C773F" w:rsidRDefault="008C773F" w:rsidP="000934B3">
      <w:pPr>
        <w:pStyle w:val="Odstavecseseznamem"/>
        <w:numPr>
          <w:ilvl w:val="0"/>
          <w:numId w:val="1"/>
        </w:numPr>
        <w:spacing w:line="360" w:lineRule="auto"/>
        <w:jc w:val="both"/>
        <w:rPr>
          <w:lang w:val="en-US"/>
        </w:rPr>
      </w:pPr>
      <w:r w:rsidRPr="00004C84">
        <w:rPr>
          <w:b/>
          <w:bCs/>
          <w:lang w:val="en-US"/>
        </w:rPr>
        <w:t>Nucleic acid quantification</w:t>
      </w:r>
      <w:r w:rsidR="00771003" w:rsidRPr="00004C84">
        <w:rPr>
          <w:b/>
          <w:bCs/>
          <w:lang w:val="en-US"/>
        </w:rPr>
        <w:t xml:space="preserve"> (E):</w:t>
      </w:r>
      <w:r w:rsidR="00771003">
        <w:rPr>
          <w:lang w:val="en-US"/>
        </w:rPr>
        <w:t xml:space="preserve"> Performed with each RNA aliquot. </w:t>
      </w:r>
    </w:p>
    <w:p w14:paraId="6370C356" w14:textId="1B610E0A" w:rsidR="00542584" w:rsidRDefault="00771003" w:rsidP="00291152">
      <w:pPr>
        <w:pStyle w:val="Odstavecseseznamem"/>
        <w:numPr>
          <w:ilvl w:val="1"/>
          <w:numId w:val="1"/>
        </w:numPr>
        <w:spacing w:line="360" w:lineRule="auto"/>
        <w:jc w:val="both"/>
        <w:rPr>
          <w:lang w:val="en-US"/>
        </w:rPr>
      </w:pPr>
      <w:r>
        <w:rPr>
          <w:lang w:val="en-US"/>
        </w:rPr>
        <w:t xml:space="preserve">Instrument and method (E): Spectrophotometrically, </w:t>
      </w:r>
      <w:proofErr w:type="spellStart"/>
      <w:r w:rsidR="00A622DE" w:rsidRPr="00A622DE">
        <w:rPr>
          <w:lang w:val="en-US"/>
        </w:rPr>
        <w:t>NanoDrop</w:t>
      </w:r>
      <w:proofErr w:type="spellEnd"/>
      <w:r w:rsidR="00A622DE" w:rsidRPr="00A622DE">
        <w:rPr>
          <w:lang w:val="en-US"/>
        </w:rPr>
        <w:t xml:space="preserve"> 2000c (</w:t>
      </w:r>
      <w:proofErr w:type="spellStart"/>
      <w:r w:rsidR="00A622DE" w:rsidRPr="00A622DE">
        <w:rPr>
          <w:lang w:val="en-US"/>
        </w:rPr>
        <w:t>Thermo</w:t>
      </w:r>
      <w:proofErr w:type="spellEnd"/>
      <w:r w:rsidR="009566D6">
        <w:rPr>
          <w:lang w:val="en-US"/>
        </w:rPr>
        <w:t xml:space="preserve"> F</w:t>
      </w:r>
      <w:r w:rsidR="00291152">
        <w:rPr>
          <w:lang w:val="en-US"/>
        </w:rPr>
        <w:t>isher</w:t>
      </w:r>
      <w:r w:rsidR="00A622DE" w:rsidRPr="00A622DE">
        <w:rPr>
          <w:lang w:val="en-US"/>
        </w:rPr>
        <w:t xml:space="preserve"> Scientific, Waltham, MA, USA).</w:t>
      </w:r>
    </w:p>
    <w:p w14:paraId="5676620F" w14:textId="7C8941C7" w:rsidR="007972E5" w:rsidRDefault="007972E5" w:rsidP="00291152">
      <w:pPr>
        <w:pStyle w:val="Odstavecseseznamem"/>
        <w:numPr>
          <w:ilvl w:val="1"/>
          <w:numId w:val="1"/>
        </w:numPr>
        <w:spacing w:line="360" w:lineRule="auto"/>
        <w:jc w:val="both"/>
        <w:rPr>
          <w:lang w:val="en-US"/>
        </w:rPr>
      </w:pPr>
      <w:r>
        <w:rPr>
          <w:lang w:val="en-US"/>
        </w:rPr>
        <w:t xml:space="preserve">Purity (A260/A280) (D): In raw data </w:t>
      </w:r>
      <w:proofErr w:type="spellStart"/>
      <w:r>
        <w:rPr>
          <w:lang w:val="en-US"/>
        </w:rPr>
        <w:t>Zenodo</w:t>
      </w:r>
      <w:proofErr w:type="spellEnd"/>
      <w:r>
        <w:rPr>
          <w:lang w:val="en-US"/>
        </w:rPr>
        <w:t xml:space="preserve"> file</w:t>
      </w:r>
      <w:r w:rsidR="00E8009A">
        <w:rPr>
          <w:lang w:val="en-US"/>
        </w:rPr>
        <w:t xml:space="preserve"> </w:t>
      </w:r>
      <w:r w:rsidR="00E8009A" w:rsidRPr="00E8009A">
        <w:rPr>
          <w:lang w:val="en-US"/>
        </w:rPr>
        <w:t>10.5281/zenodo.11609920</w:t>
      </w:r>
      <w:r w:rsidR="00E8009A">
        <w:rPr>
          <w:lang w:val="en-US"/>
        </w:rPr>
        <w:t>.</w:t>
      </w:r>
    </w:p>
    <w:p w14:paraId="507CB94B" w14:textId="67A69404" w:rsidR="007972E5" w:rsidRDefault="007972E5" w:rsidP="00291152">
      <w:pPr>
        <w:pStyle w:val="Odstavecseseznamem"/>
        <w:numPr>
          <w:ilvl w:val="1"/>
          <w:numId w:val="1"/>
        </w:numPr>
        <w:spacing w:line="360" w:lineRule="auto"/>
        <w:jc w:val="both"/>
        <w:rPr>
          <w:lang w:val="en-US"/>
        </w:rPr>
      </w:pPr>
      <w:r>
        <w:rPr>
          <w:lang w:val="en-US"/>
        </w:rPr>
        <w:t xml:space="preserve">Yield (D): </w:t>
      </w:r>
      <w:r w:rsidR="008B0D88">
        <w:rPr>
          <w:lang w:val="en-US"/>
        </w:rPr>
        <w:t xml:space="preserve">In raw data </w:t>
      </w:r>
      <w:proofErr w:type="spellStart"/>
      <w:r w:rsidR="008B0D88">
        <w:rPr>
          <w:lang w:val="en-US"/>
        </w:rPr>
        <w:t>Zenodo</w:t>
      </w:r>
      <w:proofErr w:type="spellEnd"/>
      <w:r w:rsidR="008B0D88">
        <w:rPr>
          <w:lang w:val="en-US"/>
        </w:rPr>
        <w:t xml:space="preserve"> file</w:t>
      </w:r>
      <w:r w:rsidR="00E8009A">
        <w:rPr>
          <w:lang w:val="en-US"/>
        </w:rPr>
        <w:t xml:space="preserve"> </w:t>
      </w:r>
      <w:r w:rsidR="00E8009A" w:rsidRPr="00E8009A">
        <w:rPr>
          <w:lang w:val="en-US"/>
        </w:rPr>
        <w:t>10.5281/zenodo.11609920</w:t>
      </w:r>
      <w:r w:rsidR="00E8009A">
        <w:rPr>
          <w:lang w:val="en-US"/>
        </w:rPr>
        <w:t>.</w:t>
      </w:r>
    </w:p>
    <w:p w14:paraId="70B6524D" w14:textId="01B783E0" w:rsidR="009521B8" w:rsidRDefault="009521B8" w:rsidP="00936163">
      <w:pPr>
        <w:pStyle w:val="Odstavecseseznamem"/>
        <w:numPr>
          <w:ilvl w:val="0"/>
          <w:numId w:val="1"/>
        </w:numPr>
        <w:spacing w:line="360" w:lineRule="auto"/>
        <w:jc w:val="both"/>
        <w:rPr>
          <w:lang w:val="en-US"/>
        </w:rPr>
      </w:pPr>
      <w:r w:rsidRPr="00004C84">
        <w:rPr>
          <w:b/>
          <w:bCs/>
          <w:lang w:val="en-US"/>
        </w:rPr>
        <w:t>RNA integrity method/instrument</w:t>
      </w:r>
      <w:r w:rsidR="00936163" w:rsidRPr="00004C84">
        <w:rPr>
          <w:b/>
          <w:bCs/>
          <w:lang w:val="en-US"/>
        </w:rPr>
        <w:t xml:space="preserve"> (E)</w:t>
      </w:r>
      <w:r w:rsidRPr="00004C84">
        <w:rPr>
          <w:b/>
          <w:bCs/>
          <w:lang w:val="en-US"/>
        </w:rPr>
        <w:t>:</w:t>
      </w:r>
      <w:r w:rsidR="00936163" w:rsidRPr="00004C84">
        <w:rPr>
          <w:b/>
          <w:bCs/>
          <w:lang w:val="en-US"/>
        </w:rPr>
        <w:t xml:space="preserve"> </w:t>
      </w:r>
      <w:r w:rsidRPr="00936163">
        <w:rPr>
          <w:lang w:val="en-US"/>
        </w:rPr>
        <w:t>No</w:t>
      </w:r>
      <w:r w:rsidR="00AE3FED">
        <w:rPr>
          <w:lang w:val="en-US"/>
        </w:rPr>
        <w:t>t performed</w:t>
      </w:r>
      <w:r w:rsidRPr="00936163">
        <w:rPr>
          <w:lang w:val="en-US"/>
        </w:rPr>
        <w:t xml:space="preserve"> </w:t>
      </w:r>
      <w:r w:rsidR="00936163" w:rsidRPr="00936163">
        <w:rPr>
          <w:lang w:val="en-US"/>
        </w:rPr>
        <w:t xml:space="preserve">due to low yields of RNA extraction. </w:t>
      </w:r>
    </w:p>
    <w:p w14:paraId="7ABF6CE3" w14:textId="77917C43" w:rsidR="00936163" w:rsidRDefault="00936163" w:rsidP="009521B8">
      <w:pPr>
        <w:pStyle w:val="Odstavecseseznamem"/>
        <w:numPr>
          <w:ilvl w:val="1"/>
          <w:numId w:val="1"/>
        </w:numPr>
        <w:spacing w:line="360" w:lineRule="auto"/>
        <w:jc w:val="both"/>
        <w:rPr>
          <w:lang w:val="en-US"/>
        </w:rPr>
      </w:pPr>
      <w:r>
        <w:rPr>
          <w:lang w:val="en-US"/>
        </w:rPr>
        <w:t xml:space="preserve">RIN/RQI or </w:t>
      </w:r>
      <w:proofErr w:type="spellStart"/>
      <w:r>
        <w:rPr>
          <w:lang w:val="en-US"/>
        </w:rPr>
        <w:t>Cq</w:t>
      </w:r>
      <w:proofErr w:type="spellEnd"/>
      <w:r>
        <w:rPr>
          <w:lang w:val="en-US"/>
        </w:rPr>
        <w:t xml:space="preserve"> of 3’ and 5’ transcripts (E): Not </w:t>
      </w:r>
      <w:r w:rsidR="009846F5">
        <w:rPr>
          <w:lang w:val="en-US"/>
        </w:rPr>
        <w:t>evaluated</w:t>
      </w:r>
      <w:r>
        <w:rPr>
          <w:lang w:val="en-US"/>
        </w:rPr>
        <w:t>.</w:t>
      </w:r>
    </w:p>
    <w:p w14:paraId="3BCF3499" w14:textId="28DF2F6C" w:rsidR="005F22C5" w:rsidRDefault="005F22C5" w:rsidP="009521B8">
      <w:pPr>
        <w:pStyle w:val="Odstavecseseznamem"/>
        <w:numPr>
          <w:ilvl w:val="1"/>
          <w:numId w:val="1"/>
        </w:numPr>
        <w:spacing w:line="360" w:lineRule="auto"/>
        <w:jc w:val="both"/>
        <w:rPr>
          <w:lang w:val="en-US"/>
        </w:rPr>
      </w:pPr>
      <w:r>
        <w:rPr>
          <w:lang w:val="en-US"/>
        </w:rPr>
        <w:t>Electrophoresis traces (D):</w:t>
      </w:r>
      <w:r w:rsidR="003B57B9">
        <w:rPr>
          <w:lang w:val="en-US"/>
        </w:rPr>
        <w:t xml:space="preserve"> </w:t>
      </w:r>
      <w:r w:rsidR="003B57B9" w:rsidRPr="00936163">
        <w:rPr>
          <w:lang w:val="en-US"/>
        </w:rPr>
        <w:t>No</w:t>
      </w:r>
      <w:r w:rsidR="009846F5">
        <w:rPr>
          <w:lang w:val="en-US"/>
        </w:rPr>
        <w:t>t evaluated.</w:t>
      </w:r>
    </w:p>
    <w:p w14:paraId="70371C2D" w14:textId="5A953F62" w:rsidR="00936163" w:rsidRDefault="00936163" w:rsidP="00936163">
      <w:pPr>
        <w:pStyle w:val="Odstavecseseznamem"/>
        <w:numPr>
          <w:ilvl w:val="0"/>
          <w:numId w:val="1"/>
        </w:numPr>
        <w:spacing w:line="360" w:lineRule="auto"/>
        <w:jc w:val="both"/>
        <w:rPr>
          <w:lang w:val="en-US"/>
        </w:rPr>
      </w:pPr>
      <w:r w:rsidRPr="00004C84">
        <w:rPr>
          <w:b/>
          <w:bCs/>
          <w:lang w:val="en-US"/>
        </w:rPr>
        <w:t>Inhibition testing (</w:t>
      </w:r>
      <w:proofErr w:type="spellStart"/>
      <w:r w:rsidRPr="00004C84">
        <w:rPr>
          <w:b/>
          <w:bCs/>
          <w:lang w:val="en-US"/>
        </w:rPr>
        <w:t>Cq</w:t>
      </w:r>
      <w:proofErr w:type="spellEnd"/>
      <w:r w:rsidRPr="00004C84">
        <w:rPr>
          <w:b/>
          <w:bCs/>
          <w:lang w:val="en-US"/>
        </w:rPr>
        <w:t xml:space="preserve"> dilutions, spike or others</w:t>
      </w:r>
      <w:r w:rsidR="0018478B">
        <w:rPr>
          <w:b/>
          <w:bCs/>
          <w:lang w:val="en-US"/>
        </w:rPr>
        <w:t>, E</w:t>
      </w:r>
      <w:r w:rsidRPr="00004C84">
        <w:rPr>
          <w:b/>
          <w:bCs/>
          <w:lang w:val="en-US"/>
        </w:rPr>
        <w:t>):</w:t>
      </w:r>
      <w:r>
        <w:rPr>
          <w:lang w:val="en-US"/>
        </w:rPr>
        <w:t xml:space="preserve"> Not performed.</w:t>
      </w:r>
    </w:p>
    <w:p w14:paraId="6969237E" w14:textId="10BC5463" w:rsidR="00936163" w:rsidRDefault="006E6C3D" w:rsidP="006E6C3D">
      <w:pPr>
        <w:spacing w:line="360" w:lineRule="auto"/>
        <w:jc w:val="both"/>
        <w:rPr>
          <w:b/>
          <w:bCs/>
          <w:lang w:val="en-US"/>
        </w:rPr>
      </w:pPr>
      <w:r>
        <w:rPr>
          <w:b/>
          <w:bCs/>
          <w:lang w:val="en-US"/>
        </w:rPr>
        <w:t>Reverse transcription</w:t>
      </w:r>
      <w:r w:rsidR="00752440">
        <w:rPr>
          <w:b/>
          <w:bCs/>
          <w:lang w:val="en-US"/>
        </w:rPr>
        <w:t xml:space="preserve"> (RT)</w:t>
      </w:r>
    </w:p>
    <w:p w14:paraId="11061C3A" w14:textId="4EE20C40" w:rsidR="006E6C3D" w:rsidRDefault="006E6C3D" w:rsidP="006E6C3D">
      <w:pPr>
        <w:pStyle w:val="Odstavecseseznamem"/>
        <w:numPr>
          <w:ilvl w:val="0"/>
          <w:numId w:val="1"/>
        </w:numPr>
        <w:spacing w:line="360" w:lineRule="auto"/>
        <w:jc w:val="both"/>
        <w:rPr>
          <w:lang w:val="en-US"/>
        </w:rPr>
      </w:pPr>
      <w:r w:rsidRPr="007043B6">
        <w:rPr>
          <w:b/>
          <w:bCs/>
          <w:lang w:val="en-US"/>
        </w:rPr>
        <w:t>Complete reaction conditions (E):</w:t>
      </w:r>
      <w:r w:rsidR="00ED7486">
        <w:rPr>
          <w:lang w:val="en-US"/>
        </w:rPr>
        <w:t xml:space="preserve"> </w:t>
      </w:r>
      <w:r w:rsidR="00752440">
        <w:rPr>
          <w:lang w:val="en-US"/>
        </w:rPr>
        <w:t>RT</w:t>
      </w:r>
      <w:r w:rsidR="00ED7486">
        <w:rPr>
          <w:lang w:val="en-US"/>
        </w:rPr>
        <w:t xml:space="preserve"> was performed </w:t>
      </w:r>
      <w:r w:rsidR="002F5D18">
        <w:rPr>
          <w:lang w:val="en-US"/>
        </w:rPr>
        <w:t>in a single tube together with</w:t>
      </w:r>
      <w:r w:rsidR="0010021A">
        <w:rPr>
          <w:lang w:val="en-US"/>
        </w:rPr>
        <w:t xml:space="preserve"> qPCR, as we used </w:t>
      </w:r>
      <w:r w:rsidR="0010021A" w:rsidRPr="009F72B0">
        <w:rPr>
          <w:lang w:val="en-US"/>
        </w:rPr>
        <w:t>one-step RT-qPCR kit</w:t>
      </w:r>
      <w:r w:rsidR="001B42A6">
        <w:rPr>
          <w:lang w:val="en-US"/>
        </w:rPr>
        <w:t>.</w:t>
      </w:r>
    </w:p>
    <w:p w14:paraId="61E01F1D" w14:textId="05C00418" w:rsidR="00E22BEE" w:rsidRPr="00417130" w:rsidRDefault="006E6C3D" w:rsidP="00E22BEE">
      <w:pPr>
        <w:pStyle w:val="Odstavecseseznamem"/>
        <w:numPr>
          <w:ilvl w:val="1"/>
          <w:numId w:val="1"/>
        </w:numPr>
        <w:spacing w:line="360" w:lineRule="auto"/>
        <w:jc w:val="both"/>
        <w:rPr>
          <w:lang w:val="en-US"/>
        </w:rPr>
      </w:pPr>
      <w:r>
        <w:rPr>
          <w:lang w:val="en-US"/>
        </w:rPr>
        <w:t>Amount of RNA and reaction volume (</w:t>
      </w:r>
      <w:r w:rsidRPr="00417130">
        <w:rPr>
          <w:lang w:val="en-US"/>
        </w:rPr>
        <w:t xml:space="preserve">E): 1 μL of RNA, </w:t>
      </w:r>
      <w:r w:rsidR="00E22BEE" w:rsidRPr="00417130">
        <w:rPr>
          <w:lang w:val="en-US"/>
        </w:rPr>
        <w:t>reaction volume: 10 μL</w:t>
      </w:r>
    </w:p>
    <w:p w14:paraId="1D2499AB" w14:textId="50A6BCB6" w:rsidR="00E22BEE" w:rsidRPr="00417130" w:rsidRDefault="00E22BEE" w:rsidP="00E22BEE">
      <w:pPr>
        <w:pStyle w:val="Odstavecseseznamem"/>
        <w:numPr>
          <w:ilvl w:val="1"/>
          <w:numId w:val="1"/>
        </w:numPr>
        <w:spacing w:line="360" w:lineRule="auto"/>
        <w:jc w:val="both"/>
        <w:rPr>
          <w:lang w:val="en-US"/>
        </w:rPr>
      </w:pPr>
      <w:r w:rsidRPr="00417130">
        <w:rPr>
          <w:lang w:val="en-US"/>
        </w:rPr>
        <w:t>Priming oligonucleotid</w:t>
      </w:r>
      <w:r w:rsidR="00075044" w:rsidRPr="00417130">
        <w:rPr>
          <w:lang w:val="en-US"/>
        </w:rPr>
        <w:t xml:space="preserve">e (if using GSP) and concentration (E): </w:t>
      </w:r>
      <w:r w:rsidR="0010021A" w:rsidRPr="00417130">
        <w:rPr>
          <w:lang w:val="en-US"/>
        </w:rPr>
        <w:t>None.</w:t>
      </w:r>
    </w:p>
    <w:p w14:paraId="1F2DFAF5" w14:textId="4C9E2A1E" w:rsidR="0010021A" w:rsidRPr="00417130" w:rsidRDefault="00ED41AE" w:rsidP="00E22BEE">
      <w:pPr>
        <w:pStyle w:val="Odstavecseseznamem"/>
        <w:numPr>
          <w:ilvl w:val="1"/>
          <w:numId w:val="1"/>
        </w:numPr>
        <w:spacing w:line="360" w:lineRule="auto"/>
        <w:jc w:val="both"/>
        <w:rPr>
          <w:lang w:val="en-US"/>
        </w:rPr>
      </w:pPr>
      <w:r w:rsidRPr="00417130">
        <w:rPr>
          <w:lang w:val="en-US"/>
        </w:rPr>
        <w:t>Reverse transcriptase and concentration</w:t>
      </w:r>
      <w:r w:rsidR="003047A2" w:rsidRPr="00417130">
        <w:rPr>
          <w:lang w:val="en-US"/>
        </w:rPr>
        <w:t xml:space="preserve"> (E)</w:t>
      </w:r>
      <w:r w:rsidRPr="00417130">
        <w:rPr>
          <w:lang w:val="en-US"/>
        </w:rPr>
        <w:t xml:space="preserve">: </w:t>
      </w:r>
      <w:proofErr w:type="spellStart"/>
      <w:r w:rsidR="003047A2" w:rsidRPr="00417130">
        <w:rPr>
          <w:lang w:val="en-US"/>
        </w:rPr>
        <w:t>WarmStart</w:t>
      </w:r>
      <w:proofErr w:type="spellEnd"/>
      <w:r w:rsidR="003047A2" w:rsidRPr="00417130">
        <w:rPr>
          <w:lang w:val="en-US"/>
        </w:rPr>
        <w:t xml:space="preserve"> Luna Reverse Transcriptase supplemented in the kit in </w:t>
      </w:r>
      <w:r w:rsidR="00417130" w:rsidRPr="00417130">
        <w:rPr>
          <w:lang w:val="en-US"/>
        </w:rPr>
        <w:t>unknown</w:t>
      </w:r>
      <w:r w:rsidR="003047A2" w:rsidRPr="00417130">
        <w:rPr>
          <w:lang w:val="en-US"/>
        </w:rPr>
        <w:t xml:space="preserve"> concentration.</w:t>
      </w:r>
    </w:p>
    <w:p w14:paraId="67E93BBA" w14:textId="2C914F04" w:rsidR="003047A2" w:rsidRPr="00417130" w:rsidRDefault="003047A2" w:rsidP="00E22BEE">
      <w:pPr>
        <w:pStyle w:val="Odstavecseseznamem"/>
        <w:numPr>
          <w:ilvl w:val="1"/>
          <w:numId w:val="1"/>
        </w:numPr>
        <w:spacing w:line="360" w:lineRule="auto"/>
        <w:jc w:val="both"/>
        <w:rPr>
          <w:lang w:val="en-US"/>
        </w:rPr>
      </w:pPr>
      <w:r w:rsidRPr="00417130">
        <w:rPr>
          <w:lang w:val="en-US"/>
        </w:rPr>
        <w:t>Temperature and time (E): 55 °C for 10 minutes.</w:t>
      </w:r>
    </w:p>
    <w:p w14:paraId="6F86CA32" w14:textId="6FCFB1D6" w:rsidR="001B42A6" w:rsidRDefault="001B42A6" w:rsidP="00E22BEE">
      <w:pPr>
        <w:pStyle w:val="Odstavecseseznamem"/>
        <w:numPr>
          <w:ilvl w:val="1"/>
          <w:numId w:val="1"/>
        </w:numPr>
        <w:spacing w:line="360" w:lineRule="auto"/>
        <w:jc w:val="both"/>
        <w:rPr>
          <w:lang w:val="en-US"/>
        </w:rPr>
      </w:pPr>
      <w:r>
        <w:rPr>
          <w:lang w:val="en-US"/>
        </w:rPr>
        <w:t xml:space="preserve">Manufacturer of reagents and catalogue numbers (D): </w:t>
      </w:r>
      <w:r w:rsidRPr="009F72B0">
        <w:rPr>
          <w:lang w:val="en-US"/>
        </w:rPr>
        <w:t>Luna universal one-step RT-qPCR kit (New England Biolabs, Ipswich, MA, USA</w:t>
      </w:r>
      <w:r>
        <w:rPr>
          <w:lang w:val="en-US"/>
        </w:rPr>
        <w:t>; catalogue number NEB #E3005L</w:t>
      </w:r>
      <w:r w:rsidRPr="009F72B0">
        <w:rPr>
          <w:lang w:val="en-US"/>
        </w:rPr>
        <w:t>)</w:t>
      </w:r>
      <w:r>
        <w:rPr>
          <w:lang w:val="en-US"/>
        </w:rPr>
        <w:t>.</w:t>
      </w:r>
    </w:p>
    <w:p w14:paraId="7C6C83DB" w14:textId="0F0AE733" w:rsidR="0025676A" w:rsidRDefault="0025676A" w:rsidP="00891FAB">
      <w:pPr>
        <w:pStyle w:val="Odstavecseseznamem"/>
        <w:numPr>
          <w:ilvl w:val="1"/>
          <w:numId w:val="1"/>
        </w:numPr>
        <w:spacing w:line="360" w:lineRule="auto"/>
        <w:jc w:val="both"/>
        <w:rPr>
          <w:lang w:val="en-US"/>
        </w:rPr>
      </w:pPr>
      <w:proofErr w:type="spellStart"/>
      <w:r>
        <w:rPr>
          <w:lang w:val="en-US"/>
        </w:rPr>
        <w:t>Cqs</w:t>
      </w:r>
      <w:proofErr w:type="spellEnd"/>
      <w:r>
        <w:rPr>
          <w:lang w:val="en-US"/>
        </w:rPr>
        <w:t xml:space="preserve"> with and without RT (D): </w:t>
      </w:r>
      <w:r w:rsidR="00891FAB">
        <w:rPr>
          <w:lang w:val="en-US"/>
        </w:rPr>
        <w:t>Not performed</w:t>
      </w:r>
      <w:r w:rsidR="004D7767">
        <w:rPr>
          <w:lang w:val="en-US"/>
        </w:rPr>
        <w:t>.</w:t>
      </w:r>
    </w:p>
    <w:p w14:paraId="24517E9A" w14:textId="4492F0D3" w:rsidR="003047A2" w:rsidRDefault="009F0FB8" w:rsidP="007B2A3C">
      <w:pPr>
        <w:pStyle w:val="Odstavecseseznamem"/>
        <w:numPr>
          <w:ilvl w:val="0"/>
          <w:numId w:val="1"/>
        </w:numPr>
        <w:spacing w:line="360" w:lineRule="auto"/>
        <w:jc w:val="both"/>
        <w:rPr>
          <w:lang w:val="en-US"/>
        </w:rPr>
      </w:pPr>
      <w:r w:rsidRPr="007043B6">
        <w:rPr>
          <w:b/>
          <w:bCs/>
          <w:lang w:val="en-US"/>
        </w:rPr>
        <w:lastRenderedPageBreak/>
        <w:t>Storage conditions of cDNA:</w:t>
      </w:r>
      <w:r>
        <w:rPr>
          <w:lang w:val="en-US"/>
        </w:rPr>
        <w:t xml:space="preserve"> Not applicable – RT was done in the single tube together with qPCR which </w:t>
      </w:r>
      <w:r w:rsidR="00E86702">
        <w:rPr>
          <w:lang w:val="en-US"/>
        </w:rPr>
        <w:t>followed</w:t>
      </w:r>
      <w:r w:rsidR="00646F80">
        <w:rPr>
          <w:lang w:val="en-US"/>
        </w:rPr>
        <w:t xml:space="preserve"> </w:t>
      </w:r>
      <w:r w:rsidR="00071773">
        <w:rPr>
          <w:lang w:val="en-US"/>
        </w:rPr>
        <w:t xml:space="preserve">the RT step. </w:t>
      </w:r>
    </w:p>
    <w:p w14:paraId="0F5021FD" w14:textId="6BA6EBD2" w:rsidR="00071773" w:rsidRDefault="00071773" w:rsidP="00F97B4A">
      <w:pPr>
        <w:spacing w:line="360" w:lineRule="auto"/>
        <w:jc w:val="both"/>
        <w:rPr>
          <w:b/>
          <w:bCs/>
          <w:lang w:val="en-US"/>
        </w:rPr>
      </w:pPr>
      <w:r>
        <w:rPr>
          <w:b/>
          <w:bCs/>
          <w:lang w:val="en-US"/>
        </w:rPr>
        <w:t>qPCR target information</w:t>
      </w:r>
    </w:p>
    <w:p w14:paraId="3DD6EE04" w14:textId="6B22D14B" w:rsidR="00071773" w:rsidRDefault="00071773" w:rsidP="00071773">
      <w:pPr>
        <w:pStyle w:val="Odstavecseseznamem"/>
        <w:numPr>
          <w:ilvl w:val="0"/>
          <w:numId w:val="1"/>
        </w:numPr>
        <w:spacing w:line="360" w:lineRule="auto"/>
        <w:jc w:val="both"/>
        <w:rPr>
          <w:lang w:val="en-US"/>
        </w:rPr>
      </w:pPr>
      <w:r>
        <w:rPr>
          <w:lang w:val="en-US"/>
        </w:rPr>
        <w:t>If multiplex, efficiency and LOD of each assay (E): Not multiplex.</w:t>
      </w:r>
    </w:p>
    <w:p w14:paraId="4C5E3DCE" w14:textId="52950EBF" w:rsidR="00071773" w:rsidRDefault="00071773" w:rsidP="00071773">
      <w:pPr>
        <w:pStyle w:val="Odstavecseseznamem"/>
        <w:numPr>
          <w:ilvl w:val="0"/>
          <w:numId w:val="1"/>
        </w:numPr>
        <w:spacing w:line="360" w:lineRule="auto"/>
        <w:jc w:val="both"/>
        <w:rPr>
          <w:lang w:val="en-US"/>
        </w:rPr>
      </w:pPr>
      <w:r>
        <w:rPr>
          <w:lang w:val="en-US"/>
        </w:rPr>
        <w:t>Sequence accession number (E): S</w:t>
      </w:r>
      <w:r w:rsidR="006B7039">
        <w:rPr>
          <w:lang w:val="en-US"/>
        </w:rPr>
        <w:t xml:space="preserve">ee </w:t>
      </w:r>
      <w:r w:rsidR="003474D4">
        <w:rPr>
          <w:lang w:val="en-US"/>
        </w:rPr>
        <w:t xml:space="preserve">the </w:t>
      </w:r>
      <w:r w:rsidR="006B7039">
        <w:rPr>
          <w:lang w:val="en-US"/>
        </w:rPr>
        <w:t xml:space="preserve">Supplemental Table S4. </w:t>
      </w:r>
    </w:p>
    <w:p w14:paraId="46D7C448" w14:textId="02572117" w:rsidR="00A3170C" w:rsidRDefault="003474D4" w:rsidP="00071773">
      <w:pPr>
        <w:pStyle w:val="Odstavecseseznamem"/>
        <w:numPr>
          <w:ilvl w:val="0"/>
          <w:numId w:val="1"/>
        </w:numPr>
        <w:spacing w:line="360" w:lineRule="auto"/>
        <w:jc w:val="both"/>
        <w:rPr>
          <w:lang w:val="en-US"/>
        </w:rPr>
      </w:pPr>
      <w:r>
        <w:rPr>
          <w:lang w:val="en-US"/>
        </w:rPr>
        <w:t xml:space="preserve">Location of amplicon (D): </w:t>
      </w:r>
      <w:r w:rsidRPr="009F72B0">
        <w:rPr>
          <w:lang w:val="en-US"/>
        </w:rPr>
        <w:t xml:space="preserve">The primers annealed to the coding sequence of the respective transcripts </w:t>
      </w:r>
      <w:r w:rsidR="00EC0BD4">
        <w:rPr>
          <w:lang w:val="en-US"/>
        </w:rPr>
        <w:t xml:space="preserve">(Table S4) </w:t>
      </w:r>
      <w:r w:rsidRPr="009F72B0">
        <w:rPr>
          <w:lang w:val="en-US"/>
        </w:rPr>
        <w:t xml:space="preserve">and mostly spanned an exon-exon junction, except for primers for the </w:t>
      </w:r>
      <w:r w:rsidRPr="009F72B0">
        <w:rPr>
          <w:i/>
          <w:lang w:val="en-US"/>
        </w:rPr>
        <w:t xml:space="preserve">MYC </w:t>
      </w:r>
      <w:r w:rsidRPr="009F72B0">
        <w:rPr>
          <w:lang w:val="en-US"/>
        </w:rPr>
        <w:t xml:space="preserve">gene, in which the </w:t>
      </w:r>
      <w:r w:rsidR="006F4457">
        <w:rPr>
          <w:lang w:val="en-US"/>
        </w:rPr>
        <w:t xml:space="preserve">species-specific </w:t>
      </w:r>
      <w:r w:rsidRPr="009F72B0">
        <w:rPr>
          <w:lang w:val="en-US"/>
        </w:rPr>
        <w:t>design spanning the exon-exon junction was not possible.</w:t>
      </w:r>
    </w:p>
    <w:p w14:paraId="646F6F25" w14:textId="77777777" w:rsidR="00605DDF" w:rsidRDefault="00EC0BD4" w:rsidP="00605DDF">
      <w:pPr>
        <w:pStyle w:val="Odstavecseseznamem"/>
        <w:numPr>
          <w:ilvl w:val="0"/>
          <w:numId w:val="1"/>
        </w:numPr>
        <w:spacing w:line="360" w:lineRule="auto"/>
        <w:jc w:val="both"/>
        <w:rPr>
          <w:lang w:val="en-US"/>
        </w:rPr>
      </w:pPr>
      <w:r>
        <w:rPr>
          <w:lang w:val="en-US"/>
        </w:rPr>
        <w:t>Amplicon length (E): See the Supplemental Table S4.</w:t>
      </w:r>
    </w:p>
    <w:p w14:paraId="6740C71A" w14:textId="2D733ACC" w:rsidR="00EC0BD4" w:rsidRPr="00605DDF" w:rsidRDefault="003D65A7" w:rsidP="00605DDF">
      <w:pPr>
        <w:pStyle w:val="Odstavecseseznamem"/>
        <w:numPr>
          <w:ilvl w:val="0"/>
          <w:numId w:val="1"/>
        </w:numPr>
        <w:spacing w:line="360" w:lineRule="auto"/>
        <w:jc w:val="both"/>
        <w:rPr>
          <w:lang w:val="en-US"/>
        </w:rPr>
      </w:pPr>
      <w:r w:rsidRPr="00605DDF">
        <w:rPr>
          <w:i/>
          <w:iCs/>
          <w:lang w:val="en-US"/>
        </w:rPr>
        <w:t xml:space="preserve">In silico </w:t>
      </w:r>
      <w:r w:rsidRPr="00605DDF">
        <w:rPr>
          <w:lang w:val="en-US"/>
        </w:rPr>
        <w:t xml:space="preserve">specificity screen (BLAST, </w:t>
      </w:r>
      <w:proofErr w:type="spellStart"/>
      <w:r w:rsidRPr="00605DDF">
        <w:rPr>
          <w:lang w:val="en-US"/>
        </w:rPr>
        <w:t>etc</w:t>
      </w:r>
      <w:proofErr w:type="spellEnd"/>
      <w:r w:rsidRPr="00605DDF">
        <w:rPr>
          <w:lang w:val="en-US"/>
        </w:rPr>
        <w:t xml:space="preserve">): Performed by Primer-BLAST </w:t>
      </w:r>
      <w:r w:rsidRPr="00605DDF">
        <w:rPr>
          <w:lang w:val="en-US"/>
        </w:rPr>
        <w:fldChar w:fldCharType="begin"/>
      </w:r>
      <w:r w:rsidRPr="00605DDF">
        <w:rPr>
          <w:lang w:val="en-US"/>
        </w:rPr>
        <w:instrText xml:space="preserve"> ADDIN ZOTERO_ITEM CSL_CITATION {"citationID":"RquIZDqG","properties":{"formattedCitation":"(Ye et al., 2012)","plainCitation":"(Ye et al., 2012)","noteIndex":0},"citationItems":[{"id":500,"uris":["http://zotero.org/users/1692765/items/TPDMKZ5X",["http://zotero.org/users/1692765/items/TPDMKZ5X"]],"itemData":{"id":500,"type":"article-journal","abstract":"BACKGROUND: Choosing appropriate primers is probably the single most important factor affecting the polymerase chain reaction (PCR). Specific amplification of the intended target requires that primers do not have matches to other targets in certain orientations and within certain distances that allow undesired amplification. The process of designing specific primers typically involves two stages. First, the primers flanking regions of interest are generated either manually or using software tools; then they are searched against an appropriate nucleotide sequence database using tools such as BLAST to examine the potential targets. However, the latter is not an easy process as one needs to examine many details between primers and targets, such as the number and the positions of matched bases, the primer orientations and distance between forward and reverse primers. The complexity of such analysis usually makes this a time-consuming and very difficult task for users, especially when the primers have a large number of hits. Furthermore, although the BLAST program has been widely used for primer target detection, it is in fact not an ideal tool for this purpose as BLAST is a local alignment algorithm and does not necessarily return complete match information over the entire primer range.\nRESULTS: We present a new software tool called Primer-BLAST to alleviate the difficulty in designing target-specific primers. This tool combines BLAST with a global alignment algorithm to ensure a full primer-target alignment and is sensitive enough to detect targets that have a significant number of mismatches to primers. Primer-BLAST allows users to design new target-specific primers in one step as well as to check the specificity of pre-existing primers. Primer-BLAST also supports placing primers based on exon/intron locations and excluding single nucleotide polymorphism (SNP) sites in primers.\nCONCLUSIONS: We describe a robust and fully implemented general purpose primer design tool that designs target-specific PCR primers. Primer-BLAST offers flexible options to adjust the specificity threshold and other primer properties. This tool is publicly available at http://www.ncbi.nlm.nih.gov/tools/primer-blast.","container-title":"BMC bioinformatics","DOI":"10.1186/1471-2105-13-134","ISSN":"1471-2105","journalAbbreviation":"BMC Bioinformatics","language":"eng","note":"PMID: 22708584\nPMCID: PMC3412702","page":"134","source":"PubMed","title":"Primer-BLAST: a tool to design target-specific primers for polymerase chain reaction","title-short":"Primer-BLAST","volume":"13","author":[{"family":"Ye","given":"Jian"},{"family":"Coulouris","given":"George"},{"family":"Zaretskaya","given":"Irena"},{"family":"Cutcutache","given":"Ioana"},{"family":"Rozen","given":"Steve"},{"family":"Madden","given":"Thomas L."}],"issued":{"date-parts":[["2012",6,18]]}}}],"schema":"https://github.com/citation-style-language/schema/raw/master/csl-citation.json"} </w:instrText>
      </w:r>
      <w:r w:rsidRPr="00605DDF">
        <w:rPr>
          <w:lang w:val="en-US"/>
        </w:rPr>
        <w:fldChar w:fldCharType="separate"/>
      </w:r>
      <w:r w:rsidRPr="00605DDF">
        <w:rPr>
          <w:rFonts w:cs="Times New Roman"/>
          <w:lang w:val="en-US"/>
        </w:rPr>
        <w:t>(Ye et al., 2012)</w:t>
      </w:r>
      <w:r w:rsidRPr="00605DDF">
        <w:rPr>
          <w:lang w:val="en-US"/>
        </w:rPr>
        <w:fldChar w:fldCharType="end"/>
      </w:r>
      <w:r w:rsidR="001A2545" w:rsidRPr="00605DDF">
        <w:rPr>
          <w:lang w:val="en-US"/>
        </w:rPr>
        <w:t xml:space="preserve">. </w:t>
      </w:r>
      <w:r w:rsidR="0098017C" w:rsidRPr="00605DDF">
        <w:rPr>
          <w:lang w:val="en-US"/>
        </w:rPr>
        <w:t>The</w:t>
      </w:r>
      <w:r w:rsidR="001A2545" w:rsidRPr="00605DDF">
        <w:rPr>
          <w:lang w:val="en-US"/>
        </w:rPr>
        <w:t xml:space="preserve"> primers were checked for unspecific targets in </w:t>
      </w:r>
      <w:r w:rsidR="001A2545" w:rsidRPr="00605DDF">
        <w:rPr>
          <w:i/>
          <w:lang w:val="en-US"/>
        </w:rPr>
        <w:t>Mus musculus</w:t>
      </w:r>
      <w:r w:rsidR="001A2545" w:rsidRPr="00605DDF">
        <w:rPr>
          <w:lang w:val="en-US"/>
        </w:rPr>
        <w:t xml:space="preserve"> to avoid unspecific targets in the co-cultured murine cells, and </w:t>
      </w:r>
      <w:r w:rsidR="001A2545" w:rsidRPr="00605DDF">
        <w:rPr>
          <w:i/>
          <w:lang w:val="en-US"/>
        </w:rPr>
        <w:t>Bos taurus</w:t>
      </w:r>
      <w:r w:rsidR="001A2545" w:rsidRPr="00605DDF">
        <w:rPr>
          <w:lang w:val="en-US"/>
        </w:rPr>
        <w:t>, as collagen scaffolds were of a bovine origin. P</w:t>
      </w:r>
      <w:r w:rsidR="00906E23" w:rsidRPr="00605DDF">
        <w:rPr>
          <w:lang w:val="en-US"/>
        </w:rPr>
        <w:t>rimers were</w:t>
      </w:r>
      <w:r w:rsidRPr="00605DDF">
        <w:rPr>
          <w:lang w:val="en-US"/>
        </w:rPr>
        <w:t xml:space="preserve"> </w:t>
      </w:r>
      <w:r w:rsidR="00906E23" w:rsidRPr="00605DDF">
        <w:rPr>
          <w:lang w:val="en-US"/>
        </w:rPr>
        <w:t xml:space="preserve">specific to input template as no other targets were found in selected database: </w:t>
      </w:r>
      <w:proofErr w:type="spellStart"/>
      <w:r w:rsidR="00906E23" w:rsidRPr="00605DDF">
        <w:rPr>
          <w:lang w:val="en-US"/>
        </w:rPr>
        <w:t>Refseq</w:t>
      </w:r>
      <w:proofErr w:type="spellEnd"/>
      <w:r w:rsidR="00906E23" w:rsidRPr="00605DDF">
        <w:rPr>
          <w:lang w:val="en-US"/>
        </w:rPr>
        <w:t xml:space="preserve"> mRNA (Organism limited to </w:t>
      </w:r>
      <w:r w:rsidR="00906E23" w:rsidRPr="00605DDF">
        <w:rPr>
          <w:i/>
          <w:iCs/>
          <w:lang w:val="en-US"/>
        </w:rPr>
        <w:t>Mus musculus</w:t>
      </w:r>
      <w:r w:rsidR="00906E23" w:rsidRPr="00605DDF">
        <w:rPr>
          <w:lang w:val="en-US"/>
        </w:rPr>
        <w:t xml:space="preserve">, </w:t>
      </w:r>
      <w:r w:rsidR="00906E23" w:rsidRPr="00605DDF">
        <w:rPr>
          <w:i/>
          <w:iCs/>
          <w:lang w:val="en-US"/>
        </w:rPr>
        <w:t>Homo sapiens</w:t>
      </w:r>
      <w:r w:rsidR="00906E23" w:rsidRPr="00605DDF">
        <w:rPr>
          <w:lang w:val="en-US"/>
        </w:rPr>
        <w:t xml:space="preserve">, </w:t>
      </w:r>
      <w:r w:rsidR="00906E23" w:rsidRPr="00605DDF">
        <w:rPr>
          <w:i/>
          <w:iCs/>
          <w:lang w:val="en-US"/>
        </w:rPr>
        <w:t>Bos taurus</w:t>
      </w:r>
      <w:r w:rsidR="00906E23" w:rsidRPr="00605DDF">
        <w:rPr>
          <w:lang w:val="en-US"/>
        </w:rPr>
        <w:t>).</w:t>
      </w:r>
      <w:r w:rsidR="00605DDF" w:rsidRPr="00605DDF">
        <w:rPr>
          <w:lang w:val="en-US"/>
        </w:rPr>
        <w:t xml:space="preserve"> The primer specificity was experimentally verified using mouse RNA isolated from M2-10B4 cells, human RNA isolated from a CLL patient, RNA isolated from collagen scaffolds and CMC-PEG gel without any cells. Ten times higher input of murine RNA (100 ng) than human RNA (10 ng) was used for individual validation experiments as this corresponded to a ratio of RNA amount isolated from a portion of scaffold-/gel-cultured murine M2-10B4 cells or primary human CLL cells, respectively. Even with this difference in the input, the primers did not anneal to murine RNA and targeted human RNA </w:t>
      </w:r>
      <w:r w:rsidR="00605DDF" w:rsidRPr="00605DDF">
        <w:rPr>
          <w:iCs/>
          <w:lang w:val="en-US"/>
        </w:rPr>
        <w:t>(</w:t>
      </w:r>
      <w:r w:rsidR="00605DDF" w:rsidRPr="00B67D01">
        <w:rPr>
          <w:bCs/>
          <w:iCs/>
          <w:lang w:val="en-US"/>
        </w:rPr>
        <w:t>Fig. S1</w:t>
      </w:r>
      <w:r w:rsidR="00605DDF" w:rsidRPr="00605DDF">
        <w:rPr>
          <w:iCs/>
          <w:lang w:val="en-US"/>
        </w:rPr>
        <w:t>)</w:t>
      </w:r>
      <w:r w:rsidR="00605DDF" w:rsidRPr="00605DDF">
        <w:rPr>
          <w:lang w:val="en-US"/>
        </w:rPr>
        <w:t xml:space="preserve">. </w:t>
      </w:r>
    </w:p>
    <w:p w14:paraId="002AD6B5" w14:textId="369AA03B" w:rsidR="00906E23" w:rsidRDefault="00914F61" w:rsidP="00071773">
      <w:pPr>
        <w:pStyle w:val="Odstavecseseznamem"/>
        <w:numPr>
          <w:ilvl w:val="0"/>
          <w:numId w:val="1"/>
        </w:numPr>
        <w:spacing w:line="360" w:lineRule="auto"/>
        <w:jc w:val="both"/>
        <w:rPr>
          <w:lang w:val="en-US"/>
        </w:rPr>
      </w:pPr>
      <w:r>
        <w:rPr>
          <w:lang w:val="en-US"/>
        </w:rPr>
        <w:t xml:space="preserve">Location of each primer by exon or intron (if applicable) (E): See the Supplemental Table S4. </w:t>
      </w:r>
    </w:p>
    <w:p w14:paraId="11C07C5D" w14:textId="75DD6492" w:rsidR="00914F61" w:rsidRDefault="00D10AAA" w:rsidP="00071773">
      <w:pPr>
        <w:pStyle w:val="Odstavecseseznamem"/>
        <w:numPr>
          <w:ilvl w:val="0"/>
          <w:numId w:val="1"/>
        </w:numPr>
        <w:spacing w:line="360" w:lineRule="auto"/>
        <w:jc w:val="both"/>
        <w:rPr>
          <w:lang w:val="en-US"/>
        </w:rPr>
      </w:pPr>
      <w:r>
        <w:rPr>
          <w:lang w:val="en-US"/>
        </w:rPr>
        <w:t>What splice variants are targeted (E): See the Supplemental Table S4.</w:t>
      </w:r>
    </w:p>
    <w:p w14:paraId="431735E2" w14:textId="7E62B1DC" w:rsidR="00F97B4A" w:rsidRPr="00F97B4A" w:rsidRDefault="00DE21F7" w:rsidP="00F97B4A">
      <w:pPr>
        <w:spacing w:line="360" w:lineRule="auto"/>
        <w:jc w:val="both"/>
        <w:rPr>
          <w:b/>
          <w:bCs/>
          <w:lang w:val="en-US"/>
        </w:rPr>
      </w:pPr>
      <w:r>
        <w:rPr>
          <w:b/>
          <w:bCs/>
          <w:lang w:val="en-US"/>
        </w:rPr>
        <w:t>qPCR oligonucleotides</w:t>
      </w:r>
    </w:p>
    <w:p w14:paraId="3B9ED66A" w14:textId="56CF5311" w:rsidR="00D10AAA" w:rsidRPr="00265A81" w:rsidRDefault="00265A81" w:rsidP="00265A81">
      <w:pPr>
        <w:pStyle w:val="Odstavecseseznamem"/>
        <w:numPr>
          <w:ilvl w:val="0"/>
          <w:numId w:val="1"/>
        </w:numPr>
        <w:spacing w:line="360" w:lineRule="auto"/>
        <w:jc w:val="both"/>
        <w:rPr>
          <w:lang w:val="en-US"/>
        </w:rPr>
      </w:pPr>
      <w:r w:rsidRPr="00265A81">
        <w:rPr>
          <w:lang w:val="en-US"/>
        </w:rPr>
        <w:t>Primer sequences (E): See the Supplemental Table S4.</w:t>
      </w:r>
    </w:p>
    <w:p w14:paraId="705CAC21" w14:textId="203202C7" w:rsidR="00265A81" w:rsidRDefault="00D75556" w:rsidP="00265A81">
      <w:pPr>
        <w:pStyle w:val="Odstavecseseznamem"/>
        <w:numPr>
          <w:ilvl w:val="0"/>
          <w:numId w:val="1"/>
        </w:numPr>
        <w:spacing w:line="360" w:lineRule="auto"/>
        <w:jc w:val="both"/>
        <w:rPr>
          <w:lang w:val="en-US"/>
        </w:rPr>
      </w:pPr>
      <w:r>
        <w:rPr>
          <w:lang w:val="en-US"/>
        </w:rPr>
        <w:t xml:space="preserve">Location and identity of any modifications (E): No modifications. </w:t>
      </w:r>
    </w:p>
    <w:p w14:paraId="1BF30E75" w14:textId="489C3119" w:rsidR="00912DAC" w:rsidRDefault="00912DAC" w:rsidP="00265A81">
      <w:pPr>
        <w:pStyle w:val="Odstavecseseznamem"/>
        <w:numPr>
          <w:ilvl w:val="0"/>
          <w:numId w:val="1"/>
        </w:numPr>
        <w:spacing w:line="360" w:lineRule="auto"/>
        <w:jc w:val="both"/>
        <w:rPr>
          <w:lang w:val="en-US"/>
        </w:rPr>
      </w:pPr>
      <w:r>
        <w:rPr>
          <w:lang w:val="en-US"/>
        </w:rPr>
        <w:t>Manufacturer of oligonucleotides (</w:t>
      </w:r>
      <w:r w:rsidR="00FA2968">
        <w:rPr>
          <w:lang w:val="en-US"/>
        </w:rPr>
        <w:t>D</w:t>
      </w:r>
      <w:r>
        <w:rPr>
          <w:lang w:val="en-US"/>
        </w:rPr>
        <w:t xml:space="preserve">): </w:t>
      </w:r>
      <w:proofErr w:type="spellStart"/>
      <w:r w:rsidR="00187CE1">
        <w:rPr>
          <w:lang w:val="en-US"/>
        </w:rPr>
        <w:t>Generi</w:t>
      </w:r>
      <w:proofErr w:type="spellEnd"/>
      <w:r w:rsidR="00187CE1">
        <w:rPr>
          <w:lang w:val="en-US"/>
        </w:rPr>
        <w:t xml:space="preserve"> Biotech, Hradec </w:t>
      </w:r>
      <w:proofErr w:type="spellStart"/>
      <w:r w:rsidR="00187CE1">
        <w:rPr>
          <w:lang w:val="en-US"/>
        </w:rPr>
        <w:t>Králové</w:t>
      </w:r>
      <w:proofErr w:type="spellEnd"/>
      <w:r w:rsidR="00187CE1">
        <w:rPr>
          <w:lang w:val="en-US"/>
        </w:rPr>
        <w:t>, Czech Republic</w:t>
      </w:r>
      <w:r w:rsidR="004E4E2E">
        <w:rPr>
          <w:lang w:val="en-US"/>
        </w:rPr>
        <w:t>.</w:t>
      </w:r>
    </w:p>
    <w:p w14:paraId="7F458B7C" w14:textId="6DC5691E" w:rsidR="00424D67" w:rsidRDefault="00424D67" w:rsidP="00265A81">
      <w:pPr>
        <w:pStyle w:val="Odstavecseseznamem"/>
        <w:numPr>
          <w:ilvl w:val="0"/>
          <w:numId w:val="1"/>
        </w:numPr>
        <w:spacing w:line="360" w:lineRule="auto"/>
        <w:jc w:val="both"/>
        <w:rPr>
          <w:lang w:val="en-US"/>
        </w:rPr>
      </w:pPr>
      <w:r>
        <w:rPr>
          <w:lang w:val="en-US"/>
        </w:rPr>
        <w:lastRenderedPageBreak/>
        <w:t xml:space="preserve">Purification method (D): </w:t>
      </w:r>
      <w:r w:rsidR="00A707DC">
        <w:rPr>
          <w:lang w:val="en-US"/>
        </w:rPr>
        <w:t xml:space="preserve">Standard purification at </w:t>
      </w:r>
      <w:proofErr w:type="spellStart"/>
      <w:r w:rsidR="00A707DC">
        <w:rPr>
          <w:lang w:val="en-US"/>
        </w:rPr>
        <w:t>Generi</w:t>
      </w:r>
      <w:proofErr w:type="spellEnd"/>
      <w:r w:rsidR="00A707DC">
        <w:rPr>
          <w:lang w:val="en-US"/>
        </w:rPr>
        <w:t xml:space="preserve"> Biotech</w:t>
      </w:r>
      <w:r w:rsidR="00CC364D">
        <w:rPr>
          <w:lang w:val="en-US"/>
        </w:rPr>
        <w:t xml:space="preserve">, i.e., </w:t>
      </w:r>
      <w:r w:rsidR="00113CB2">
        <w:rPr>
          <w:lang w:val="en-US"/>
        </w:rPr>
        <w:t>chemical residues</w:t>
      </w:r>
      <w:r w:rsidR="00593DAB">
        <w:rPr>
          <w:lang w:val="en-US"/>
        </w:rPr>
        <w:t xml:space="preserve"> </w:t>
      </w:r>
      <w:r w:rsidR="00CC364D">
        <w:rPr>
          <w:lang w:val="en-US"/>
        </w:rPr>
        <w:t>were</w:t>
      </w:r>
      <w:r w:rsidR="00593DAB">
        <w:rPr>
          <w:lang w:val="en-US"/>
        </w:rPr>
        <w:t xml:space="preserve"> removed</w:t>
      </w:r>
      <w:r w:rsidR="00113CB2">
        <w:rPr>
          <w:lang w:val="en-US"/>
        </w:rPr>
        <w:t xml:space="preserve"> (</w:t>
      </w:r>
      <w:r w:rsidR="00593DAB">
        <w:rPr>
          <w:lang w:val="en-US"/>
        </w:rPr>
        <w:t>excess of salts</w:t>
      </w:r>
      <w:r w:rsidR="00CC364D">
        <w:rPr>
          <w:lang w:val="en-US"/>
        </w:rPr>
        <w:t xml:space="preserve"> and protecting groups).</w:t>
      </w:r>
      <w:r w:rsidR="00A707DC">
        <w:rPr>
          <w:lang w:val="en-US"/>
        </w:rPr>
        <w:t xml:space="preserve"> </w:t>
      </w:r>
    </w:p>
    <w:p w14:paraId="0DB2E3FC" w14:textId="0354CBB1" w:rsidR="00DE21F7" w:rsidRDefault="003752FC" w:rsidP="000A554D">
      <w:pPr>
        <w:spacing w:line="360" w:lineRule="auto"/>
        <w:jc w:val="both"/>
        <w:rPr>
          <w:b/>
          <w:bCs/>
          <w:lang w:val="en-US"/>
        </w:rPr>
      </w:pPr>
      <w:r>
        <w:rPr>
          <w:b/>
          <w:bCs/>
          <w:lang w:val="en-US"/>
        </w:rPr>
        <w:br/>
      </w:r>
      <w:r w:rsidR="00DE21F7">
        <w:rPr>
          <w:b/>
          <w:bCs/>
          <w:lang w:val="en-US"/>
        </w:rPr>
        <w:t>qPCR protocol</w:t>
      </w:r>
    </w:p>
    <w:p w14:paraId="48E5EA25" w14:textId="3CB0ED7C" w:rsidR="00DE21F7" w:rsidRPr="00635BBB" w:rsidRDefault="00DE21F7" w:rsidP="00DE21F7">
      <w:pPr>
        <w:pStyle w:val="Odstavecseseznamem"/>
        <w:numPr>
          <w:ilvl w:val="0"/>
          <w:numId w:val="1"/>
        </w:numPr>
        <w:spacing w:line="360" w:lineRule="auto"/>
        <w:jc w:val="both"/>
        <w:rPr>
          <w:b/>
          <w:bCs/>
          <w:lang w:val="en-US"/>
        </w:rPr>
      </w:pPr>
      <w:r>
        <w:rPr>
          <w:lang w:val="en-US"/>
        </w:rPr>
        <w:t>Complete reaction conditions (E)</w:t>
      </w:r>
      <w:r w:rsidR="007C30F8">
        <w:rPr>
          <w:lang w:val="en-US"/>
        </w:rPr>
        <w:t>: Performed in a single tube together with RT</w:t>
      </w:r>
      <w:r w:rsidR="002B11C1">
        <w:rPr>
          <w:lang w:val="en-US"/>
        </w:rPr>
        <w:t>,</w:t>
      </w:r>
      <w:r w:rsidR="0045100B">
        <w:rPr>
          <w:lang w:val="en-US"/>
        </w:rPr>
        <w:t xml:space="preserve"> </w:t>
      </w:r>
      <w:r w:rsidR="002B11C1">
        <w:rPr>
          <w:lang w:val="en-US"/>
        </w:rPr>
        <w:t>using</w:t>
      </w:r>
      <w:r w:rsidR="007C30F8">
        <w:rPr>
          <w:lang w:val="en-US"/>
        </w:rPr>
        <w:t xml:space="preserve"> the </w:t>
      </w:r>
      <w:r w:rsidR="007C30F8" w:rsidRPr="009F72B0">
        <w:rPr>
          <w:lang w:val="en-US"/>
        </w:rPr>
        <w:t>Luna universal one-step RT-qPCR kit (New England Biolabs, Ipswich, MA, USA</w:t>
      </w:r>
      <w:r w:rsidR="007C30F8">
        <w:rPr>
          <w:lang w:val="en-US"/>
        </w:rPr>
        <w:t>; catalogue number NEB #E3005L</w:t>
      </w:r>
      <w:r w:rsidR="007C30F8" w:rsidRPr="009F72B0">
        <w:rPr>
          <w:lang w:val="en-US"/>
        </w:rPr>
        <w:t>)</w:t>
      </w:r>
      <w:r w:rsidR="007C30F8">
        <w:rPr>
          <w:lang w:val="en-US"/>
        </w:rPr>
        <w:t>.</w:t>
      </w:r>
    </w:p>
    <w:p w14:paraId="7842A2AB" w14:textId="428A496B" w:rsidR="00635BBB" w:rsidRPr="000243E0" w:rsidRDefault="007C30F8" w:rsidP="00635BBB">
      <w:pPr>
        <w:pStyle w:val="Odstavecseseznamem"/>
        <w:numPr>
          <w:ilvl w:val="1"/>
          <w:numId w:val="1"/>
        </w:numPr>
        <w:spacing w:line="360" w:lineRule="auto"/>
        <w:jc w:val="both"/>
        <w:rPr>
          <w:b/>
          <w:bCs/>
          <w:lang w:val="en-US"/>
        </w:rPr>
      </w:pPr>
      <w:r w:rsidRPr="000243E0">
        <w:rPr>
          <w:lang w:val="en-US"/>
        </w:rPr>
        <w:t>Reaction volume and amount of cDNA/DNA</w:t>
      </w:r>
      <w:r w:rsidR="00CF017C" w:rsidRPr="000243E0">
        <w:rPr>
          <w:lang w:val="en-US"/>
        </w:rPr>
        <w:t xml:space="preserve"> (E): 10 μL of reaction volume, 1 μL of RNA as the input</w:t>
      </w:r>
      <w:r w:rsidR="00CA5EC3" w:rsidRPr="000243E0">
        <w:rPr>
          <w:lang w:val="en-US"/>
        </w:rPr>
        <w:t xml:space="preserve"> for RT</w:t>
      </w:r>
      <w:r w:rsidR="00CF017C" w:rsidRPr="000243E0">
        <w:rPr>
          <w:lang w:val="en-US"/>
        </w:rPr>
        <w:t xml:space="preserve"> </w:t>
      </w:r>
      <w:r w:rsidR="003D1010">
        <w:rPr>
          <w:lang w:val="en-US"/>
        </w:rPr>
        <w:t xml:space="preserve">which was </w:t>
      </w:r>
      <w:r w:rsidR="00CA5EC3" w:rsidRPr="000243E0">
        <w:rPr>
          <w:lang w:val="en-US"/>
        </w:rPr>
        <w:t>immediately followed by qPCR.</w:t>
      </w:r>
    </w:p>
    <w:p w14:paraId="6CDB7C54" w14:textId="66A6B7CC" w:rsidR="000A554D" w:rsidRPr="00533D99" w:rsidRDefault="009B791F" w:rsidP="000A554D">
      <w:pPr>
        <w:pStyle w:val="Odstavecseseznamem"/>
        <w:numPr>
          <w:ilvl w:val="1"/>
          <w:numId w:val="1"/>
        </w:numPr>
        <w:spacing w:line="360" w:lineRule="auto"/>
        <w:jc w:val="both"/>
        <w:rPr>
          <w:b/>
          <w:bCs/>
          <w:lang w:val="en-US"/>
        </w:rPr>
      </w:pPr>
      <w:r w:rsidRPr="000243E0">
        <w:rPr>
          <w:lang w:val="en-US"/>
        </w:rPr>
        <w:t>Primer, (probe), Mg++ and dNTP concentrations (E)</w:t>
      </w:r>
      <w:r w:rsidR="00533D99">
        <w:rPr>
          <w:lang w:val="en-US"/>
        </w:rPr>
        <w:t>, Buffer/kit identity and manufacturer (E)</w:t>
      </w:r>
      <w:r w:rsidRPr="000243E0">
        <w:rPr>
          <w:lang w:val="en-US"/>
        </w:rPr>
        <w:t xml:space="preserve">: </w:t>
      </w:r>
      <w:r w:rsidR="00452615" w:rsidRPr="000243E0">
        <w:rPr>
          <w:lang w:val="en-US"/>
        </w:rPr>
        <w:t xml:space="preserve">10 </w:t>
      </w:r>
      <w:proofErr w:type="spellStart"/>
      <w:r w:rsidR="00452615" w:rsidRPr="000243E0">
        <w:rPr>
          <w:lang w:val="en-US"/>
        </w:rPr>
        <w:t>μM</w:t>
      </w:r>
      <w:proofErr w:type="spellEnd"/>
      <w:r w:rsidR="00BB210E" w:rsidRPr="000243E0">
        <w:rPr>
          <w:lang w:val="en-US"/>
        </w:rPr>
        <w:t xml:space="preserve"> of each primer (forward and reverse), </w:t>
      </w:r>
      <w:r w:rsidR="00D27138" w:rsidRPr="000243E0">
        <w:rPr>
          <w:lang w:val="en-US"/>
        </w:rPr>
        <w:t>Mg++ and dNTP concentrations unknown</w:t>
      </w:r>
      <w:r w:rsidR="00115E7D" w:rsidRPr="000243E0">
        <w:rPr>
          <w:lang w:val="en-US"/>
        </w:rPr>
        <w:t xml:space="preserve">, as they </w:t>
      </w:r>
      <w:r w:rsidR="00D27138" w:rsidRPr="000243E0">
        <w:rPr>
          <w:lang w:val="en-US"/>
        </w:rPr>
        <w:t xml:space="preserve">were </w:t>
      </w:r>
      <w:r w:rsidR="00115E7D" w:rsidRPr="000243E0">
        <w:rPr>
          <w:lang w:val="en-US"/>
        </w:rPr>
        <w:t>contained in</w:t>
      </w:r>
      <w:r w:rsidR="00D27138" w:rsidRPr="000243E0">
        <w:rPr>
          <w:lang w:val="en-US"/>
        </w:rPr>
        <w:t xml:space="preserve"> the</w:t>
      </w:r>
      <w:r w:rsidR="005E62F9" w:rsidRPr="000243E0">
        <w:rPr>
          <w:lang w:val="en-US"/>
        </w:rPr>
        <w:t xml:space="preserve"> Luna Universal One-Step Reaction Mix</w:t>
      </w:r>
      <w:r w:rsidR="00533D99">
        <w:rPr>
          <w:lang w:val="en-US"/>
        </w:rPr>
        <w:t xml:space="preserve"> (part of the kit mentioned above)</w:t>
      </w:r>
      <w:r w:rsidR="005E62F9" w:rsidRPr="000243E0">
        <w:rPr>
          <w:lang w:val="en-US"/>
        </w:rPr>
        <w:t xml:space="preserve">. </w:t>
      </w:r>
    </w:p>
    <w:p w14:paraId="23892210" w14:textId="04160136" w:rsidR="00533D99" w:rsidRPr="006A298A" w:rsidRDefault="00DC6C4B" w:rsidP="000A554D">
      <w:pPr>
        <w:pStyle w:val="Odstavecseseznamem"/>
        <w:numPr>
          <w:ilvl w:val="1"/>
          <w:numId w:val="1"/>
        </w:numPr>
        <w:spacing w:line="360" w:lineRule="auto"/>
        <w:jc w:val="both"/>
        <w:rPr>
          <w:b/>
          <w:bCs/>
          <w:lang w:val="en-US"/>
        </w:rPr>
      </w:pPr>
      <w:r>
        <w:rPr>
          <w:lang w:val="en-US"/>
        </w:rPr>
        <w:t>Exact chemical constitution of the buffer</w:t>
      </w:r>
      <w:r w:rsidR="006A298A">
        <w:rPr>
          <w:lang w:val="en-US"/>
        </w:rPr>
        <w:t xml:space="preserve"> (D)</w:t>
      </w:r>
      <w:r>
        <w:rPr>
          <w:lang w:val="en-US"/>
        </w:rPr>
        <w:t xml:space="preserve">: </w:t>
      </w:r>
      <w:r w:rsidR="000325C9">
        <w:rPr>
          <w:lang w:val="en-US"/>
        </w:rPr>
        <w:t>Provided</w:t>
      </w:r>
      <w:r w:rsidR="00344442">
        <w:rPr>
          <w:lang w:val="en-US"/>
        </w:rPr>
        <w:t xml:space="preserve"> by the manufacturer</w:t>
      </w:r>
      <w:r w:rsidR="000325C9">
        <w:rPr>
          <w:lang w:val="en-US"/>
        </w:rPr>
        <w:t xml:space="preserve"> for </w:t>
      </w:r>
      <w:r w:rsidR="00344442">
        <w:rPr>
          <w:lang w:val="en-US"/>
        </w:rPr>
        <w:t>t</w:t>
      </w:r>
      <w:r w:rsidR="00344442" w:rsidRPr="000243E0">
        <w:rPr>
          <w:lang w:val="en-US"/>
        </w:rPr>
        <w:t>he Luna Universal One-Step Reaction Mix</w:t>
      </w:r>
      <w:r w:rsidR="006A298A">
        <w:rPr>
          <w:lang w:val="en-US"/>
        </w:rPr>
        <w:t>.</w:t>
      </w:r>
    </w:p>
    <w:p w14:paraId="5CFDD0E8" w14:textId="08B1D8AF" w:rsidR="006A298A" w:rsidRPr="00AE7BB6" w:rsidRDefault="006A298A" w:rsidP="000A554D">
      <w:pPr>
        <w:pStyle w:val="Odstavecseseznamem"/>
        <w:numPr>
          <w:ilvl w:val="1"/>
          <w:numId w:val="1"/>
        </w:numPr>
        <w:spacing w:line="360" w:lineRule="auto"/>
        <w:jc w:val="both"/>
        <w:rPr>
          <w:b/>
          <w:bCs/>
          <w:lang w:val="en-US"/>
        </w:rPr>
      </w:pPr>
      <w:r>
        <w:rPr>
          <w:lang w:val="en-US"/>
        </w:rPr>
        <w:t>Additives (SYBR Green I, DMSO, etc.)</w:t>
      </w:r>
      <w:r w:rsidR="00EB1B3C">
        <w:rPr>
          <w:lang w:val="en-US"/>
        </w:rPr>
        <w:t xml:space="preserve"> (E)</w:t>
      </w:r>
      <w:r>
        <w:rPr>
          <w:lang w:val="en-US"/>
        </w:rPr>
        <w:t xml:space="preserve">: None. </w:t>
      </w:r>
    </w:p>
    <w:p w14:paraId="167B2B97" w14:textId="685A39C5" w:rsidR="00AE7BB6" w:rsidRPr="00D441DD" w:rsidRDefault="00AE7BB6" w:rsidP="00AE7BB6">
      <w:pPr>
        <w:pStyle w:val="Odstavecseseznamem"/>
        <w:numPr>
          <w:ilvl w:val="0"/>
          <w:numId w:val="1"/>
        </w:numPr>
        <w:spacing w:line="360" w:lineRule="auto"/>
        <w:jc w:val="both"/>
        <w:rPr>
          <w:b/>
          <w:bCs/>
          <w:lang w:val="en-US"/>
        </w:rPr>
      </w:pPr>
      <w:r>
        <w:rPr>
          <w:lang w:val="en-US"/>
        </w:rPr>
        <w:t>Manufacturer of the plates/tubes and catalog number</w:t>
      </w:r>
      <w:r w:rsidR="00DC6A0C">
        <w:rPr>
          <w:lang w:val="en-US"/>
        </w:rPr>
        <w:t xml:space="preserve"> (D)</w:t>
      </w:r>
      <w:r w:rsidR="00204498">
        <w:rPr>
          <w:lang w:val="en-US"/>
        </w:rPr>
        <w:t xml:space="preserve">: </w:t>
      </w:r>
      <w:proofErr w:type="spellStart"/>
      <w:r w:rsidR="00204498" w:rsidRPr="00204498">
        <w:rPr>
          <w:lang w:val="en-US"/>
        </w:rPr>
        <w:t>FrameStar</w:t>
      </w:r>
      <w:proofErr w:type="spellEnd"/>
      <w:r w:rsidR="00204498" w:rsidRPr="00204498">
        <w:rPr>
          <w:lang w:val="en-US"/>
        </w:rPr>
        <w:t xml:space="preserve"> 384</w:t>
      </w:r>
      <w:r w:rsidR="00204498">
        <w:rPr>
          <w:lang w:val="en-US"/>
        </w:rPr>
        <w:t>-</w:t>
      </w:r>
      <w:r w:rsidR="00204498" w:rsidRPr="00204498">
        <w:rPr>
          <w:lang w:val="en-US"/>
        </w:rPr>
        <w:t xml:space="preserve">well skirted PCR plate, frosted wells, clear frame </w:t>
      </w:r>
      <w:r w:rsidR="002A62D7">
        <w:rPr>
          <w:lang w:val="en-US"/>
        </w:rPr>
        <w:t xml:space="preserve">(#4ti-0387, </w:t>
      </w:r>
      <w:r w:rsidR="00535B7C">
        <w:rPr>
          <w:lang w:val="en-US"/>
        </w:rPr>
        <w:t xml:space="preserve">4titude, </w:t>
      </w:r>
      <w:r w:rsidR="00D441DD">
        <w:rPr>
          <w:lang w:val="en-US"/>
        </w:rPr>
        <w:t>Surrey, United Kingdom</w:t>
      </w:r>
      <w:r w:rsidR="00204498" w:rsidRPr="00204498">
        <w:rPr>
          <w:lang w:val="en-US"/>
        </w:rPr>
        <w:t>)</w:t>
      </w:r>
    </w:p>
    <w:p w14:paraId="4C935954" w14:textId="6153505D" w:rsidR="00D441DD" w:rsidRPr="00004EB7" w:rsidRDefault="00004EB7" w:rsidP="00AE7BB6">
      <w:pPr>
        <w:pStyle w:val="Odstavecseseznamem"/>
        <w:numPr>
          <w:ilvl w:val="0"/>
          <w:numId w:val="1"/>
        </w:numPr>
        <w:spacing w:line="360" w:lineRule="auto"/>
        <w:jc w:val="both"/>
        <w:rPr>
          <w:b/>
          <w:bCs/>
          <w:lang w:val="en-US"/>
        </w:rPr>
      </w:pPr>
      <w:r>
        <w:rPr>
          <w:lang w:val="en-US"/>
        </w:rPr>
        <w:t>Complete thermocycling parameters (E):</w:t>
      </w:r>
      <w:r w:rsidR="003D1010">
        <w:rPr>
          <w:lang w:val="en-US"/>
        </w:rPr>
        <w:t xml:space="preserve"> </w:t>
      </w:r>
      <w:r w:rsidR="003D1010" w:rsidRPr="003D1010">
        <w:rPr>
          <w:lang w:val="en-US"/>
        </w:rPr>
        <w:t>55 °C for 10 minutes (</w:t>
      </w:r>
      <w:r w:rsidR="0043139A">
        <w:rPr>
          <w:lang w:val="en-US"/>
        </w:rPr>
        <w:t>RT</w:t>
      </w:r>
      <w:r w:rsidR="003D1010" w:rsidRPr="003D1010">
        <w:rPr>
          <w:lang w:val="en-US"/>
        </w:rPr>
        <w:t>), 95</w:t>
      </w:r>
      <w:r w:rsidR="003D1010">
        <w:rPr>
          <w:lang w:val="en-US"/>
        </w:rPr>
        <w:t> </w:t>
      </w:r>
      <w:r w:rsidR="003D1010" w:rsidRPr="003D1010">
        <w:rPr>
          <w:lang w:val="en-US"/>
        </w:rPr>
        <w:t>°C for 1 minute (initial denaturation), 40 cycles of 95 °C for 10 seconds (denaturation) and 60 °C for 30 seconds (extension; plate read). A melt-curve step was added at the end (95 °C for 15 seconds, 60 °C for 60 seconds and 95 °C for 15 seconds).</w:t>
      </w:r>
    </w:p>
    <w:p w14:paraId="11054787" w14:textId="23749361" w:rsidR="00004EB7" w:rsidRPr="00004EB7" w:rsidRDefault="00004EB7" w:rsidP="00AE7BB6">
      <w:pPr>
        <w:pStyle w:val="Odstavecseseznamem"/>
        <w:numPr>
          <w:ilvl w:val="0"/>
          <w:numId w:val="1"/>
        </w:numPr>
        <w:spacing w:line="360" w:lineRule="auto"/>
        <w:jc w:val="both"/>
        <w:rPr>
          <w:b/>
          <w:bCs/>
          <w:lang w:val="en-US"/>
        </w:rPr>
      </w:pPr>
      <w:r>
        <w:rPr>
          <w:lang w:val="en-US"/>
        </w:rPr>
        <w:t>Reaction setup (manual/robotic) (D):</w:t>
      </w:r>
      <w:r w:rsidR="003D1010">
        <w:rPr>
          <w:lang w:val="en-US"/>
        </w:rPr>
        <w:t xml:space="preserve"> Manual.</w:t>
      </w:r>
    </w:p>
    <w:p w14:paraId="5FDFF20E" w14:textId="38FBE838" w:rsidR="00004EB7" w:rsidRPr="0031013C" w:rsidRDefault="0031013C" w:rsidP="00AE7BB6">
      <w:pPr>
        <w:pStyle w:val="Odstavecseseznamem"/>
        <w:numPr>
          <w:ilvl w:val="0"/>
          <w:numId w:val="1"/>
        </w:numPr>
        <w:spacing w:line="360" w:lineRule="auto"/>
        <w:jc w:val="both"/>
        <w:rPr>
          <w:b/>
          <w:bCs/>
          <w:lang w:val="en-US"/>
        </w:rPr>
      </w:pPr>
      <w:r>
        <w:rPr>
          <w:lang w:val="en-US"/>
        </w:rPr>
        <w:t>Manufacturer of qPCR instrument (E):</w:t>
      </w:r>
      <w:r w:rsidR="003D1010">
        <w:rPr>
          <w:lang w:val="en-US"/>
        </w:rPr>
        <w:t xml:space="preserve"> </w:t>
      </w:r>
      <w:proofErr w:type="spellStart"/>
      <w:r w:rsidR="003D4877" w:rsidRPr="009F72B0">
        <w:rPr>
          <w:lang w:val="en-US"/>
        </w:rPr>
        <w:t>QuantStudio</w:t>
      </w:r>
      <w:proofErr w:type="spellEnd"/>
      <w:r w:rsidR="003D4877" w:rsidRPr="009F72B0">
        <w:rPr>
          <w:lang w:val="en-US"/>
        </w:rPr>
        <w:t xml:space="preserve"> 12K Flex Real-Time PCR System (Applied Biosystems, Waltham, MA, USA).</w:t>
      </w:r>
    </w:p>
    <w:p w14:paraId="6292A4E6" w14:textId="77F56CDB" w:rsidR="0031013C" w:rsidRDefault="0031013C" w:rsidP="0031013C">
      <w:pPr>
        <w:spacing w:line="360" w:lineRule="auto"/>
        <w:jc w:val="both"/>
        <w:rPr>
          <w:b/>
          <w:bCs/>
          <w:lang w:val="en-US"/>
        </w:rPr>
      </w:pPr>
      <w:r>
        <w:rPr>
          <w:b/>
          <w:bCs/>
          <w:lang w:val="en-US"/>
        </w:rPr>
        <w:t xml:space="preserve">qPCR validation: </w:t>
      </w:r>
    </w:p>
    <w:p w14:paraId="3BB479F4" w14:textId="2AA69027" w:rsidR="0031013C" w:rsidRDefault="0031013C" w:rsidP="0031013C">
      <w:pPr>
        <w:pStyle w:val="Odstavecseseznamem"/>
        <w:numPr>
          <w:ilvl w:val="0"/>
          <w:numId w:val="1"/>
        </w:numPr>
        <w:spacing w:line="360" w:lineRule="auto"/>
        <w:jc w:val="both"/>
        <w:rPr>
          <w:lang w:val="en-US"/>
        </w:rPr>
      </w:pPr>
      <w:r>
        <w:rPr>
          <w:lang w:val="en-US"/>
        </w:rPr>
        <w:t>Evidence of optimization (from gradients) (D):</w:t>
      </w:r>
      <w:r w:rsidR="001F418B">
        <w:rPr>
          <w:lang w:val="en-US"/>
        </w:rPr>
        <w:t xml:space="preserve"> </w:t>
      </w:r>
    </w:p>
    <w:p w14:paraId="0F5C8413" w14:textId="4CE559C7" w:rsidR="00F05D5E" w:rsidRDefault="00F05D5E" w:rsidP="00F05D5E">
      <w:pPr>
        <w:pStyle w:val="Odstavecseseznamem"/>
        <w:numPr>
          <w:ilvl w:val="1"/>
          <w:numId w:val="1"/>
        </w:numPr>
        <w:spacing w:line="360" w:lineRule="auto"/>
        <w:jc w:val="both"/>
        <w:rPr>
          <w:lang w:val="en-US"/>
        </w:rPr>
      </w:pPr>
      <w:r>
        <w:rPr>
          <w:lang w:val="en-US"/>
        </w:rPr>
        <w:t xml:space="preserve">See </w:t>
      </w:r>
      <w:r w:rsidR="00625EBC">
        <w:rPr>
          <w:lang w:val="en-US"/>
        </w:rPr>
        <w:t xml:space="preserve">the </w:t>
      </w:r>
      <w:r w:rsidR="00BE71B8">
        <w:rPr>
          <w:lang w:val="en-US"/>
        </w:rPr>
        <w:t>Supplemental</w:t>
      </w:r>
      <w:r>
        <w:rPr>
          <w:lang w:val="en-US"/>
        </w:rPr>
        <w:t xml:space="preserve"> Fi</w:t>
      </w:r>
      <w:r w:rsidR="00BE71B8">
        <w:rPr>
          <w:lang w:val="en-US"/>
        </w:rPr>
        <w:t>gure S</w:t>
      </w:r>
      <w:r>
        <w:rPr>
          <w:lang w:val="en-US"/>
        </w:rPr>
        <w:t>1</w:t>
      </w:r>
    </w:p>
    <w:p w14:paraId="485EF6FD" w14:textId="7C60D489" w:rsidR="00586F04" w:rsidRPr="00586F04" w:rsidRDefault="007A5269" w:rsidP="00586F04">
      <w:pPr>
        <w:pStyle w:val="Odstavecseseznamem"/>
        <w:numPr>
          <w:ilvl w:val="0"/>
          <w:numId w:val="1"/>
        </w:numPr>
        <w:spacing w:line="360" w:lineRule="auto"/>
        <w:jc w:val="both"/>
        <w:rPr>
          <w:lang w:val="en-US"/>
        </w:rPr>
      </w:pPr>
      <w:r>
        <w:rPr>
          <w:lang w:val="en-US"/>
        </w:rPr>
        <w:t>Specificity (gel, sequence, melt, or digest) (E):</w:t>
      </w:r>
      <w:r w:rsidR="001F418B">
        <w:rPr>
          <w:lang w:val="en-US"/>
        </w:rPr>
        <w:t xml:space="preserve"> </w:t>
      </w:r>
    </w:p>
    <w:p w14:paraId="003A9796" w14:textId="62D60A51" w:rsidR="00586F04" w:rsidRDefault="00F74A03" w:rsidP="00586F04">
      <w:pPr>
        <w:pStyle w:val="Odstavecseseznamem"/>
        <w:spacing w:line="360" w:lineRule="auto"/>
        <w:ind w:left="1440"/>
        <w:jc w:val="both"/>
        <w:rPr>
          <w:lang w:val="en-US"/>
        </w:rPr>
      </w:pPr>
      <w:r>
        <w:rPr>
          <w:noProof/>
        </w:rPr>
        <w:lastRenderedPageBreak/>
        <w:drawing>
          <wp:inline distT="0" distB="0" distL="0" distR="0" wp14:anchorId="4575BF70" wp14:editId="3DDBFEAF">
            <wp:extent cx="5086350" cy="3812870"/>
            <wp:effectExtent l="0" t="0" r="0" b="0"/>
            <wp:docPr id="1756698651" name="Obrázek 1" descr="Obsah obrázku text,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98651" name="Obrázek 1" descr="Obsah obrázku text, snímek obrazovky&#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1215" cy="3824013"/>
                    </a:xfrm>
                    <a:prstGeom prst="rect">
                      <a:avLst/>
                    </a:prstGeom>
                    <a:noFill/>
                    <a:ln>
                      <a:noFill/>
                    </a:ln>
                  </pic:spPr>
                </pic:pic>
              </a:graphicData>
            </a:graphic>
          </wp:inline>
        </w:drawing>
      </w:r>
    </w:p>
    <w:p w14:paraId="52A1FE27" w14:textId="4F95F0FB" w:rsidR="00036C04" w:rsidRDefault="00036C04" w:rsidP="00036C04">
      <w:pPr>
        <w:pStyle w:val="Odstavecseseznamem"/>
        <w:numPr>
          <w:ilvl w:val="1"/>
          <w:numId w:val="1"/>
        </w:numPr>
        <w:spacing w:line="360" w:lineRule="auto"/>
        <w:jc w:val="both"/>
        <w:rPr>
          <w:lang w:val="en-US"/>
        </w:rPr>
      </w:pPr>
      <w:r>
        <w:rPr>
          <w:lang w:val="en-US"/>
        </w:rPr>
        <w:t xml:space="preserve">RT-qPCR products </w:t>
      </w:r>
      <w:r w:rsidR="00AB4D30">
        <w:rPr>
          <w:lang w:val="en-US"/>
        </w:rPr>
        <w:t xml:space="preserve">shown </w:t>
      </w:r>
      <w:r>
        <w:rPr>
          <w:lang w:val="en-US"/>
        </w:rPr>
        <w:t xml:space="preserve">on </w:t>
      </w:r>
      <w:r w:rsidR="000D04A0">
        <w:rPr>
          <w:lang w:val="en-US"/>
        </w:rPr>
        <w:t xml:space="preserve">an electrophoretic gel. </w:t>
      </w:r>
      <w:r w:rsidR="00970F86">
        <w:rPr>
          <w:lang w:val="en-US"/>
        </w:rPr>
        <w:t xml:space="preserve">All reactions yielded one product of expected </w:t>
      </w:r>
      <w:r w:rsidR="00EF72A1">
        <w:rPr>
          <w:lang w:val="en-US"/>
        </w:rPr>
        <w:t>size;</w:t>
      </w:r>
      <w:r w:rsidR="00970F86">
        <w:rPr>
          <w:lang w:val="en-US"/>
        </w:rPr>
        <w:t xml:space="preserve"> </w:t>
      </w:r>
      <w:r w:rsidR="00EF72A1">
        <w:rPr>
          <w:lang w:val="en-US"/>
        </w:rPr>
        <w:t xml:space="preserve">no product was observed in negative controls. </w:t>
      </w:r>
      <w:r w:rsidR="00970F86">
        <w:rPr>
          <w:lang w:val="en-US"/>
        </w:rPr>
        <w:t xml:space="preserve">S – sample, NTC </w:t>
      </w:r>
      <w:r w:rsidR="00AB4D30">
        <w:rPr>
          <w:lang w:val="en-US"/>
        </w:rPr>
        <w:t>–</w:t>
      </w:r>
      <w:r w:rsidR="00970F86">
        <w:rPr>
          <w:lang w:val="en-US"/>
        </w:rPr>
        <w:t xml:space="preserve"> no template control.</w:t>
      </w:r>
    </w:p>
    <w:p w14:paraId="5F2099F9" w14:textId="15AD68B4" w:rsidR="00036C04" w:rsidRPr="00036C04" w:rsidRDefault="00036C04" w:rsidP="00036C04">
      <w:pPr>
        <w:pStyle w:val="Odstavecseseznamem"/>
        <w:numPr>
          <w:ilvl w:val="1"/>
          <w:numId w:val="1"/>
        </w:numPr>
        <w:spacing w:line="360" w:lineRule="auto"/>
        <w:jc w:val="both"/>
        <w:rPr>
          <w:lang w:val="en-US"/>
        </w:rPr>
      </w:pPr>
      <w:r>
        <w:rPr>
          <w:lang w:val="en-US"/>
        </w:rPr>
        <w:t xml:space="preserve">For melt profiles and raw image of the gel, </w:t>
      </w:r>
      <w:bookmarkStart w:id="0" w:name="_Hlk168992010"/>
      <w:r>
        <w:rPr>
          <w:lang w:val="en-US"/>
        </w:rPr>
        <w:t xml:space="preserve">see </w:t>
      </w:r>
      <w:r w:rsidRPr="00036C04">
        <w:rPr>
          <w:lang w:val="en-US"/>
        </w:rPr>
        <w:t xml:space="preserve">folder </w:t>
      </w:r>
      <w:r w:rsidR="00131668">
        <w:rPr>
          <w:lang w:val="en-US"/>
        </w:rPr>
        <w:t>“</w:t>
      </w:r>
      <w:r w:rsidRPr="00036C04">
        <w:rPr>
          <w:lang w:val="en-US"/>
        </w:rPr>
        <w:t>Supplemental File 1</w:t>
      </w:r>
      <w:r w:rsidR="00131668">
        <w:rPr>
          <w:lang w:val="en-US"/>
        </w:rPr>
        <w:t>”</w:t>
      </w:r>
      <w:r>
        <w:rPr>
          <w:lang w:val="en-US"/>
        </w:rPr>
        <w:t xml:space="preserve"> in the </w:t>
      </w:r>
      <w:proofErr w:type="spellStart"/>
      <w:r>
        <w:rPr>
          <w:lang w:val="en-US"/>
        </w:rPr>
        <w:t>Zenodo</w:t>
      </w:r>
      <w:proofErr w:type="spellEnd"/>
      <w:r>
        <w:rPr>
          <w:lang w:val="en-US"/>
        </w:rPr>
        <w:t xml:space="preserve"> file</w:t>
      </w:r>
      <w:r w:rsidR="00EF72A1">
        <w:rPr>
          <w:lang w:val="en-US"/>
        </w:rPr>
        <w:t xml:space="preserve"> </w:t>
      </w:r>
      <w:r w:rsidR="00E8009A" w:rsidRPr="00E8009A">
        <w:rPr>
          <w:lang w:val="en-US"/>
        </w:rPr>
        <w:t>10.5281/zenodo.11609920</w:t>
      </w:r>
      <w:r w:rsidR="00E8009A">
        <w:rPr>
          <w:lang w:val="en-US"/>
        </w:rPr>
        <w:t>.</w:t>
      </w:r>
    </w:p>
    <w:bookmarkEnd w:id="0"/>
    <w:p w14:paraId="72253F54" w14:textId="196F7A07" w:rsidR="007A5269" w:rsidRPr="00EE3756" w:rsidRDefault="007A5269" w:rsidP="0031013C">
      <w:pPr>
        <w:pStyle w:val="Odstavecseseznamem"/>
        <w:numPr>
          <w:ilvl w:val="0"/>
          <w:numId w:val="1"/>
        </w:numPr>
        <w:spacing w:line="360" w:lineRule="auto"/>
        <w:jc w:val="both"/>
        <w:rPr>
          <w:lang w:val="en-US"/>
        </w:rPr>
      </w:pPr>
      <w:r w:rsidRPr="00EE3756">
        <w:rPr>
          <w:lang w:val="en-US"/>
        </w:rPr>
        <w:t xml:space="preserve">For SYBR Green I, </w:t>
      </w:r>
      <w:proofErr w:type="spellStart"/>
      <w:r w:rsidRPr="00EE3756">
        <w:rPr>
          <w:lang w:val="en-US"/>
        </w:rPr>
        <w:t>Cq</w:t>
      </w:r>
      <w:proofErr w:type="spellEnd"/>
      <w:r w:rsidRPr="00EE3756">
        <w:rPr>
          <w:lang w:val="en-US"/>
        </w:rPr>
        <w:t xml:space="preserve"> of the NTC (E):</w:t>
      </w:r>
      <w:r w:rsidR="001F418B" w:rsidRPr="00EE3756">
        <w:rPr>
          <w:lang w:val="en-US"/>
        </w:rPr>
        <w:t xml:space="preserve"> </w:t>
      </w:r>
    </w:p>
    <w:p w14:paraId="07E51D78" w14:textId="3C2962DB" w:rsidR="001B45E5" w:rsidRPr="00EE3756" w:rsidRDefault="001B45E5" w:rsidP="001B45E5">
      <w:pPr>
        <w:pStyle w:val="Odstavecseseznamem"/>
        <w:numPr>
          <w:ilvl w:val="1"/>
          <w:numId w:val="1"/>
        </w:numPr>
        <w:spacing w:line="360" w:lineRule="auto"/>
        <w:jc w:val="both"/>
        <w:rPr>
          <w:lang w:val="en-US"/>
        </w:rPr>
      </w:pPr>
      <w:r w:rsidRPr="00EE3756">
        <w:rPr>
          <w:lang w:val="en-US"/>
        </w:rPr>
        <w:t>No</w:t>
      </w:r>
      <w:r w:rsidR="00962EE9">
        <w:rPr>
          <w:lang w:val="en-US"/>
        </w:rPr>
        <w:t xml:space="preserve"> </w:t>
      </w:r>
      <w:r w:rsidRPr="00EE3756">
        <w:rPr>
          <w:lang w:val="en-US"/>
        </w:rPr>
        <w:t>amplified produc</w:t>
      </w:r>
      <w:r w:rsidR="00EE3756" w:rsidRPr="00EE3756">
        <w:rPr>
          <w:lang w:val="en-US"/>
        </w:rPr>
        <w:t xml:space="preserve">t during the qPCR. </w:t>
      </w:r>
    </w:p>
    <w:p w14:paraId="72FDAF15" w14:textId="64A90EDF" w:rsidR="007A5269" w:rsidRPr="00AC71A3" w:rsidRDefault="007A5269" w:rsidP="0031013C">
      <w:pPr>
        <w:pStyle w:val="Odstavecseseznamem"/>
        <w:numPr>
          <w:ilvl w:val="0"/>
          <w:numId w:val="1"/>
        </w:numPr>
        <w:spacing w:line="360" w:lineRule="auto"/>
        <w:jc w:val="both"/>
        <w:rPr>
          <w:lang w:val="en-US"/>
        </w:rPr>
      </w:pPr>
      <w:r w:rsidRPr="00AC71A3">
        <w:rPr>
          <w:lang w:val="en-US"/>
        </w:rPr>
        <w:t>Standard curves with slopes and y-intercept (E):</w:t>
      </w:r>
      <w:r w:rsidR="001F418B" w:rsidRPr="00AC71A3">
        <w:rPr>
          <w:lang w:val="en-US"/>
        </w:rPr>
        <w:t xml:space="preserve"> </w:t>
      </w:r>
    </w:p>
    <w:p w14:paraId="4C0218E5" w14:textId="2D3450BB" w:rsidR="00A27A5B" w:rsidRDefault="00A27A5B" w:rsidP="00A27A5B">
      <w:pPr>
        <w:pStyle w:val="Odstavecseseznamem"/>
        <w:numPr>
          <w:ilvl w:val="1"/>
          <w:numId w:val="1"/>
        </w:numPr>
        <w:spacing w:line="360" w:lineRule="auto"/>
        <w:jc w:val="both"/>
        <w:rPr>
          <w:lang w:val="en-US"/>
        </w:rPr>
      </w:pPr>
      <w:r w:rsidRPr="00CA140A">
        <w:rPr>
          <w:lang w:val="en-US"/>
        </w:rPr>
        <w:t>PCR efficiency calculated from the slope (E)</w:t>
      </w:r>
      <w:r w:rsidR="00CA140A" w:rsidRPr="00CA140A">
        <w:rPr>
          <w:lang w:val="en-US"/>
        </w:rPr>
        <w:t>, c</w:t>
      </w:r>
      <w:r w:rsidRPr="00CA140A">
        <w:rPr>
          <w:lang w:val="en-US"/>
        </w:rPr>
        <w:t>onfidence interval for PCR efficiency or standard error (D)</w:t>
      </w:r>
      <w:r w:rsidR="00CA140A" w:rsidRPr="00CA140A">
        <w:rPr>
          <w:lang w:val="en-US"/>
        </w:rPr>
        <w:t xml:space="preserve">, </w:t>
      </w:r>
      <w:r w:rsidRPr="00CA140A">
        <w:rPr>
          <w:lang w:val="en-US"/>
        </w:rPr>
        <w:t>r2 of standard curve (E)</w:t>
      </w:r>
      <w:r w:rsidR="005865DE">
        <w:rPr>
          <w:lang w:val="en-US"/>
        </w:rPr>
        <w:t>: See table below.</w:t>
      </w:r>
      <w:r w:rsidR="001F418B" w:rsidRPr="00CA140A">
        <w:rPr>
          <w:lang w:val="en-US"/>
        </w:rPr>
        <w:t xml:space="preserve"> </w:t>
      </w:r>
    </w:p>
    <w:p w14:paraId="02B82703" w14:textId="66DDA376" w:rsidR="003752FC" w:rsidRDefault="005865DE" w:rsidP="00DF31A8">
      <w:pPr>
        <w:pStyle w:val="Odstavecseseznamem"/>
        <w:numPr>
          <w:ilvl w:val="1"/>
          <w:numId w:val="1"/>
        </w:numPr>
        <w:spacing w:line="360" w:lineRule="auto"/>
        <w:jc w:val="both"/>
        <w:rPr>
          <w:lang w:val="en-US"/>
        </w:rPr>
      </w:pPr>
      <w:r w:rsidRPr="00AF4F09">
        <w:rPr>
          <w:lang w:val="en-US"/>
        </w:rPr>
        <w:t xml:space="preserve">Linear dynamic range (E): </w:t>
      </w:r>
      <w:proofErr w:type="spellStart"/>
      <w:r w:rsidRPr="00AF4F09">
        <w:rPr>
          <w:lang w:val="en-US"/>
        </w:rPr>
        <w:t>Cq</w:t>
      </w:r>
      <w:proofErr w:type="spellEnd"/>
      <w:r w:rsidRPr="00AF4F09">
        <w:rPr>
          <w:lang w:val="en-US"/>
        </w:rPr>
        <w:t xml:space="preserve"> variation at lower limit (E), Confidence intervals throughout range (D)</w:t>
      </w:r>
      <w:r w:rsidR="00DF31A8" w:rsidRPr="00AF4F09">
        <w:rPr>
          <w:lang w:val="en-US"/>
        </w:rPr>
        <w:t>, e</w:t>
      </w:r>
      <w:r w:rsidRPr="00AF4F09">
        <w:rPr>
          <w:lang w:val="en-US"/>
        </w:rPr>
        <w:t xml:space="preserve">vidence for limit of detection (E): </w:t>
      </w:r>
      <w:r w:rsidR="001C7AF4">
        <w:rPr>
          <w:lang w:val="en-US"/>
        </w:rPr>
        <w:t xml:space="preserve">See table below and </w:t>
      </w:r>
      <w:r w:rsidRPr="00AF4F09">
        <w:rPr>
          <w:lang w:val="en-US"/>
        </w:rPr>
        <w:t>folder</w:t>
      </w:r>
      <w:r w:rsidR="00DF31A8" w:rsidRPr="00AF4F09">
        <w:rPr>
          <w:lang w:val="en-US"/>
        </w:rPr>
        <w:t>s</w:t>
      </w:r>
      <w:r w:rsidRPr="00AF4F09">
        <w:rPr>
          <w:lang w:val="en-US"/>
        </w:rPr>
        <w:t xml:space="preserve"> </w:t>
      </w:r>
      <w:r w:rsidR="00414287">
        <w:rPr>
          <w:lang w:val="en-US"/>
        </w:rPr>
        <w:t>“</w:t>
      </w:r>
      <w:r w:rsidR="00DF31A8" w:rsidRPr="00AF4F09">
        <w:rPr>
          <w:lang w:val="en-US"/>
        </w:rPr>
        <w:t>Supplemental File 1/Standard curves</w:t>
      </w:r>
      <w:r w:rsidR="00414287">
        <w:rPr>
          <w:lang w:val="en-US"/>
        </w:rPr>
        <w:t>”</w:t>
      </w:r>
      <w:r w:rsidR="00DF31A8" w:rsidRPr="00AF4F09">
        <w:rPr>
          <w:lang w:val="en-US"/>
        </w:rPr>
        <w:t xml:space="preserve"> and </w:t>
      </w:r>
      <w:r w:rsidR="00414287">
        <w:rPr>
          <w:lang w:val="en-US"/>
        </w:rPr>
        <w:t>“</w:t>
      </w:r>
      <w:r w:rsidRPr="00AF4F09">
        <w:rPr>
          <w:lang w:val="en-US"/>
        </w:rPr>
        <w:t xml:space="preserve">Supplemental File 1/Raw </w:t>
      </w:r>
      <w:r w:rsidR="00080520">
        <w:rPr>
          <w:lang w:val="en-US"/>
        </w:rPr>
        <w:t>data and export files</w:t>
      </w:r>
      <w:r w:rsidR="00414287">
        <w:rPr>
          <w:lang w:val="en-US"/>
        </w:rPr>
        <w:t xml:space="preserve">” in </w:t>
      </w:r>
      <w:proofErr w:type="spellStart"/>
      <w:r w:rsidR="00414287">
        <w:rPr>
          <w:lang w:val="en-US"/>
        </w:rPr>
        <w:t>Zenodo</w:t>
      </w:r>
      <w:proofErr w:type="spellEnd"/>
      <w:r w:rsidR="00414287">
        <w:rPr>
          <w:lang w:val="en-US"/>
        </w:rPr>
        <w:t xml:space="preserve"> file </w:t>
      </w:r>
      <w:r w:rsidR="003752FC" w:rsidRPr="00E8009A">
        <w:rPr>
          <w:lang w:val="en-US"/>
        </w:rPr>
        <w:t>10.5281/zenodo.11609920</w:t>
      </w:r>
    </w:p>
    <w:p w14:paraId="5FD4D74F" w14:textId="77777777" w:rsidR="003752FC" w:rsidRDefault="003752FC">
      <w:pPr>
        <w:rPr>
          <w:lang w:val="en-US"/>
        </w:rPr>
      </w:pPr>
      <w:r>
        <w:rPr>
          <w:lang w:val="en-US"/>
        </w:rPr>
        <w:br w:type="page"/>
      </w:r>
    </w:p>
    <w:p w14:paraId="4C1543FA" w14:textId="77777777" w:rsidR="005865DE" w:rsidRPr="00AF4F09" w:rsidRDefault="005865DE" w:rsidP="003752FC">
      <w:pPr>
        <w:pStyle w:val="Odstavecseseznamem"/>
        <w:spacing w:line="360" w:lineRule="auto"/>
        <w:ind w:left="1440"/>
        <w:jc w:val="both"/>
        <w:rPr>
          <w:lang w:val="en-US"/>
        </w:rPr>
      </w:pPr>
    </w:p>
    <w:tbl>
      <w:tblPr>
        <w:tblStyle w:val="Mkatabulky"/>
        <w:tblW w:w="7650" w:type="dxa"/>
        <w:tblLook w:val="04A0" w:firstRow="1" w:lastRow="0" w:firstColumn="1" w:lastColumn="0" w:noHBand="0" w:noVBand="1"/>
      </w:tblPr>
      <w:tblGrid>
        <w:gridCol w:w="861"/>
        <w:gridCol w:w="803"/>
        <w:gridCol w:w="1214"/>
        <w:gridCol w:w="1509"/>
        <w:gridCol w:w="708"/>
        <w:gridCol w:w="716"/>
        <w:gridCol w:w="1839"/>
      </w:tblGrid>
      <w:tr w:rsidR="00D42747" w14:paraId="4FD62935" w14:textId="5E34F33B" w:rsidTr="00D42747">
        <w:tc>
          <w:tcPr>
            <w:tcW w:w="861" w:type="dxa"/>
            <w:vAlign w:val="center"/>
          </w:tcPr>
          <w:p w14:paraId="79C9866F" w14:textId="2C1E789C" w:rsidR="008D060E" w:rsidRPr="007F654E" w:rsidRDefault="008D060E" w:rsidP="00D42747">
            <w:pPr>
              <w:spacing w:line="360" w:lineRule="auto"/>
              <w:rPr>
                <w:b/>
                <w:bCs/>
                <w:sz w:val="20"/>
                <w:szCs w:val="18"/>
                <w:lang w:val="en-US"/>
              </w:rPr>
            </w:pPr>
            <w:r w:rsidRPr="007F654E">
              <w:rPr>
                <w:b/>
                <w:bCs/>
                <w:sz w:val="20"/>
                <w:szCs w:val="18"/>
                <w:lang w:val="en-US"/>
              </w:rPr>
              <w:t>Gene</w:t>
            </w:r>
          </w:p>
        </w:tc>
        <w:tc>
          <w:tcPr>
            <w:tcW w:w="803" w:type="dxa"/>
            <w:vAlign w:val="center"/>
          </w:tcPr>
          <w:p w14:paraId="30314B2C" w14:textId="50A898B3" w:rsidR="008D060E" w:rsidRPr="007F654E" w:rsidRDefault="008D060E" w:rsidP="00D42747">
            <w:pPr>
              <w:spacing w:line="360" w:lineRule="auto"/>
              <w:rPr>
                <w:b/>
                <w:bCs/>
                <w:sz w:val="20"/>
                <w:szCs w:val="18"/>
                <w:lang w:val="en-US"/>
              </w:rPr>
            </w:pPr>
            <w:r w:rsidRPr="007F654E">
              <w:rPr>
                <w:b/>
                <w:bCs/>
                <w:sz w:val="20"/>
                <w:szCs w:val="18"/>
                <w:lang w:val="en-US"/>
              </w:rPr>
              <w:t>Slope</w:t>
            </w:r>
          </w:p>
        </w:tc>
        <w:tc>
          <w:tcPr>
            <w:tcW w:w="1214" w:type="dxa"/>
            <w:vAlign w:val="center"/>
          </w:tcPr>
          <w:p w14:paraId="6E1D9E8A" w14:textId="32BB39B5" w:rsidR="008D060E" w:rsidRPr="007F654E" w:rsidRDefault="008D060E" w:rsidP="00D42747">
            <w:pPr>
              <w:spacing w:line="360" w:lineRule="auto"/>
              <w:rPr>
                <w:b/>
                <w:bCs/>
                <w:sz w:val="20"/>
                <w:szCs w:val="18"/>
                <w:lang w:val="en-US"/>
              </w:rPr>
            </w:pPr>
            <w:r w:rsidRPr="007F654E">
              <w:rPr>
                <w:b/>
                <w:bCs/>
                <w:sz w:val="20"/>
                <w:szCs w:val="18"/>
                <w:lang w:val="en-US"/>
              </w:rPr>
              <w:t>y-intercept</w:t>
            </w:r>
          </w:p>
        </w:tc>
        <w:tc>
          <w:tcPr>
            <w:tcW w:w="1509" w:type="dxa"/>
            <w:vAlign w:val="center"/>
          </w:tcPr>
          <w:p w14:paraId="0157FFE2" w14:textId="2DA0C395" w:rsidR="008D060E" w:rsidRPr="007F654E" w:rsidRDefault="008D060E" w:rsidP="00D42747">
            <w:pPr>
              <w:spacing w:line="360" w:lineRule="auto"/>
              <w:rPr>
                <w:b/>
                <w:bCs/>
                <w:sz w:val="20"/>
                <w:szCs w:val="18"/>
                <w:lang w:val="en-US"/>
              </w:rPr>
            </w:pPr>
            <w:r w:rsidRPr="007F654E">
              <w:rPr>
                <w:b/>
                <w:bCs/>
                <w:sz w:val="20"/>
                <w:szCs w:val="18"/>
                <w:lang w:val="en-US"/>
              </w:rPr>
              <w:t>PCR efficiency</w:t>
            </w:r>
          </w:p>
        </w:tc>
        <w:tc>
          <w:tcPr>
            <w:tcW w:w="708" w:type="dxa"/>
            <w:vAlign w:val="center"/>
          </w:tcPr>
          <w:p w14:paraId="2C18D5FE" w14:textId="2480A350" w:rsidR="008D060E" w:rsidRPr="007F654E" w:rsidRDefault="008D060E" w:rsidP="00D42747">
            <w:pPr>
              <w:spacing w:line="360" w:lineRule="auto"/>
              <w:rPr>
                <w:b/>
                <w:bCs/>
                <w:sz w:val="20"/>
                <w:szCs w:val="18"/>
                <w:lang w:val="en-US"/>
              </w:rPr>
            </w:pPr>
            <w:r w:rsidRPr="007F654E">
              <w:rPr>
                <w:b/>
                <w:bCs/>
                <w:sz w:val="20"/>
                <w:szCs w:val="18"/>
                <w:lang w:val="en-US"/>
              </w:rPr>
              <w:t>R</w:t>
            </w:r>
            <w:r w:rsidRPr="007F654E">
              <w:rPr>
                <w:b/>
                <w:bCs/>
                <w:sz w:val="20"/>
                <w:szCs w:val="18"/>
                <w:vertAlign w:val="superscript"/>
                <w:lang w:val="en-US"/>
              </w:rPr>
              <w:t>2</w:t>
            </w:r>
          </w:p>
        </w:tc>
        <w:tc>
          <w:tcPr>
            <w:tcW w:w="716" w:type="dxa"/>
            <w:vAlign w:val="center"/>
          </w:tcPr>
          <w:p w14:paraId="25190A3C" w14:textId="593BB2EE" w:rsidR="008D060E" w:rsidRPr="007F654E" w:rsidRDefault="00EB0670" w:rsidP="00D42747">
            <w:pPr>
              <w:spacing w:line="360" w:lineRule="auto"/>
              <w:rPr>
                <w:b/>
                <w:bCs/>
                <w:sz w:val="20"/>
                <w:szCs w:val="18"/>
                <w:lang w:val="en-US"/>
              </w:rPr>
            </w:pPr>
            <w:r>
              <w:rPr>
                <w:b/>
                <w:bCs/>
                <w:sz w:val="20"/>
                <w:szCs w:val="18"/>
                <w:lang w:val="en-US"/>
              </w:rPr>
              <w:t>Error</w:t>
            </w:r>
          </w:p>
        </w:tc>
        <w:tc>
          <w:tcPr>
            <w:tcW w:w="1839" w:type="dxa"/>
            <w:vAlign w:val="center"/>
          </w:tcPr>
          <w:p w14:paraId="306402EA" w14:textId="37F4CB08" w:rsidR="008D060E" w:rsidRPr="007F654E" w:rsidRDefault="008606AD" w:rsidP="00D42747">
            <w:pPr>
              <w:spacing w:line="360" w:lineRule="auto"/>
              <w:rPr>
                <w:b/>
                <w:bCs/>
                <w:sz w:val="20"/>
                <w:szCs w:val="18"/>
                <w:lang w:val="en-US"/>
              </w:rPr>
            </w:pPr>
            <w:r>
              <w:rPr>
                <w:b/>
                <w:bCs/>
                <w:sz w:val="20"/>
                <w:szCs w:val="18"/>
                <w:lang w:val="en-US"/>
              </w:rPr>
              <w:t>Limit of detection</w:t>
            </w:r>
          </w:p>
        </w:tc>
      </w:tr>
      <w:tr w:rsidR="001A6D80" w14:paraId="255AE7F8" w14:textId="201E41C3" w:rsidTr="00D42747">
        <w:tc>
          <w:tcPr>
            <w:tcW w:w="861" w:type="dxa"/>
            <w:vAlign w:val="center"/>
          </w:tcPr>
          <w:p w14:paraId="27B1B052" w14:textId="622712AB" w:rsidR="008D060E" w:rsidRPr="00875428" w:rsidRDefault="008D060E" w:rsidP="001A6D80">
            <w:pPr>
              <w:spacing w:line="360" w:lineRule="auto"/>
              <w:rPr>
                <w:sz w:val="20"/>
                <w:szCs w:val="18"/>
                <w:lang w:val="en-US"/>
              </w:rPr>
            </w:pPr>
            <w:r w:rsidRPr="00875428">
              <w:rPr>
                <w:i/>
                <w:sz w:val="20"/>
                <w:szCs w:val="18"/>
                <w:lang w:val="en-US"/>
              </w:rPr>
              <w:t>HPRT1</w:t>
            </w:r>
          </w:p>
        </w:tc>
        <w:tc>
          <w:tcPr>
            <w:tcW w:w="803" w:type="dxa"/>
            <w:vAlign w:val="center"/>
          </w:tcPr>
          <w:p w14:paraId="65F7B3BA" w14:textId="7488BA3F" w:rsidR="008D060E" w:rsidRPr="00875428" w:rsidRDefault="008D060E" w:rsidP="001A6D80">
            <w:pPr>
              <w:spacing w:line="360" w:lineRule="auto"/>
              <w:jc w:val="right"/>
              <w:rPr>
                <w:sz w:val="20"/>
                <w:szCs w:val="18"/>
                <w:lang w:val="en-US"/>
              </w:rPr>
            </w:pPr>
            <w:r w:rsidRPr="00875428">
              <w:rPr>
                <w:sz w:val="20"/>
                <w:szCs w:val="18"/>
                <w:lang w:val="en-US"/>
              </w:rPr>
              <w:t>-3.295</w:t>
            </w:r>
          </w:p>
        </w:tc>
        <w:tc>
          <w:tcPr>
            <w:tcW w:w="1214" w:type="dxa"/>
            <w:vAlign w:val="center"/>
          </w:tcPr>
          <w:p w14:paraId="6AB6C414" w14:textId="5E261D3F" w:rsidR="008D060E" w:rsidRPr="00875428" w:rsidRDefault="008D060E" w:rsidP="001A6D80">
            <w:pPr>
              <w:spacing w:line="360" w:lineRule="auto"/>
              <w:jc w:val="right"/>
              <w:rPr>
                <w:sz w:val="20"/>
                <w:szCs w:val="18"/>
                <w:lang w:val="en-US"/>
              </w:rPr>
            </w:pPr>
            <w:r w:rsidRPr="00875428">
              <w:rPr>
                <w:sz w:val="20"/>
                <w:szCs w:val="18"/>
                <w:lang w:val="en-US"/>
              </w:rPr>
              <w:t>31.407</w:t>
            </w:r>
          </w:p>
        </w:tc>
        <w:tc>
          <w:tcPr>
            <w:tcW w:w="1509" w:type="dxa"/>
            <w:vAlign w:val="center"/>
          </w:tcPr>
          <w:p w14:paraId="008D277C" w14:textId="4CFB309A" w:rsidR="008D060E" w:rsidRPr="00875428" w:rsidRDefault="008D060E" w:rsidP="001A6D80">
            <w:pPr>
              <w:spacing w:line="360" w:lineRule="auto"/>
              <w:jc w:val="right"/>
              <w:rPr>
                <w:sz w:val="20"/>
                <w:szCs w:val="18"/>
                <w:lang w:val="en-US"/>
              </w:rPr>
            </w:pPr>
            <w:r w:rsidRPr="00875428">
              <w:rPr>
                <w:sz w:val="20"/>
                <w:szCs w:val="18"/>
                <w:lang w:val="en-US"/>
              </w:rPr>
              <w:t>101%</w:t>
            </w:r>
          </w:p>
        </w:tc>
        <w:tc>
          <w:tcPr>
            <w:tcW w:w="708" w:type="dxa"/>
            <w:vAlign w:val="center"/>
          </w:tcPr>
          <w:p w14:paraId="56375F96" w14:textId="1FCF3EF8" w:rsidR="008D060E" w:rsidRPr="00875428" w:rsidRDefault="008D060E" w:rsidP="001A6D80">
            <w:pPr>
              <w:spacing w:line="360" w:lineRule="auto"/>
              <w:jc w:val="right"/>
              <w:rPr>
                <w:sz w:val="20"/>
                <w:szCs w:val="18"/>
                <w:lang w:val="en-US"/>
              </w:rPr>
            </w:pPr>
            <w:r w:rsidRPr="00875428">
              <w:rPr>
                <w:sz w:val="20"/>
                <w:szCs w:val="18"/>
                <w:lang w:val="en-US"/>
              </w:rPr>
              <w:t>0.990</w:t>
            </w:r>
          </w:p>
        </w:tc>
        <w:tc>
          <w:tcPr>
            <w:tcW w:w="716" w:type="dxa"/>
            <w:vAlign w:val="center"/>
          </w:tcPr>
          <w:p w14:paraId="68A183F7" w14:textId="3FAF5A22" w:rsidR="008D060E" w:rsidRPr="00875428" w:rsidRDefault="00EB0670" w:rsidP="001A6D80">
            <w:pPr>
              <w:spacing w:line="360" w:lineRule="auto"/>
              <w:jc w:val="right"/>
              <w:rPr>
                <w:sz w:val="20"/>
                <w:szCs w:val="18"/>
                <w:lang w:val="en-US"/>
              </w:rPr>
            </w:pPr>
            <w:r>
              <w:rPr>
                <w:sz w:val="20"/>
                <w:szCs w:val="18"/>
                <w:lang w:val="en-US"/>
              </w:rPr>
              <w:t>0.103</w:t>
            </w:r>
          </w:p>
        </w:tc>
        <w:tc>
          <w:tcPr>
            <w:tcW w:w="1839" w:type="dxa"/>
            <w:vAlign w:val="center"/>
          </w:tcPr>
          <w:p w14:paraId="43CDA03E" w14:textId="7EEB4BF8" w:rsidR="008D060E" w:rsidRPr="00875428" w:rsidRDefault="00650AE1" w:rsidP="001A6D80">
            <w:pPr>
              <w:spacing w:line="360" w:lineRule="auto"/>
              <w:jc w:val="right"/>
              <w:rPr>
                <w:sz w:val="20"/>
                <w:szCs w:val="18"/>
                <w:lang w:val="en-US"/>
              </w:rPr>
            </w:pPr>
            <w:r>
              <w:rPr>
                <w:sz w:val="20"/>
                <w:szCs w:val="18"/>
                <w:lang w:val="en-US"/>
              </w:rPr>
              <w:t>0.0</w:t>
            </w:r>
            <w:r w:rsidR="00DF3227">
              <w:rPr>
                <w:sz w:val="20"/>
                <w:szCs w:val="18"/>
                <w:lang w:val="en-US"/>
              </w:rPr>
              <w:t>1 ng</w:t>
            </w:r>
          </w:p>
        </w:tc>
      </w:tr>
      <w:tr w:rsidR="001A6D80" w14:paraId="77CEC1D5" w14:textId="2773103B" w:rsidTr="00D42747">
        <w:tc>
          <w:tcPr>
            <w:tcW w:w="861" w:type="dxa"/>
            <w:vAlign w:val="center"/>
          </w:tcPr>
          <w:p w14:paraId="7D6020DB" w14:textId="10041B0B" w:rsidR="008D060E" w:rsidRPr="00875428" w:rsidRDefault="008D060E" w:rsidP="001A6D80">
            <w:pPr>
              <w:spacing w:line="360" w:lineRule="auto"/>
              <w:rPr>
                <w:sz w:val="20"/>
                <w:szCs w:val="18"/>
                <w:lang w:val="en-US"/>
              </w:rPr>
            </w:pPr>
            <w:r w:rsidRPr="00875428">
              <w:rPr>
                <w:i/>
                <w:sz w:val="20"/>
                <w:szCs w:val="18"/>
                <w:lang w:val="en-US"/>
              </w:rPr>
              <w:t>GUSB</w:t>
            </w:r>
          </w:p>
        </w:tc>
        <w:tc>
          <w:tcPr>
            <w:tcW w:w="803" w:type="dxa"/>
            <w:vAlign w:val="center"/>
          </w:tcPr>
          <w:p w14:paraId="2B81CCD8" w14:textId="08284CB0" w:rsidR="008D060E" w:rsidRPr="00875428" w:rsidRDefault="008D060E" w:rsidP="001A6D80">
            <w:pPr>
              <w:spacing w:line="360" w:lineRule="auto"/>
              <w:jc w:val="right"/>
              <w:rPr>
                <w:sz w:val="20"/>
                <w:szCs w:val="18"/>
                <w:lang w:val="en-US"/>
              </w:rPr>
            </w:pPr>
            <w:r w:rsidRPr="00875428">
              <w:rPr>
                <w:sz w:val="20"/>
                <w:szCs w:val="18"/>
                <w:lang w:val="en-US"/>
              </w:rPr>
              <w:t>-2.852</w:t>
            </w:r>
          </w:p>
        </w:tc>
        <w:tc>
          <w:tcPr>
            <w:tcW w:w="1214" w:type="dxa"/>
            <w:vAlign w:val="center"/>
          </w:tcPr>
          <w:p w14:paraId="2D9C3357" w14:textId="757362A4" w:rsidR="008D060E" w:rsidRPr="00875428" w:rsidRDefault="008D060E" w:rsidP="001A6D80">
            <w:pPr>
              <w:spacing w:line="360" w:lineRule="auto"/>
              <w:jc w:val="right"/>
              <w:rPr>
                <w:sz w:val="20"/>
                <w:szCs w:val="18"/>
                <w:lang w:val="en-US"/>
              </w:rPr>
            </w:pPr>
            <w:r w:rsidRPr="00875428">
              <w:rPr>
                <w:sz w:val="20"/>
                <w:szCs w:val="18"/>
                <w:lang w:val="en-US"/>
              </w:rPr>
              <w:t>32.403</w:t>
            </w:r>
          </w:p>
        </w:tc>
        <w:tc>
          <w:tcPr>
            <w:tcW w:w="1509" w:type="dxa"/>
            <w:vAlign w:val="center"/>
          </w:tcPr>
          <w:p w14:paraId="5C6A6546" w14:textId="44D57BCD" w:rsidR="008D060E" w:rsidRPr="00875428" w:rsidRDefault="008D060E" w:rsidP="001A6D80">
            <w:pPr>
              <w:spacing w:line="360" w:lineRule="auto"/>
              <w:jc w:val="right"/>
              <w:rPr>
                <w:sz w:val="20"/>
                <w:szCs w:val="18"/>
                <w:lang w:val="en-US"/>
              </w:rPr>
            </w:pPr>
            <w:r w:rsidRPr="00875428">
              <w:rPr>
                <w:sz w:val="20"/>
                <w:szCs w:val="18"/>
                <w:lang w:val="en-US"/>
              </w:rPr>
              <w:t>124%</w:t>
            </w:r>
          </w:p>
        </w:tc>
        <w:tc>
          <w:tcPr>
            <w:tcW w:w="708" w:type="dxa"/>
            <w:vAlign w:val="center"/>
          </w:tcPr>
          <w:p w14:paraId="620BBFED" w14:textId="22DA33A0" w:rsidR="008D060E" w:rsidRPr="00875428" w:rsidRDefault="008D060E" w:rsidP="001A6D80">
            <w:pPr>
              <w:spacing w:line="360" w:lineRule="auto"/>
              <w:jc w:val="right"/>
              <w:rPr>
                <w:sz w:val="20"/>
                <w:szCs w:val="18"/>
                <w:lang w:val="en-US"/>
              </w:rPr>
            </w:pPr>
            <w:r w:rsidRPr="00875428">
              <w:rPr>
                <w:sz w:val="20"/>
                <w:szCs w:val="18"/>
                <w:lang w:val="en-US"/>
              </w:rPr>
              <w:t>0.981</w:t>
            </w:r>
          </w:p>
        </w:tc>
        <w:tc>
          <w:tcPr>
            <w:tcW w:w="716" w:type="dxa"/>
            <w:vAlign w:val="center"/>
          </w:tcPr>
          <w:p w14:paraId="4D2EC4C6" w14:textId="00883D0B" w:rsidR="008D060E" w:rsidRPr="00875428" w:rsidRDefault="00FE0E2A" w:rsidP="001A6D80">
            <w:pPr>
              <w:spacing w:line="360" w:lineRule="auto"/>
              <w:jc w:val="right"/>
              <w:rPr>
                <w:sz w:val="20"/>
                <w:szCs w:val="18"/>
                <w:lang w:val="en-US"/>
              </w:rPr>
            </w:pPr>
            <w:r>
              <w:rPr>
                <w:sz w:val="20"/>
                <w:szCs w:val="18"/>
                <w:lang w:val="en-US"/>
              </w:rPr>
              <w:t>0.127</w:t>
            </w:r>
          </w:p>
        </w:tc>
        <w:tc>
          <w:tcPr>
            <w:tcW w:w="1839" w:type="dxa"/>
            <w:vAlign w:val="center"/>
          </w:tcPr>
          <w:p w14:paraId="04426FBE" w14:textId="7A7B048E" w:rsidR="008D060E" w:rsidRPr="00875428" w:rsidRDefault="0073512E" w:rsidP="001A6D80">
            <w:pPr>
              <w:spacing w:line="360" w:lineRule="auto"/>
              <w:jc w:val="right"/>
              <w:rPr>
                <w:sz w:val="20"/>
                <w:szCs w:val="18"/>
                <w:lang w:val="en-US"/>
              </w:rPr>
            </w:pPr>
            <w:r>
              <w:rPr>
                <w:sz w:val="20"/>
                <w:szCs w:val="18"/>
                <w:lang w:val="en-US"/>
              </w:rPr>
              <w:t>0.1</w:t>
            </w:r>
            <w:r w:rsidR="001A6D80">
              <w:rPr>
                <w:sz w:val="20"/>
                <w:szCs w:val="18"/>
                <w:lang w:val="en-US"/>
              </w:rPr>
              <w:t>0</w:t>
            </w:r>
            <w:r>
              <w:rPr>
                <w:sz w:val="20"/>
                <w:szCs w:val="18"/>
                <w:lang w:val="en-US"/>
              </w:rPr>
              <w:t xml:space="preserve"> ng</w:t>
            </w:r>
          </w:p>
        </w:tc>
      </w:tr>
      <w:tr w:rsidR="001A6D80" w14:paraId="2AB19047" w14:textId="31692285" w:rsidTr="00D42747">
        <w:tc>
          <w:tcPr>
            <w:tcW w:w="861" w:type="dxa"/>
            <w:vAlign w:val="center"/>
          </w:tcPr>
          <w:p w14:paraId="4E72C567" w14:textId="088E1E36" w:rsidR="008D060E" w:rsidRPr="00875428" w:rsidRDefault="008D060E" w:rsidP="001A6D80">
            <w:pPr>
              <w:spacing w:line="360" w:lineRule="auto"/>
              <w:rPr>
                <w:sz w:val="20"/>
                <w:szCs w:val="18"/>
                <w:lang w:val="en-US"/>
              </w:rPr>
            </w:pPr>
            <w:r w:rsidRPr="00875428">
              <w:rPr>
                <w:i/>
                <w:sz w:val="20"/>
                <w:szCs w:val="18"/>
                <w:lang w:val="en-US"/>
              </w:rPr>
              <w:t>MYC</w:t>
            </w:r>
          </w:p>
        </w:tc>
        <w:tc>
          <w:tcPr>
            <w:tcW w:w="803" w:type="dxa"/>
            <w:vAlign w:val="center"/>
          </w:tcPr>
          <w:p w14:paraId="51EF074F" w14:textId="7699B39D" w:rsidR="008D060E" w:rsidRPr="00875428" w:rsidRDefault="008D060E" w:rsidP="001A6D80">
            <w:pPr>
              <w:spacing w:line="360" w:lineRule="auto"/>
              <w:jc w:val="right"/>
              <w:rPr>
                <w:sz w:val="20"/>
                <w:szCs w:val="18"/>
                <w:lang w:val="en-US"/>
              </w:rPr>
            </w:pPr>
            <w:r w:rsidRPr="00875428">
              <w:rPr>
                <w:sz w:val="20"/>
                <w:szCs w:val="18"/>
                <w:lang w:val="en-US"/>
              </w:rPr>
              <w:t>-2.807</w:t>
            </w:r>
          </w:p>
        </w:tc>
        <w:tc>
          <w:tcPr>
            <w:tcW w:w="1214" w:type="dxa"/>
            <w:vAlign w:val="center"/>
          </w:tcPr>
          <w:p w14:paraId="59F83026" w14:textId="10DFE00B" w:rsidR="008D060E" w:rsidRPr="00875428" w:rsidRDefault="008D060E" w:rsidP="001A6D80">
            <w:pPr>
              <w:spacing w:line="360" w:lineRule="auto"/>
              <w:jc w:val="right"/>
              <w:rPr>
                <w:sz w:val="20"/>
                <w:szCs w:val="18"/>
                <w:lang w:val="en-US"/>
              </w:rPr>
            </w:pPr>
            <w:r w:rsidRPr="00875428">
              <w:rPr>
                <w:sz w:val="20"/>
                <w:szCs w:val="18"/>
                <w:lang w:val="en-US"/>
              </w:rPr>
              <w:t>30.633</w:t>
            </w:r>
          </w:p>
        </w:tc>
        <w:tc>
          <w:tcPr>
            <w:tcW w:w="1509" w:type="dxa"/>
            <w:vAlign w:val="center"/>
          </w:tcPr>
          <w:p w14:paraId="215C0277" w14:textId="1D86752B" w:rsidR="008D060E" w:rsidRPr="00875428" w:rsidRDefault="008D060E" w:rsidP="001A6D80">
            <w:pPr>
              <w:spacing w:line="360" w:lineRule="auto"/>
              <w:jc w:val="right"/>
              <w:rPr>
                <w:sz w:val="20"/>
                <w:szCs w:val="18"/>
                <w:lang w:val="en-US"/>
              </w:rPr>
            </w:pPr>
            <w:r w:rsidRPr="00875428">
              <w:rPr>
                <w:sz w:val="20"/>
                <w:szCs w:val="18"/>
                <w:lang w:val="en-US"/>
              </w:rPr>
              <w:t>127%</w:t>
            </w:r>
          </w:p>
        </w:tc>
        <w:tc>
          <w:tcPr>
            <w:tcW w:w="708" w:type="dxa"/>
            <w:vAlign w:val="center"/>
          </w:tcPr>
          <w:p w14:paraId="1BF8967A" w14:textId="7008D0F8" w:rsidR="008D060E" w:rsidRPr="00875428" w:rsidRDefault="008D060E" w:rsidP="001A6D80">
            <w:pPr>
              <w:spacing w:line="360" w:lineRule="auto"/>
              <w:jc w:val="right"/>
              <w:rPr>
                <w:sz w:val="20"/>
                <w:szCs w:val="18"/>
                <w:lang w:val="en-US"/>
              </w:rPr>
            </w:pPr>
            <w:r w:rsidRPr="00875428">
              <w:rPr>
                <w:sz w:val="20"/>
                <w:szCs w:val="18"/>
                <w:lang w:val="en-US"/>
              </w:rPr>
              <w:t>0.944</w:t>
            </w:r>
          </w:p>
        </w:tc>
        <w:tc>
          <w:tcPr>
            <w:tcW w:w="716" w:type="dxa"/>
            <w:vAlign w:val="center"/>
          </w:tcPr>
          <w:p w14:paraId="4D5F0A29" w14:textId="17329301" w:rsidR="008D060E" w:rsidRPr="00875428" w:rsidRDefault="00FE0E2A" w:rsidP="001A6D80">
            <w:pPr>
              <w:spacing w:line="360" w:lineRule="auto"/>
              <w:jc w:val="right"/>
              <w:rPr>
                <w:sz w:val="20"/>
                <w:szCs w:val="18"/>
                <w:lang w:val="en-US"/>
              </w:rPr>
            </w:pPr>
            <w:r>
              <w:rPr>
                <w:sz w:val="20"/>
                <w:szCs w:val="18"/>
                <w:lang w:val="en-US"/>
              </w:rPr>
              <w:t>0.197</w:t>
            </w:r>
          </w:p>
        </w:tc>
        <w:tc>
          <w:tcPr>
            <w:tcW w:w="1839" w:type="dxa"/>
            <w:vAlign w:val="center"/>
          </w:tcPr>
          <w:p w14:paraId="295E2681" w14:textId="0B22F70F" w:rsidR="008D060E" w:rsidRPr="00875428" w:rsidRDefault="0073512E" w:rsidP="001A6D80">
            <w:pPr>
              <w:spacing w:line="360" w:lineRule="auto"/>
              <w:jc w:val="right"/>
              <w:rPr>
                <w:sz w:val="20"/>
                <w:szCs w:val="18"/>
                <w:lang w:val="en-US"/>
              </w:rPr>
            </w:pPr>
            <w:r>
              <w:rPr>
                <w:sz w:val="20"/>
                <w:szCs w:val="18"/>
                <w:lang w:val="en-US"/>
              </w:rPr>
              <w:t>0.01 ng</w:t>
            </w:r>
          </w:p>
        </w:tc>
      </w:tr>
      <w:tr w:rsidR="001A6D80" w14:paraId="0EFD959A" w14:textId="75F55224" w:rsidTr="00D42747">
        <w:tc>
          <w:tcPr>
            <w:tcW w:w="861" w:type="dxa"/>
            <w:vAlign w:val="center"/>
          </w:tcPr>
          <w:p w14:paraId="638957EC" w14:textId="4F29AD59" w:rsidR="008D060E" w:rsidRPr="00875428" w:rsidRDefault="008D060E" w:rsidP="001A6D80">
            <w:pPr>
              <w:spacing w:line="360" w:lineRule="auto"/>
              <w:rPr>
                <w:sz w:val="20"/>
                <w:szCs w:val="18"/>
                <w:lang w:val="en-US"/>
              </w:rPr>
            </w:pPr>
            <w:r w:rsidRPr="00875428">
              <w:rPr>
                <w:i/>
                <w:sz w:val="20"/>
                <w:szCs w:val="18"/>
                <w:lang w:val="en-US"/>
              </w:rPr>
              <w:t>VCAM1</w:t>
            </w:r>
          </w:p>
        </w:tc>
        <w:tc>
          <w:tcPr>
            <w:tcW w:w="803" w:type="dxa"/>
            <w:vAlign w:val="center"/>
          </w:tcPr>
          <w:p w14:paraId="78F8B1FB" w14:textId="5E3D5C66" w:rsidR="008D060E" w:rsidRPr="00875428" w:rsidRDefault="008D060E" w:rsidP="001A6D80">
            <w:pPr>
              <w:spacing w:line="360" w:lineRule="auto"/>
              <w:jc w:val="right"/>
              <w:rPr>
                <w:sz w:val="20"/>
                <w:szCs w:val="18"/>
                <w:lang w:val="en-US"/>
              </w:rPr>
            </w:pPr>
            <w:r w:rsidRPr="00875428">
              <w:rPr>
                <w:sz w:val="20"/>
                <w:szCs w:val="18"/>
                <w:lang w:val="en-US"/>
              </w:rPr>
              <w:t>-1.026</w:t>
            </w:r>
          </w:p>
        </w:tc>
        <w:tc>
          <w:tcPr>
            <w:tcW w:w="1214" w:type="dxa"/>
            <w:vAlign w:val="center"/>
          </w:tcPr>
          <w:p w14:paraId="77D0E13E" w14:textId="3ADCEFAB" w:rsidR="008D060E" w:rsidRPr="00875428" w:rsidRDefault="008D060E" w:rsidP="001A6D80">
            <w:pPr>
              <w:spacing w:line="360" w:lineRule="auto"/>
              <w:jc w:val="right"/>
              <w:rPr>
                <w:sz w:val="20"/>
                <w:szCs w:val="18"/>
                <w:lang w:val="en-US"/>
              </w:rPr>
            </w:pPr>
            <w:r w:rsidRPr="00875428">
              <w:rPr>
                <w:sz w:val="20"/>
                <w:szCs w:val="18"/>
                <w:lang w:val="en-US"/>
              </w:rPr>
              <w:t>36.938</w:t>
            </w:r>
          </w:p>
        </w:tc>
        <w:tc>
          <w:tcPr>
            <w:tcW w:w="1509" w:type="dxa"/>
            <w:vAlign w:val="center"/>
          </w:tcPr>
          <w:p w14:paraId="235DF97E" w14:textId="6E1078B1" w:rsidR="008D060E" w:rsidRPr="00875428" w:rsidRDefault="008D060E" w:rsidP="001A6D80">
            <w:pPr>
              <w:spacing w:line="360" w:lineRule="auto"/>
              <w:jc w:val="right"/>
              <w:rPr>
                <w:sz w:val="20"/>
                <w:szCs w:val="18"/>
                <w:lang w:val="en-US"/>
              </w:rPr>
            </w:pPr>
            <w:r w:rsidRPr="00875428">
              <w:rPr>
                <w:sz w:val="20"/>
                <w:szCs w:val="18"/>
                <w:lang w:val="en-US"/>
              </w:rPr>
              <w:t>844%</w:t>
            </w:r>
          </w:p>
        </w:tc>
        <w:tc>
          <w:tcPr>
            <w:tcW w:w="708" w:type="dxa"/>
            <w:vAlign w:val="center"/>
          </w:tcPr>
          <w:p w14:paraId="13E33890" w14:textId="16ACCB7F" w:rsidR="008D060E" w:rsidRPr="00875428" w:rsidRDefault="008D060E" w:rsidP="001A6D80">
            <w:pPr>
              <w:spacing w:line="360" w:lineRule="auto"/>
              <w:jc w:val="right"/>
              <w:rPr>
                <w:sz w:val="20"/>
                <w:szCs w:val="18"/>
                <w:lang w:val="en-US"/>
              </w:rPr>
            </w:pPr>
            <w:r w:rsidRPr="00875428">
              <w:rPr>
                <w:sz w:val="20"/>
                <w:szCs w:val="18"/>
                <w:lang w:val="en-US"/>
              </w:rPr>
              <w:t>0.665</w:t>
            </w:r>
          </w:p>
        </w:tc>
        <w:tc>
          <w:tcPr>
            <w:tcW w:w="716" w:type="dxa"/>
            <w:vAlign w:val="center"/>
          </w:tcPr>
          <w:p w14:paraId="56FA79AB" w14:textId="130B9645" w:rsidR="008D060E" w:rsidRPr="00875428" w:rsidRDefault="0080621E" w:rsidP="001A6D80">
            <w:pPr>
              <w:spacing w:line="360" w:lineRule="auto"/>
              <w:jc w:val="right"/>
              <w:rPr>
                <w:sz w:val="20"/>
                <w:szCs w:val="18"/>
                <w:lang w:val="en-US"/>
              </w:rPr>
            </w:pPr>
            <w:r>
              <w:rPr>
                <w:sz w:val="20"/>
                <w:szCs w:val="18"/>
                <w:lang w:val="en-US"/>
              </w:rPr>
              <w:t>0.364</w:t>
            </w:r>
          </w:p>
        </w:tc>
        <w:tc>
          <w:tcPr>
            <w:tcW w:w="1839" w:type="dxa"/>
            <w:vAlign w:val="center"/>
          </w:tcPr>
          <w:p w14:paraId="5F5D14C1" w14:textId="70108549" w:rsidR="008D060E" w:rsidRPr="00875428" w:rsidRDefault="000A7141" w:rsidP="001A6D80">
            <w:pPr>
              <w:spacing w:line="360" w:lineRule="auto"/>
              <w:jc w:val="right"/>
              <w:rPr>
                <w:sz w:val="20"/>
                <w:szCs w:val="18"/>
                <w:lang w:val="en-US"/>
              </w:rPr>
            </w:pPr>
            <w:r>
              <w:rPr>
                <w:sz w:val="20"/>
                <w:szCs w:val="18"/>
                <w:lang w:val="en-US"/>
              </w:rPr>
              <w:t>10</w:t>
            </w:r>
            <w:r w:rsidR="00D42747">
              <w:rPr>
                <w:sz w:val="20"/>
                <w:szCs w:val="18"/>
                <w:lang w:val="en-US"/>
              </w:rPr>
              <w:t>.00</w:t>
            </w:r>
            <w:r>
              <w:rPr>
                <w:sz w:val="20"/>
                <w:szCs w:val="18"/>
                <w:lang w:val="en-US"/>
              </w:rPr>
              <w:t xml:space="preserve"> ng</w:t>
            </w:r>
          </w:p>
        </w:tc>
      </w:tr>
      <w:tr w:rsidR="001A6D80" w14:paraId="4D57ADF7" w14:textId="3706EA1E" w:rsidTr="00D42747">
        <w:tc>
          <w:tcPr>
            <w:tcW w:w="861" w:type="dxa"/>
            <w:vAlign w:val="center"/>
          </w:tcPr>
          <w:p w14:paraId="6B42BCA7" w14:textId="0CEBFDDC" w:rsidR="008D060E" w:rsidRPr="00875428" w:rsidRDefault="008D060E" w:rsidP="001A6D80">
            <w:pPr>
              <w:spacing w:line="360" w:lineRule="auto"/>
              <w:rPr>
                <w:sz w:val="20"/>
                <w:szCs w:val="18"/>
                <w:lang w:val="en-US"/>
              </w:rPr>
            </w:pPr>
            <w:r w:rsidRPr="00875428">
              <w:rPr>
                <w:i/>
                <w:sz w:val="20"/>
                <w:szCs w:val="18"/>
                <w:lang w:val="en-US"/>
              </w:rPr>
              <w:t>MCL1</w:t>
            </w:r>
          </w:p>
        </w:tc>
        <w:tc>
          <w:tcPr>
            <w:tcW w:w="803" w:type="dxa"/>
            <w:vAlign w:val="center"/>
          </w:tcPr>
          <w:p w14:paraId="3160EBA5" w14:textId="00D9472D" w:rsidR="008D060E" w:rsidRPr="00875428" w:rsidRDefault="008D060E" w:rsidP="001A6D80">
            <w:pPr>
              <w:spacing w:line="360" w:lineRule="auto"/>
              <w:jc w:val="right"/>
              <w:rPr>
                <w:sz w:val="20"/>
                <w:szCs w:val="18"/>
                <w:lang w:val="en-US"/>
              </w:rPr>
            </w:pPr>
            <w:r w:rsidRPr="00875428">
              <w:rPr>
                <w:sz w:val="20"/>
                <w:szCs w:val="18"/>
                <w:lang w:val="en-US"/>
              </w:rPr>
              <w:t>-3.299</w:t>
            </w:r>
          </w:p>
        </w:tc>
        <w:tc>
          <w:tcPr>
            <w:tcW w:w="1214" w:type="dxa"/>
            <w:vAlign w:val="center"/>
          </w:tcPr>
          <w:p w14:paraId="6E3CE358" w14:textId="5487B9F8" w:rsidR="008D060E" w:rsidRPr="00875428" w:rsidRDefault="008D060E" w:rsidP="001A6D80">
            <w:pPr>
              <w:spacing w:line="360" w:lineRule="auto"/>
              <w:jc w:val="right"/>
              <w:rPr>
                <w:sz w:val="20"/>
                <w:szCs w:val="18"/>
                <w:lang w:val="en-US"/>
              </w:rPr>
            </w:pPr>
            <w:r w:rsidRPr="00875428">
              <w:rPr>
                <w:sz w:val="20"/>
                <w:szCs w:val="18"/>
                <w:lang w:val="en-US"/>
              </w:rPr>
              <w:t>29.698</w:t>
            </w:r>
          </w:p>
        </w:tc>
        <w:tc>
          <w:tcPr>
            <w:tcW w:w="1509" w:type="dxa"/>
            <w:vAlign w:val="center"/>
          </w:tcPr>
          <w:p w14:paraId="30EA8EF8" w14:textId="188994FA" w:rsidR="008D060E" w:rsidRPr="00875428" w:rsidRDefault="008D060E" w:rsidP="001A6D80">
            <w:pPr>
              <w:spacing w:line="360" w:lineRule="auto"/>
              <w:jc w:val="right"/>
              <w:rPr>
                <w:sz w:val="20"/>
                <w:szCs w:val="18"/>
                <w:lang w:val="en-US"/>
              </w:rPr>
            </w:pPr>
            <w:r w:rsidRPr="00875428">
              <w:rPr>
                <w:sz w:val="20"/>
                <w:szCs w:val="18"/>
                <w:lang w:val="en-US"/>
              </w:rPr>
              <w:t>101%</w:t>
            </w:r>
          </w:p>
        </w:tc>
        <w:tc>
          <w:tcPr>
            <w:tcW w:w="708" w:type="dxa"/>
            <w:vAlign w:val="center"/>
          </w:tcPr>
          <w:p w14:paraId="6E79AFBC" w14:textId="56E9291A" w:rsidR="008D060E" w:rsidRPr="00875428" w:rsidRDefault="008D060E" w:rsidP="001A6D80">
            <w:pPr>
              <w:spacing w:line="360" w:lineRule="auto"/>
              <w:jc w:val="right"/>
              <w:rPr>
                <w:sz w:val="20"/>
                <w:szCs w:val="18"/>
                <w:lang w:val="en-US"/>
              </w:rPr>
            </w:pPr>
            <w:r w:rsidRPr="00875428">
              <w:rPr>
                <w:sz w:val="20"/>
                <w:szCs w:val="18"/>
                <w:lang w:val="en-US"/>
              </w:rPr>
              <w:t>0.986</w:t>
            </w:r>
          </w:p>
        </w:tc>
        <w:tc>
          <w:tcPr>
            <w:tcW w:w="716" w:type="dxa"/>
            <w:vAlign w:val="center"/>
          </w:tcPr>
          <w:p w14:paraId="2DF2EAAF" w14:textId="64E3304F" w:rsidR="008D060E" w:rsidRPr="00875428" w:rsidRDefault="00BA62A6" w:rsidP="001A6D80">
            <w:pPr>
              <w:spacing w:line="360" w:lineRule="auto"/>
              <w:jc w:val="right"/>
              <w:rPr>
                <w:sz w:val="20"/>
                <w:szCs w:val="18"/>
                <w:lang w:val="en-US"/>
              </w:rPr>
            </w:pPr>
            <w:r>
              <w:rPr>
                <w:sz w:val="20"/>
                <w:szCs w:val="18"/>
                <w:lang w:val="en-US"/>
              </w:rPr>
              <w:t>0.113</w:t>
            </w:r>
          </w:p>
        </w:tc>
        <w:tc>
          <w:tcPr>
            <w:tcW w:w="1839" w:type="dxa"/>
            <w:vAlign w:val="center"/>
          </w:tcPr>
          <w:p w14:paraId="1F50600F" w14:textId="57F3A4CD" w:rsidR="008D060E" w:rsidRPr="00875428" w:rsidRDefault="000A7141" w:rsidP="001A6D80">
            <w:pPr>
              <w:spacing w:line="360" w:lineRule="auto"/>
              <w:jc w:val="right"/>
              <w:rPr>
                <w:sz w:val="20"/>
                <w:szCs w:val="18"/>
                <w:lang w:val="en-US"/>
              </w:rPr>
            </w:pPr>
            <w:r>
              <w:rPr>
                <w:sz w:val="20"/>
                <w:szCs w:val="18"/>
                <w:lang w:val="en-US"/>
              </w:rPr>
              <w:t>0.01 ng</w:t>
            </w:r>
          </w:p>
        </w:tc>
      </w:tr>
      <w:tr w:rsidR="001A6D80" w14:paraId="3831C467" w14:textId="4993E7B0" w:rsidTr="00D42747">
        <w:tc>
          <w:tcPr>
            <w:tcW w:w="861" w:type="dxa"/>
            <w:vAlign w:val="center"/>
          </w:tcPr>
          <w:p w14:paraId="376B4EBE" w14:textId="5476A22F" w:rsidR="008D060E" w:rsidRPr="00875428" w:rsidRDefault="008D060E" w:rsidP="001A6D80">
            <w:pPr>
              <w:spacing w:line="360" w:lineRule="auto"/>
              <w:rPr>
                <w:sz w:val="20"/>
                <w:szCs w:val="18"/>
                <w:lang w:val="en-US"/>
              </w:rPr>
            </w:pPr>
            <w:r w:rsidRPr="00875428">
              <w:rPr>
                <w:i/>
                <w:sz w:val="20"/>
                <w:szCs w:val="18"/>
                <w:lang w:val="en-US"/>
              </w:rPr>
              <w:t>CXCR4</w:t>
            </w:r>
          </w:p>
        </w:tc>
        <w:tc>
          <w:tcPr>
            <w:tcW w:w="803" w:type="dxa"/>
            <w:vAlign w:val="center"/>
          </w:tcPr>
          <w:p w14:paraId="37B9C183" w14:textId="194BC19C" w:rsidR="008D060E" w:rsidRPr="00875428" w:rsidRDefault="008D060E" w:rsidP="001A6D80">
            <w:pPr>
              <w:spacing w:line="360" w:lineRule="auto"/>
              <w:jc w:val="right"/>
              <w:rPr>
                <w:sz w:val="20"/>
                <w:szCs w:val="18"/>
                <w:lang w:val="en-US"/>
              </w:rPr>
            </w:pPr>
            <w:r w:rsidRPr="00875428">
              <w:rPr>
                <w:sz w:val="20"/>
                <w:szCs w:val="18"/>
                <w:lang w:val="en-US"/>
              </w:rPr>
              <w:t>-3.050</w:t>
            </w:r>
          </w:p>
        </w:tc>
        <w:tc>
          <w:tcPr>
            <w:tcW w:w="1214" w:type="dxa"/>
            <w:vAlign w:val="center"/>
          </w:tcPr>
          <w:p w14:paraId="6C417DD4" w14:textId="128BE2C4" w:rsidR="008D060E" w:rsidRPr="00875428" w:rsidRDefault="008D060E" w:rsidP="001A6D80">
            <w:pPr>
              <w:spacing w:line="360" w:lineRule="auto"/>
              <w:jc w:val="right"/>
              <w:rPr>
                <w:sz w:val="20"/>
                <w:szCs w:val="18"/>
                <w:lang w:val="en-US"/>
              </w:rPr>
            </w:pPr>
            <w:r w:rsidRPr="00875428">
              <w:rPr>
                <w:sz w:val="20"/>
                <w:szCs w:val="18"/>
                <w:lang w:val="en-US"/>
              </w:rPr>
              <w:t>32.059</w:t>
            </w:r>
          </w:p>
        </w:tc>
        <w:tc>
          <w:tcPr>
            <w:tcW w:w="1509" w:type="dxa"/>
            <w:vAlign w:val="center"/>
          </w:tcPr>
          <w:p w14:paraId="2785138C" w14:textId="465FC704" w:rsidR="008D060E" w:rsidRPr="00875428" w:rsidRDefault="008D060E" w:rsidP="001A6D80">
            <w:pPr>
              <w:spacing w:line="360" w:lineRule="auto"/>
              <w:jc w:val="right"/>
              <w:rPr>
                <w:sz w:val="20"/>
                <w:szCs w:val="18"/>
                <w:lang w:val="en-US"/>
              </w:rPr>
            </w:pPr>
            <w:r w:rsidRPr="00875428">
              <w:rPr>
                <w:sz w:val="20"/>
                <w:szCs w:val="18"/>
                <w:lang w:val="en-US"/>
              </w:rPr>
              <w:t>113%</w:t>
            </w:r>
          </w:p>
        </w:tc>
        <w:tc>
          <w:tcPr>
            <w:tcW w:w="708" w:type="dxa"/>
            <w:vAlign w:val="center"/>
          </w:tcPr>
          <w:p w14:paraId="6A64CDA3" w14:textId="11A86204" w:rsidR="008D060E" w:rsidRPr="00875428" w:rsidRDefault="008D060E" w:rsidP="001A6D80">
            <w:pPr>
              <w:spacing w:line="360" w:lineRule="auto"/>
              <w:jc w:val="right"/>
              <w:rPr>
                <w:sz w:val="20"/>
                <w:szCs w:val="18"/>
                <w:lang w:val="en-US"/>
              </w:rPr>
            </w:pPr>
            <w:r w:rsidRPr="00875428">
              <w:rPr>
                <w:sz w:val="20"/>
                <w:szCs w:val="18"/>
                <w:lang w:val="en-US"/>
              </w:rPr>
              <w:t>0.960</w:t>
            </w:r>
          </w:p>
        </w:tc>
        <w:tc>
          <w:tcPr>
            <w:tcW w:w="716" w:type="dxa"/>
            <w:vAlign w:val="center"/>
          </w:tcPr>
          <w:p w14:paraId="4178BDE5" w14:textId="2B611887" w:rsidR="008D060E" w:rsidRPr="00875428" w:rsidRDefault="00A35E57" w:rsidP="001A6D80">
            <w:pPr>
              <w:spacing w:line="360" w:lineRule="auto"/>
              <w:jc w:val="right"/>
              <w:rPr>
                <w:sz w:val="20"/>
                <w:szCs w:val="18"/>
                <w:lang w:val="en-US"/>
              </w:rPr>
            </w:pPr>
            <w:r>
              <w:rPr>
                <w:sz w:val="20"/>
                <w:szCs w:val="18"/>
                <w:lang w:val="en-US"/>
              </w:rPr>
              <w:t>0.188</w:t>
            </w:r>
          </w:p>
        </w:tc>
        <w:tc>
          <w:tcPr>
            <w:tcW w:w="1839" w:type="dxa"/>
            <w:vAlign w:val="center"/>
          </w:tcPr>
          <w:p w14:paraId="4A2C2932" w14:textId="44D62ADE" w:rsidR="008D060E" w:rsidRPr="00875428" w:rsidRDefault="00910694" w:rsidP="001A6D80">
            <w:pPr>
              <w:spacing w:line="360" w:lineRule="auto"/>
              <w:jc w:val="right"/>
              <w:rPr>
                <w:sz w:val="20"/>
                <w:szCs w:val="18"/>
                <w:lang w:val="en-US"/>
              </w:rPr>
            </w:pPr>
            <w:r>
              <w:rPr>
                <w:sz w:val="20"/>
                <w:szCs w:val="18"/>
                <w:lang w:val="en-US"/>
              </w:rPr>
              <w:t>0.</w:t>
            </w:r>
            <w:r w:rsidR="000D2C2F">
              <w:rPr>
                <w:sz w:val="20"/>
                <w:szCs w:val="18"/>
                <w:lang w:val="en-US"/>
              </w:rPr>
              <w:t>1</w:t>
            </w:r>
            <w:r w:rsidR="00D42747">
              <w:rPr>
                <w:sz w:val="20"/>
                <w:szCs w:val="18"/>
                <w:lang w:val="en-US"/>
              </w:rPr>
              <w:t>0</w:t>
            </w:r>
            <w:r>
              <w:rPr>
                <w:sz w:val="20"/>
                <w:szCs w:val="18"/>
                <w:lang w:val="en-US"/>
              </w:rPr>
              <w:t xml:space="preserve"> ng</w:t>
            </w:r>
          </w:p>
        </w:tc>
      </w:tr>
      <w:tr w:rsidR="001A6D80" w14:paraId="353C8996" w14:textId="2C60E774" w:rsidTr="00D42747">
        <w:tc>
          <w:tcPr>
            <w:tcW w:w="861" w:type="dxa"/>
            <w:vAlign w:val="center"/>
          </w:tcPr>
          <w:p w14:paraId="5BBA1DB3" w14:textId="6E7705EC" w:rsidR="008D060E" w:rsidRPr="00875428" w:rsidRDefault="008D060E" w:rsidP="001A6D80">
            <w:pPr>
              <w:spacing w:line="360" w:lineRule="auto"/>
              <w:rPr>
                <w:i/>
                <w:sz w:val="20"/>
                <w:szCs w:val="18"/>
                <w:lang w:val="en-US"/>
              </w:rPr>
            </w:pPr>
            <w:r w:rsidRPr="00875428">
              <w:rPr>
                <w:i/>
                <w:sz w:val="20"/>
                <w:szCs w:val="18"/>
                <w:lang w:val="en-US"/>
              </w:rPr>
              <w:t>CCL4</w:t>
            </w:r>
          </w:p>
        </w:tc>
        <w:tc>
          <w:tcPr>
            <w:tcW w:w="803" w:type="dxa"/>
            <w:vAlign w:val="center"/>
          </w:tcPr>
          <w:p w14:paraId="0E12333F" w14:textId="606D3BA5" w:rsidR="008D060E" w:rsidRPr="00875428" w:rsidRDefault="008D060E" w:rsidP="001A6D80">
            <w:pPr>
              <w:spacing w:line="360" w:lineRule="auto"/>
              <w:jc w:val="right"/>
              <w:rPr>
                <w:sz w:val="20"/>
                <w:szCs w:val="18"/>
                <w:lang w:val="en-US"/>
              </w:rPr>
            </w:pPr>
            <w:r w:rsidRPr="00875428">
              <w:rPr>
                <w:sz w:val="20"/>
                <w:szCs w:val="18"/>
                <w:lang w:val="en-US"/>
              </w:rPr>
              <w:t>-3.022</w:t>
            </w:r>
          </w:p>
        </w:tc>
        <w:tc>
          <w:tcPr>
            <w:tcW w:w="1214" w:type="dxa"/>
            <w:vAlign w:val="center"/>
          </w:tcPr>
          <w:p w14:paraId="6B44BBD8" w14:textId="1A18882F" w:rsidR="008D060E" w:rsidRPr="00875428" w:rsidRDefault="008D060E" w:rsidP="001A6D80">
            <w:pPr>
              <w:spacing w:line="360" w:lineRule="auto"/>
              <w:jc w:val="right"/>
              <w:rPr>
                <w:sz w:val="20"/>
                <w:szCs w:val="18"/>
                <w:lang w:val="en-US"/>
              </w:rPr>
            </w:pPr>
            <w:r w:rsidRPr="00875428">
              <w:rPr>
                <w:sz w:val="20"/>
                <w:szCs w:val="18"/>
                <w:lang w:val="en-US"/>
              </w:rPr>
              <w:t>30.121</w:t>
            </w:r>
          </w:p>
        </w:tc>
        <w:tc>
          <w:tcPr>
            <w:tcW w:w="1509" w:type="dxa"/>
            <w:vAlign w:val="center"/>
          </w:tcPr>
          <w:p w14:paraId="46E74401" w14:textId="06AB317C" w:rsidR="008D060E" w:rsidRPr="00875428" w:rsidRDefault="008D060E" w:rsidP="001A6D80">
            <w:pPr>
              <w:spacing w:line="360" w:lineRule="auto"/>
              <w:jc w:val="right"/>
              <w:rPr>
                <w:sz w:val="20"/>
                <w:szCs w:val="18"/>
                <w:lang w:val="en-US"/>
              </w:rPr>
            </w:pPr>
            <w:r w:rsidRPr="00875428">
              <w:rPr>
                <w:sz w:val="20"/>
                <w:szCs w:val="18"/>
                <w:lang w:val="en-US"/>
              </w:rPr>
              <w:t>114%</w:t>
            </w:r>
          </w:p>
        </w:tc>
        <w:tc>
          <w:tcPr>
            <w:tcW w:w="708" w:type="dxa"/>
            <w:vAlign w:val="center"/>
          </w:tcPr>
          <w:p w14:paraId="03A6E8C5" w14:textId="778DC312" w:rsidR="008D060E" w:rsidRPr="00875428" w:rsidRDefault="008D060E" w:rsidP="001A6D80">
            <w:pPr>
              <w:spacing w:line="360" w:lineRule="auto"/>
              <w:jc w:val="right"/>
              <w:rPr>
                <w:sz w:val="20"/>
                <w:szCs w:val="18"/>
                <w:lang w:val="en-US"/>
              </w:rPr>
            </w:pPr>
            <w:r w:rsidRPr="00875428">
              <w:rPr>
                <w:sz w:val="20"/>
                <w:szCs w:val="18"/>
                <w:lang w:val="en-US"/>
              </w:rPr>
              <w:t>0.991</w:t>
            </w:r>
          </w:p>
        </w:tc>
        <w:tc>
          <w:tcPr>
            <w:tcW w:w="716" w:type="dxa"/>
            <w:vAlign w:val="center"/>
          </w:tcPr>
          <w:p w14:paraId="6E3282A1" w14:textId="30A17890" w:rsidR="008D060E" w:rsidRPr="00875428" w:rsidRDefault="00A35E57" w:rsidP="001A6D80">
            <w:pPr>
              <w:spacing w:line="360" w:lineRule="auto"/>
              <w:jc w:val="right"/>
              <w:rPr>
                <w:sz w:val="20"/>
                <w:szCs w:val="18"/>
                <w:lang w:val="en-US"/>
              </w:rPr>
            </w:pPr>
            <w:r>
              <w:rPr>
                <w:sz w:val="20"/>
                <w:szCs w:val="18"/>
                <w:lang w:val="en-US"/>
              </w:rPr>
              <w:t>0.079</w:t>
            </w:r>
          </w:p>
        </w:tc>
        <w:tc>
          <w:tcPr>
            <w:tcW w:w="1839" w:type="dxa"/>
            <w:vAlign w:val="center"/>
          </w:tcPr>
          <w:p w14:paraId="1C9C08F0" w14:textId="1ADD9420" w:rsidR="008D060E" w:rsidRPr="00875428" w:rsidRDefault="00910694" w:rsidP="001A6D80">
            <w:pPr>
              <w:spacing w:line="360" w:lineRule="auto"/>
              <w:jc w:val="right"/>
              <w:rPr>
                <w:sz w:val="20"/>
                <w:szCs w:val="18"/>
                <w:lang w:val="en-US"/>
              </w:rPr>
            </w:pPr>
            <w:r>
              <w:rPr>
                <w:sz w:val="20"/>
                <w:szCs w:val="18"/>
                <w:lang w:val="en-US"/>
              </w:rPr>
              <w:t>0.0</w:t>
            </w:r>
            <w:r w:rsidR="000A4F39">
              <w:rPr>
                <w:sz w:val="20"/>
                <w:szCs w:val="18"/>
                <w:lang w:val="en-US"/>
              </w:rPr>
              <w:t>5</w:t>
            </w:r>
            <w:r>
              <w:rPr>
                <w:sz w:val="20"/>
                <w:szCs w:val="18"/>
                <w:lang w:val="en-US"/>
              </w:rPr>
              <w:t xml:space="preserve"> ng</w:t>
            </w:r>
          </w:p>
        </w:tc>
      </w:tr>
    </w:tbl>
    <w:p w14:paraId="2265CB5B" w14:textId="77777777" w:rsidR="00CA140A" w:rsidRPr="00CA140A" w:rsidRDefault="00CA140A" w:rsidP="00CA140A">
      <w:pPr>
        <w:spacing w:line="360" w:lineRule="auto"/>
        <w:jc w:val="both"/>
        <w:rPr>
          <w:lang w:val="en-US"/>
        </w:rPr>
      </w:pPr>
    </w:p>
    <w:p w14:paraId="6D9E460D" w14:textId="328A165E" w:rsidR="00A27A5B" w:rsidRDefault="00A27A5B" w:rsidP="00A27A5B">
      <w:pPr>
        <w:pStyle w:val="Odstavecseseznamem"/>
        <w:numPr>
          <w:ilvl w:val="0"/>
          <w:numId w:val="1"/>
        </w:numPr>
        <w:spacing w:line="360" w:lineRule="auto"/>
        <w:jc w:val="both"/>
        <w:rPr>
          <w:lang w:val="en-US"/>
        </w:rPr>
      </w:pPr>
      <w:r>
        <w:rPr>
          <w:lang w:val="en-US"/>
        </w:rPr>
        <w:t>If multiplex, efficiency and LOD of each assay (E): Not Applicable</w:t>
      </w:r>
    </w:p>
    <w:p w14:paraId="7D9D7A66" w14:textId="6A0D7EC0" w:rsidR="00A27A5B" w:rsidRDefault="00106168" w:rsidP="00106168">
      <w:pPr>
        <w:spacing w:line="360" w:lineRule="auto"/>
        <w:jc w:val="both"/>
        <w:rPr>
          <w:lang w:val="en-US"/>
        </w:rPr>
      </w:pPr>
      <w:r>
        <w:rPr>
          <w:b/>
          <w:bCs/>
          <w:lang w:val="en-US"/>
        </w:rPr>
        <w:t>Data analysis:</w:t>
      </w:r>
    </w:p>
    <w:p w14:paraId="6420DC06" w14:textId="18BF3C0E" w:rsidR="00106168" w:rsidRDefault="00106168" w:rsidP="00106168">
      <w:pPr>
        <w:pStyle w:val="Odstavecseseznamem"/>
        <w:numPr>
          <w:ilvl w:val="0"/>
          <w:numId w:val="1"/>
        </w:numPr>
        <w:spacing w:line="360" w:lineRule="auto"/>
        <w:jc w:val="both"/>
        <w:rPr>
          <w:lang w:val="en-US"/>
        </w:rPr>
      </w:pPr>
      <w:r>
        <w:rPr>
          <w:lang w:val="en-US"/>
        </w:rPr>
        <w:t>qPCR analysis program (source, version)</w:t>
      </w:r>
      <w:r w:rsidR="00BE7754">
        <w:rPr>
          <w:lang w:val="en-US"/>
        </w:rPr>
        <w:t xml:space="preserve"> (E)</w:t>
      </w:r>
      <w:r>
        <w:rPr>
          <w:lang w:val="en-US"/>
        </w:rPr>
        <w:t xml:space="preserve">: </w:t>
      </w:r>
      <w:r w:rsidRPr="00106168">
        <w:rPr>
          <w:lang w:val="en-US"/>
        </w:rPr>
        <w:t xml:space="preserve">Data were analyzed in the </w:t>
      </w:r>
      <w:proofErr w:type="spellStart"/>
      <w:r w:rsidRPr="00106168">
        <w:rPr>
          <w:lang w:val="en-US"/>
        </w:rPr>
        <w:t>QuantStudio</w:t>
      </w:r>
      <w:proofErr w:type="spellEnd"/>
      <w:r w:rsidRPr="00106168">
        <w:rPr>
          <w:lang w:val="en-US"/>
        </w:rPr>
        <w:t xml:space="preserve"> 12K Flex Software, v1.4.</w:t>
      </w:r>
    </w:p>
    <w:p w14:paraId="5E48A03B" w14:textId="0384456F" w:rsidR="00BE7754" w:rsidRPr="00B61697" w:rsidRDefault="00BE7754" w:rsidP="00BE7754">
      <w:pPr>
        <w:pStyle w:val="Odstavecseseznamem"/>
        <w:numPr>
          <w:ilvl w:val="1"/>
          <w:numId w:val="1"/>
        </w:numPr>
        <w:spacing w:line="360" w:lineRule="auto"/>
        <w:jc w:val="both"/>
        <w:rPr>
          <w:lang w:val="en-US"/>
        </w:rPr>
      </w:pPr>
      <w:proofErr w:type="spellStart"/>
      <w:r w:rsidRPr="00B61697">
        <w:rPr>
          <w:lang w:val="en-US"/>
        </w:rPr>
        <w:t>Cq</w:t>
      </w:r>
      <w:proofErr w:type="spellEnd"/>
      <w:r w:rsidRPr="00B61697">
        <w:rPr>
          <w:lang w:val="en-US"/>
        </w:rPr>
        <w:t xml:space="preserve"> method determination (E):</w:t>
      </w:r>
      <w:r w:rsidR="00ED47A6" w:rsidRPr="00B61697">
        <w:rPr>
          <w:lang w:val="en-US"/>
        </w:rPr>
        <w:t xml:space="preserve"> </w:t>
      </w:r>
      <w:r w:rsidR="001F469A">
        <w:rPr>
          <w:lang w:val="en-US"/>
        </w:rPr>
        <w:t>A P</w:t>
      </w:r>
      <w:r w:rsidR="00FB13EA" w:rsidRPr="00B61697">
        <w:rPr>
          <w:lang w:val="en-US"/>
        </w:rPr>
        <w:t xml:space="preserve">CR cycle number at with a sample’s reaction curve </w:t>
      </w:r>
      <w:r w:rsidR="00A228EA" w:rsidRPr="00B61697">
        <w:rPr>
          <w:lang w:val="en-US"/>
        </w:rPr>
        <w:t>intersect</w:t>
      </w:r>
      <w:r w:rsidR="003D00E9">
        <w:rPr>
          <w:lang w:val="en-US"/>
        </w:rPr>
        <w:t>s</w:t>
      </w:r>
      <w:r w:rsidR="00A228EA" w:rsidRPr="00B61697">
        <w:rPr>
          <w:lang w:val="en-US"/>
        </w:rPr>
        <w:t xml:space="preserve"> a threshold line. </w:t>
      </w:r>
      <w:r w:rsidR="0079023F">
        <w:rPr>
          <w:lang w:val="en-US"/>
        </w:rPr>
        <w:t>If one gene was analyzed</w:t>
      </w:r>
      <w:r w:rsidR="00A30DE1">
        <w:rPr>
          <w:lang w:val="en-US"/>
        </w:rPr>
        <w:t xml:space="preserve"> in two plates, the threshold line was adjusted </w:t>
      </w:r>
      <w:r w:rsidR="00D17E47">
        <w:rPr>
          <w:lang w:val="en-US"/>
        </w:rPr>
        <w:t xml:space="preserve">to equal </w:t>
      </w:r>
      <w:proofErr w:type="spellStart"/>
      <w:r w:rsidR="00D17E47">
        <w:rPr>
          <w:lang w:val="en-US"/>
        </w:rPr>
        <w:t>Cq</w:t>
      </w:r>
      <w:proofErr w:type="spellEnd"/>
      <w:r w:rsidR="00D17E47">
        <w:rPr>
          <w:lang w:val="en-US"/>
        </w:rPr>
        <w:t xml:space="preserve"> </w:t>
      </w:r>
      <w:r w:rsidR="001F469A">
        <w:rPr>
          <w:lang w:val="en-US"/>
        </w:rPr>
        <w:t>in</w:t>
      </w:r>
      <w:r w:rsidR="00D17E47">
        <w:rPr>
          <w:lang w:val="en-US"/>
        </w:rPr>
        <w:t xml:space="preserve"> the positive control</w:t>
      </w:r>
      <w:r w:rsidR="001F469A">
        <w:rPr>
          <w:lang w:val="en-US"/>
        </w:rPr>
        <w:t xml:space="preserve"> for each plate</w:t>
      </w:r>
      <w:r w:rsidR="00D17E47">
        <w:rPr>
          <w:lang w:val="en-US"/>
        </w:rPr>
        <w:t xml:space="preserve">. </w:t>
      </w:r>
    </w:p>
    <w:p w14:paraId="1174A950" w14:textId="35F31CE8" w:rsidR="00BE7754" w:rsidRDefault="00BE7754" w:rsidP="00BE7754">
      <w:pPr>
        <w:pStyle w:val="Odstavecseseznamem"/>
        <w:numPr>
          <w:ilvl w:val="1"/>
          <w:numId w:val="1"/>
        </w:numPr>
        <w:spacing w:line="360" w:lineRule="auto"/>
        <w:jc w:val="both"/>
        <w:rPr>
          <w:lang w:val="en-US"/>
        </w:rPr>
      </w:pPr>
      <w:r>
        <w:rPr>
          <w:lang w:val="en-US"/>
        </w:rPr>
        <w:t>Outlier identification and disposition (E):</w:t>
      </w:r>
      <w:r w:rsidR="00A61BE7">
        <w:rPr>
          <w:lang w:val="en-US"/>
        </w:rPr>
        <w:t xml:space="preserve"> </w:t>
      </w:r>
      <w:r w:rsidR="004346B9">
        <w:rPr>
          <w:lang w:val="en-US"/>
        </w:rPr>
        <w:t>Data cleaned m</w:t>
      </w:r>
      <w:r w:rsidR="00A61BE7">
        <w:rPr>
          <w:lang w:val="en-US"/>
        </w:rPr>
        <w:t>anuall</w:t>
      </w:r>
      <w:r w:rsidR="0073756F">
        <w:rPr>
          <w:lang w:val="en-US"/>
        </w:rPr>
        <w:t>y</w:t>
      </w:r>
      <w:r w:rsidR="006B5814">
        <w:rPr>
          <w:lang w:val="en-US"/>
        </w:rPr>
        <w:t xml:space="preserve"> </w:t>
      </w:r>
      <w:r w:rsidR="00CC0C07">
        <w:rPr>
          <w:lang w:val="en-US"/>
        </w:rPr>
        <w:t>after plotting the graphs in GraphPad software</w:t>
      </w:r>
      <w:r w:rsidR="00A61BE7">
        <w:rPr>
          <w:lang w:val="en-US"/>
        </w:rPr>
        <w:t>.</w:t>
      </w:r>
      <w:r w:rsidR="0073756F">
        <w:rPr>
          <w:lang w:val="en-US"/>
        </w:rPr>
        <w:t xml:space="preserve"> </w:t>
      </w:r>
      <w:r w:rsidR="00F03791">
        <w:rPr>
          <w:lang w:val="en-US"/>
        </w:rPr>
        <w:t xml:space="preserve">If outlier was removed, the value was replaced by the median of the remaining values in the same </w:t>
      </w:r>
      <w:r w:rsidR="001D6240">
        <w:rPr>
          <w:lang w:val="en-US"/>
        </w:rPr>
        <w:t xml:space="preserve">group. If </w:t>
      </w:r>
      <w:r w:rsidR="00EA0C7B">
        <w:rPr>
          <w:lang w:val="en-US"/>
        </w:rPr>
        <w:t>all the</w:t>
      </w:r>
      <w:r w:rsidR="001D6240">
        <w:rPr>
          <w:lang w:val="en-US"/>
        </w:rPr>
        <w:t xml:space="preserve"> sample</w:t>
      </w:r>
      <w:r w:rsidR="00EA0C7B">
        <w:rPr>
          <w:lang w:val="en-US"/>
        </w:rPr>
        <w:t xml:space="preserve"> replicates (technical/biological) </w:t>
      </w:r>
      <w:r w:rsidR="001D6240">
        <w:rPr>
          <w:lang w:val="en-US"/>
        </w:rPr>
        <w:t>had outlying values</w:t>
      </w:r>
      <w:r w:rsidR="00746B04">
        <w:rPr>
          <w:lang w:val="en-US"/>
        </w:rPr>
        <w:t xml:space="preserve"> </w:t>
      </w:r>
      <w:r w:rsidR="007C5A3D">
        <w:rPr>
          <w:lang w:val="en-US"/>
        </w:rPr>
        <w:t xml:space="preserve">compared to the rest of the dataset </w:t>
      </w:r>
      <w:r w:rsidR="00746B04">
        <w:rPr>
          <w:lang w:val="en-US"/>
        </w:rPr>
        <w:t>(</w:t>
      </w:r>
      <w:r w:rsidR="007C5A3D">
        <w:rPr>
          <w:lang w:val="en-US"/>
        </w:rPr>
        <w:t>i.e.,</w:t>
      </w:r>
      <w:r w:rsidR="00746B04">
        <w:rPr>
          <w:lang w:val="en-US"/>
        </w:rPr>
        <w:t xml:space="preserve"> </w:t>
      </w:r>
      <w:r w:rsidR="007C5A3D">
        <w:rPr>
          <w:lang w:val="en-US"/>
        </w:rPr>
        <w:t>orders</w:t>
      </w:r>
      <w:r w:rsidR="00746B04">
        <w:rPr>
          <w:lang w:val="en-US"/>
        </w:rPr>
        <w:t xml:space="preserve"> of magnitude)</w:t>
      </w:r>
      <w:r w:rsidR="001D6240">
        <w:rPr>
          <w:lang w:val="en-US"/>
        </w:rPr>
        <w:t xml:space="preserve">, </w:t>
      </w:r>
      <w:r w:rsidR="00EA0C7B">
        <w:rPr>
          <w:lang w:val="en-US"/>
        </w:rPr>
        <w:t xml:space="preserve">they were </w:t>
      </w:r>
      <w:r w:rsidR="001D6240">
        <w:rPr>
          <w:lang w:val="en-US"/>
        </w:rPr>
        <w:t xml:space="preserve">removed from the </w:t>
      </w:r>
      <w:r w:rsidR="00EA0C7B">
        <w:rPr>
          <w:lang w:val="en-US"/>
        </w:rPr>
        <w:t>dataset.</w:t>
      </w:r>
    </w:p>
    <w:p w14:paraId="150D4FB9" w14:textId="4CB6D89C" w:rsidR="00BE7754" w:rsidRDefault="00BE7754" w:rsidP="00BE7754">
      <w:pPr>
        <w:pStyle w:val="Odstavecseseznamem"/>
        <w:numPr>
          <w:ilvl w:val="0"/>
          <w:numId w:val="1"/>
        </w:numPr>
        <w:spacing w:line="360" w:lineRule="auto"/>
        <w:jc w:val="both"/>
        <w:rPr>
          <w:lang w:val="en-US"/>
        </w:rPr>
      </w:pPr>
      <w:r>
        <w:rPr>
          <w:lang w:val="en-US"/>
        </w:rPr>
        <w:t xml:space="preserve">Results of NTCs (E): Negative, see Supplemental </w:t>
      </w:r>
      <w:r w:rsidR="000252AC">
        <w:rPr>
          <w:lang w:val="en-US"/>
        </w:rPr>
        <w:t>Figure</w:t>
      </w:r>
      <w:r>
        <w:rPr>
          <w:lang w:val="en-US"/>
        </w:rPr>
        <w:t xml:space="preserve"> 1.</w:t>
      </w:r>
    </w:p>
    <w:p w14:paraId="6DB5FBDD" w14:textId="187C2735" w:rsidR="00BE7754" w:rsidRDefault="000252AC" w:rsidP="00BE7754">
      <w:pPr>
        <w:pStyle w:val="Odstavecseseznamem"/>
        <w:numPr>
          <w:ilvl w:val="0"/>
          <w:numId w:val="1"/>
        </w:numPr>
        <w:spacing w:line="360" w:lineRule="auto"/>
        <w:jc w:val="both"/>
        <w:rPr>
          <w:lang w:val="en-US"/>
        </w:rPr>
      </w:pPr>
      <w:r>
        <w:rPr>
          <w:lang w:val="en-US"/>
        </w:rPr>
        <w:t xml:space="preserve">Justification of number and choice of reference genes (E): </w:t>
      </w:r>
    </w:p>
    <w:p w14:paraId="0F6512B8" w14:textId="63CDCBFE" w:rsidR="00692BB0" w:rsidRDefault="00425714" w:rsidP="00692BB0">
      <w:pPr>
        <w:pStyle w:val="Odstavecseseznamem"/>
        <w:numPr>
          <w:ilvl w:val="1"/>
          <w:numId w:val="1"/>
        </w:numPr>
        <w:spacing w:line="360" w:lineRule="auto"/>
        <w:jc w:val="both"/>
        <w:rPr>
          <w:lang w:val="en-US"/>
        </w:rPr>
      </w:pPr>
      <w:r>
        <w:rPr>
          <w:lang w:val="en-US"/>
        </w:rPr>
        <w:t>Two reference genes, their number and selection w</w:t>
      </w:r>
      <w:r w:rsidR="001034CF">
        <w:rPr>
          <w:lang w:val="en-US"/>
        </w:rPr>
        <w:t>ere</w:t>
      </w:r>
      <w:r>
        <w:rPr>
          <w:lang w:val="en-US"/>
        </w:rPr>
        <w:t xml:space="preserve"> chosen based on this publication: </w:t>
      </w:r>
      <w:proofErr w:type="spellStart"/>
      <w:r w:rsidRPr="00425714">
        <w:rPr>
          <w:lang w:val="en-US"/>
        </w:rPr>
        <w:t>Valceckiene</w:t>
      </w:r>
      <w:proofErr w:type="spellEnd"/>
      <w:r w:rsidRPr="00425714">
        <w:rPr>
          <w:lang w:val="en-US"/>
        </w:rPr>
        <w:t xml:space="preserve"> V, </w:t>
      </w:r>
      <w:proofErr w:type="spellStart"/>
      <w:r w:rsidRPr="00425714">
        <w:rPr>
          <w:lang w:val="en-US"/>
        </w:rPr>
        <w:t>Kontenyte</w:t>
      </w:r>
      <w:proofErr w:type="spellEnd"/>
      <w:r w:rsidRPr="00425714">
        <w:rPr>
          <w:lang w:val="en-US"/>
        </w:rPr>
        <w:t xml:space="preserve"> R, Jakubauskas A, </w:t>
      </w:r>
      <w:proofErr w:type="spellStart"/>
      <w:r w:rsidRPr="00425714">
        <w:rPr>
          <w:lang w:val="en-US"/>
        </w:rPr>
        <w:t>Griskevicius</w:t>
      </w:r>
      <w:proofErr w:type="spellEnd"/>
      <w:r w:rsidRPr="00425714">
        <w:rPr>
          <w:lang w:val="en-US"/>
        </w:rPr>
        <w:t xml:space="preserve"> L. Selection of reference genes for quantitative polymerase chain reaction studies in purified B cells from B cell chronic lymphocytic </w:t>
      </w:r>
      <w:proofErr w:type="spellStart"/>
      <w:r w:rsidRPr="00425714">
        <w:rPr>
          <w:lang w:val="en-US"/>
        </w:rPr>
        <w:t>leukaemia</w:t>
      </w:r>
      <w:proofErr w:type="spellEnd"/>
      <w:r w:rsidRPr="00425714">
        <w:rPr>
          <w:lang w:val="en-US"/>
        </w:rPr>
        <w:t xml:space="preserve"> patients [published correction appears in Br J </w:t>
      </w:r>
      <w:proofErr w:type="spellStart"/>
      <w:r w:rsidRPr="00425714">
        <w:rPr>
          <w:lang w:val="en-US"/>
        </w:rPr>
        <w:t>Haematol</w:t>
      </w:r>
      <w:proofErr w:type="spellEnd"/>
      <w:r w:rsidRPr="00425714">
        <w:rPr>
          <w:lang w:val="en-US"/>
        </w:rPr>
        <w:t xml:space="preserve">. 2011 Jul;154(1):157]. Br J </w:t>
      </w:r>
      <w:proofErr w:type="spellStart"/>
      <w:r w:rsidRPr="00425714">
        <w:rPr>
          <w:lang w:val="en-US"/>
        </w:rPr>
        <w:t>Haematol</w:t>
      </w:r>
      <w:proofErr w:type="spellEnd"/>
      <w:r w:rsidRPr="00425714">
        <w:rPr>
          <w:lang w:val="en-US"/>
        </w:rPr>
        <w:t>. 2010;151(3):232-238. doi:10.1111/j.1365-2141.</w:t>
      </w:r>
      <w:proofErr w:type="gramStart"/>
      <w:r w:rsidRPr="00425714">
        <w:rPr>
          <w:lang w:val="en-US"/>
        </w:rPr>
        <w:t>2010.08363.x</w:t>
      </w:r>
      <w:proofErr w:type="gramEnd"/>
    </w:p>
    <w:p w14:paraId="4681FD30" w14:textId="77777777" w:rsidR="001A454B" w:rsidRDefault="004A50CE" w:rsidP="00BE7754">
      <w:pPr>
        <w:pStyle w:val="Odstavecseseznamem"/>
        <w:numPr>
          <w:ilvl w:val="0"/>
          <w:numId w:val="1"/>
        </w:numPr>
        <w:spacing w:line="360" w:lineRule="auto"/>
        <w:jc w:val="both"/>
        <w:rPr>
          <w:lang w:val="en-US"/>
        </w:rPr>
      </w:pPr>
      <w:r w:rsidRPr="00990440">
        <w:rPr>
          <w:lang w:val="en-US"/>
        </w:rPr>
        <w:t>Description of normalization method (E):</w:t>
      </w:r>
      <w:r w:rsidR="00DA7B08" w:rsidRPr="00990440">
        <w:rPr>
          <w:lang w:val="en-US"/>
        </w:rPr>
        <w:t xml:space="preserve"> </w:t>
      </w:r>
    </w:p>
    <w:p w14:paraId="7B870A4F" w14:textId="39B69CC7" w:rsidR="001A454B" w:rsidRPr="001A454B" w:rsidRDefault="00764D43" w:rsidP="001A454B">
      <w:pPr>
        <w:pStyle w:val="Odstavecseseznamem"/>
        <w:numPr>
          <w:ilvl w:val="1"/>
          <w:numId w:val="1"/>
        </w:numPr>
        <w:spacing w:line="360" w:lineRule="auto"/>
        <w:jc w:val="both"/>
        <w:rPr>
          <w:lang w:val="en-US"/>
        </w:rPr>
      </w:pPr>
      <w:r>
        <w:rPr>
          <w:lang w:val="el-GR"/>
        </w:rPr>
        <w:lastRenderedPageBreak/>
        <w:t>Δ</w:t>
      </w:r>
      <w:proofErr w:type="spellStart"/>
      <w:r>
        <w:t>Ct</w:t>
      </w:r>
      <w:proofErr w:type="spellEnd"/>
      <w:r>
        <w:t xml:space="preserve"> </w:t>
      </w:r>
      <w:proofErr w:type="spellStart"/>
      <w:r>
        <w:t>method</w:t>
      </w:r>
      <w:proofErr w:type="spellEnd"/>
      <w:r>
        <w:t xml:space="preserve"> </w:t>
      </w:r>
      <w:proofErr w:type="spellStart"/>
      <w:r>
        <w:t>was</w:t>
      </w:r>
      <w:proofErr w:type="spellEnd"/>
      <w:r>
        <w:t xml:space="preserve"> </w:t>
      </w:r>
      <w:proofErr w:type="spellStart"/>
      <w:r>
        <w:t>used</w:t>
      </w:r>
      <w:proofErr w:type="spellEnd"/>
      <w:r w:rsidR="00DA134E">
        <w:t xml:space="preserve">: </w:t>
      </w:r>
      <w:r w:rsidR="00130C35">
        <w:rPr>
          <w:lang w:val="en-US"/>
        </w:rPr>
        <w:t>Ct of each sample</w:t>
      </w:r>
      <w:r w:rsidR="00FF3A2A">
        <w:rPr>
          <w:lang w:val="en-US"/>
        </w:rPr>
        <w:t xml:space="preserve"> </w:t>
      </w:r>
      <w:r w:rsidR="00D11BC0">
        <w:rPr>
          <w:lang w:val="en-US"/>
        </w:rPr>
        <w:t xml:space="preserve">(average of the </w:t>
      </w:r>
      <w:r w:rsidR="001A454B">
        <w:rPr>
          <w:lang w:val="en-US"/>
        </w:rPr>
        <w:t xml:space="preserve">three </w:t>
      </w:r>
      <w:r w:rsidR="00A20A8B">
        <w:rPr>
          <w:lang w:val="en-US"/>
        </w:rPr>
        <w:t xml:space="preserve">technical </w:t>
      </w:r>
      <w:r w:rsidR="00D11BC0">
        <w:rPr>
          <w:lang w:val="en-US"/>
        </w:rPr>
        <w:t>triplicate</w:t>
      </w:r>
      <w:r w:rsidR="001A454B">
        <w:rPr>
          <w:lang w:val="en-US"/>
        </w:rPr>
        <w:t>s</w:t>
      </w:r>
      <w:r w:rsidR="00D11BC0">
        <w:rPr>
          <w:lang w:val="en-US"/>
        </w:rPr>
        <w:t xml:space="preserve">) </w:t>
      </w:r>
      <w:r w:rsidR="00FF3A2A">
        <w:rPr>
          <w:lang w:val="en-US"/>
        </w:rPr>
        <w:t xml:space="preserve">was </w:t>
      </w:r>
      <w:r w:rsidR="00BC53F4">
        <w:rPr>
          <w:lang w:val="en-US"/>
        </w:rPr>
        <w:t xml:space="preserve">subtracted by </w:t>
      </w:r>
      <w:r w:rsidR="000C0AC6">
        <w:rPr>
          <w:lang w:val="en-US"/>
        </w:rPr>
        <w:t>C</w:t>
      </w:r>
      <w:r w:rsidR="00130C35">
        <w:rPr>
          <w:lang w:val="en-US"/>
        </w:rPr>
        <w:t>t</w:t>
      </w:r>
      <w:r w:rsidR="00FF3A2A">
        <w:rPr>
          <w:lang w:val="en-US"/>
        </w:rPr>
        <w:t xml:space="preserve"> of</w:t>
      </w:r>
      <w:r w:rsidR="00990440" w:rsidRPr="00990440">
        <w:rPr>
          <w:lang w:val="en-US"/>
        </w:rPr>
        <w:t xml:space="preserve"> </w:t>
      </w:r>
      <w:r w:rsidR="009E2DAD">
        <w:rPr>
          <w:lang w:val="en-US"/>
        </w:rPr>
        <w:t xml:space="preserve">two reference genes, </w:t>
      </w:r>
      <w:r w:rsidR="00990440" w:rsidRPr="00990440">
        <w:rPr>
          <w:i/>
          <w:iCs/>
          <w:lang w:val="en-US"/>
        </w:rPr>
        <w:t>HPRT1</w:t>
      </w:r>
      <w:r w:rsidR="009720DC">
        <w:rPr>
          <w:i/>
          <w:iCs/>
          <w:lang w:val="en-US"/>
        </w:rPr>
        <w:t xml:space="preserve"> </w:t>
      </w:r>
      <w:r w:rsidR="009720DC">
        <w:rPr>
          <w:lang w:val="en-US"/>
        </w:rPr>
        <w:t>and</w:t>
      </w:r>
      <w:r w:rsidR="00990440" w:rsidRPr="00990440">
        <w:rPr>
          <w:i/>
          <w:iCs/>
          <w:lang w:val="en-US"/>
        </w:rPr>
        <w:t xml:space="preserve"> GUSB</w:t>
      </w:r>
      <w:r w:rsidR="001A454B">
        <w:rPr>
          <w:i/>
          <w:iCs/>
          <w:lang w:val="en-US"/>
        </w:rPr>
        <w:t xml:space="preserve"> </w:t>
      </w:r>
      <w:r w:rsidR="001A454B">
        <w:rPr>
          <w:lang w:val="en-US"/>
        </w:rPr>
        <w:t>(each time average of the three technical replicates)</w:t>
      </w:r>
      <w:r w:rsidR="00D11BC0">
        <w:rPr>
          <w:i/>
          <w:iCs/>
          <w:lang w:val="en-US"/>
        </w:rPr>
        <w:t xml:space="preserve">. </w:t>
      </w:r>
      <w:r w:rsidR="00D11BC0">
        <w:rPr>
          <w:lang w:val="en-US"/>
        </w:rPr>
        <w:t xml:space="preserve">These two </w:t>
      </w:r>
      <w:r w:rsidR="00D86728">
        <w:rPr>
          <w:lang w:val="en-US"/>
        </w:rPr>
        <w:t>differences</w:t>
      </w:r>
      <w:r w:rsidR="00D11BC0">
        <w:rPr>
          <w:lang w:val="en-US"/>
        </w:rPr>
        <w:t xml:space="preserve"> were then averaged</w:t>
      </w:r>
      <w:r w:rsidR="009E2DAD">
        <w:rPr>
          <w:lang w:val="en-US"/>
        </w:rPr>
        <w:t xml:space="preserve">, resulting in </w:t>
      </w:r>
      <w:r w:rsidR="009E2DAD">
        <w:rPr>
          <w:lang w:val="el-GR"/>
        </w:rPr>
        <w:t>Δ</w:t>
      </w:r>
      <w:proofErr w:type="spellStart"/>
      <w:r w:rsidR="009E2DAD">
        <w:t>Ct</w:t>
      </w:r>
      <w:proofErr w:type="spellEnd"/>
      <w:r w:rsidR="009E2DAD">
        <w:t>.</w:t>
      </w:r>
      <w:r w:rsidR="006B7E1A">
        <w:t xml:space="preserve"> </w:t>
      </w:r>
    </w:p>
    <w:p w14:paraId="7B35CD57" w14:textId="665F4B40" w:rsidR="004A50CE" w:rsidRPr="00850A02" w:rsidRDefault="00D816AD" w:rsidP="001A454B">
      <w:pPr>
        <w:pStyle w:val="Odstavecseseznamem"/>
        <w:numPr>
          <w:ilvl w:val="1"/>
          <w:numId w:val="1"/>
        </w:numPr>
        <w:spacing w:line="360" w:lineRule="auto"/>
        <w:jc w:val="both"/>
        <w:rPr>
          <w:lang w:val="en-US"/>
        </w:rPr>
      </w:pPr>
      <w:proofErr w:type="spellStart"/>
      <w:r w:rsidRPr="00850A02">
        <w:rPr>
          <w:lang w:val="en-US"/>
        </w:rPr>
        <w:t>ΔCt</w:t>
      </w:r>
      <w:proofErr w:type="spellEnd"/>
      <w:r w:rsidRPr="00850A02">
        <w:rPr>
          <w:lang w:val="en-US"/>
        </w:rPr>
        <w:t xml:space="preserve"> value of </w:t>
      </w:r>
      <w:r w:rsidR="007232B2" w:rsidRPr="00850A02">
        <w:rPr>
          <w:lang w:val="en-US"/>
        </w:rPr>
        <w:t xml:space="preserve">each </w:t>
      </w:r>
      <w:r w:rsidR="004937F0" w:rsidRPr="00850A02">
        <w:rPr>
          <w:lang w:val="en-US"/>
        </w:rPr>
        <w:t>sample</w:t>
      </w:r>
      <w:r w:rsidR="00892603" w:rsidRPr="00850A02">
        <w:rPr>
          <w:lang w:val="en-US"/>
        </w:rPr>
        <w:t xml:space="preserve"> cultured in 3D</w:t>
      </w:r>
      <w:r w:rsidR="006B7E1A" w:rsidRPr="00850A02">
        <w:rPr>
          <w:lang w:val="en-US"/>
        </w:rPr>
        <w:t xml:space="preserve"> (</w:t>
      </w:r>
      <w:r w:rsidRPr="00850A02">
        <w:rPr>
          <w:lang w:val="en-US"/>
        </w:rPr>
        <w:t>collagen scaffolds, CMC-PEG gel) w</w:t>
      </w:r>
      <w:r w:rsidR="007232B2" w:rsidRPr="00850A02">
        <w:rPr>
          <w:lang w:val="en-US"/>
        </w:rPr>
        <w:t xml:space="preserve">as </w:t>
      </w:r>
      <w:r w:rsidRPr="00850A02">
        <w:rPr>
          <w:lang w:val="en-US"/>
        </w:rPr>
        <w:t xml:space="preserve">then </w:t>
      </w:r>
      <w:r w:rsidR="004937F0" w:rsidRPr="00850A02">
        <w:rPr>
          <w:lang w:val="en-US"/>
        </w:rPr>
        <w:t>subtracted by</w:t>
      </w:r>
      <w:r w:rsidR="00892603" w:rsidRPr="00850A02">
        <w:rPr>
          <w:lang w:val="en-US"/>
        </w:rPr>
        <w:t xml:space="preserve"> corresponding </w:t>
      </w:r>
      <w:proofErr w:type="spellStart"/>
      <w:r w:rsidR="004937F0" w:rsidRPr="00850A02">
        <w:rPr>
          <w:lang w:val="en-US"/>
        </w:rPr>
        <w:t>ΔCt</w:t>
      </w:r>
      <w:proofErr w:type="spellEnd"/>
      <w:r w:rsidR="004937F0" w:rsidRPr="00850A02">
        <w:rPr>
          <w:lang w:val="en-US"/>
        </w:rPr>
        <w:t xml:space="preserve"> value of </w:t>
      </w:r>
      <w:r w:rsidR="001A454B" w:rsidRPr="00850A02">
        <w:rPr>
          <w:lang w:val="en-US"/>
        </w:rPr>
        <w:t xml:space="preserve">the </w:t>
      </w:r>
      <w:r w:rsidR="00892603" w:rsidRPr="00850A02">
        <w:rPr>
          <w:lang w:val="en-US"/>
        </w:rPr>
        <w:t>sample cultured conventionally</w:t>
      </w:r>
      <w:r w:rsidR="007232B2" w:rsidRPr="00850A02">
        <w:rPr>
          <w:lang w:val="en-US"/>
        </w:rPr>
        <w:t xml:space="preserve">, resulting in </w:t>
      </w:r>
      <w:proofErr w:type="spellStart"/>
      <w:r w:rsidR="007232B2" w:rsidRPr="00850A02">
        <w:rPr>
          <w:lang w:val="en-US"/>
        </w:rPr>
        <w:t>ΔΔCt</w:t>
      </w:r>
      <w:proofErr w:type="spellEnd"/>
      <w:r w:rsidR="004937F0" w:rsidRPr="00850A02">
        <w:rPr>
          <w:lang w:val="en-US"/>
        </w:rPr>
        <w:t>.</w:t>
      </w:r>
      <w:r w:rsidRPr="00850A02">
        <w:rPr>
          <w:lang w:val="en-US"/>
        </w:rPr>
        <w:t xml:space="preserve"> </w:t>
      </w:r>
    </w:p>
    <w:p w14:paraId="28D0E09E" w14:textId="2FD59191" w:rsidR="004A50CE" w:rsidRDefault="004A50CE" w:rsidP="007473CE">
      <w:pPr>
        <w:pStyle w:val="Odstavecseseznamem"/>
        <w:numPr>
          <w:ilvl w:val="0"/>
          <w:numId w:val="1"/>
        </w:numPr>
        <w:spacing w:line="360" w:lineRule="auto"/>
        <w:jc w:val="both"/>
        <w:rPr>
          <w:lang w:val="en-US"/>
        </w:rPr>
      </w:pPr>
      <w:r>
        <w:rPr>
          <w:lang w:val="en-US"/>
        </w:rPr>
        <w:t xml:space="preserve">Number and </w:t>
      </w:r>
      <w:r w:rsidRPr="009700E4">
        <w:rPr>
          <w:lang w:val="en-US"/>
        </w:rPr>
        <w:t>concordance</w:t>
      </w:r>
      <w:r>
        <w:rPr>
          <w:lang w:val="en-US"/>
        </w:rPr>
        <w:t xml:space="preserve"> of biological replicates (</w:t>
      </w:r>
      <w:r w:rsidR="007473CE">
        <w:rPr>
          <w:lang w:val="en-US"/>
        </w:rPr>
        <w:t>D):</w:t>
      </w:r>
    </w:p>
    <w:p w14:paraId="78824DF6" w14:textId="0A9822C0" w:rsidR="00075169" w:rsidRDefault="00075169" w:rsidP="00075169">
      <w:pPr>
        <w:pStyle w:val="Odstavecseseznamem"/>
        <w:numPr>
          <w:ilvl w:val="1"/>
          <w:numId w:val="1"/>
        </w:numPr>
        <w:spacing w:line="360" w:lineRule="auto"/>
        <w:jc w:val="both"/>
        <w:rPr>
          <w:lang w:val="en-US"/>
        </w:rPr>
      </w:pPr>
      <w:r>
        <w:rPr>
          <w:lang w:val="en-US"/>
        </w:rPr>
        <w:t>3 biological replicates</w:t>
      </w:r>
      <w:r w:rsidR="00D938B3">
        <w:rPr>
          <w:lang w:val="en-US"/>
        </w:rPr>
        <w:t xml:space="preserve">; their variability is </w:t>
      </w:r>
      <w:r w:rsidR="009B6A13">
        <w:rPr>
          <w:lang w:val="en-US"/>
        </w:rPr>
        <w:t>plotted</w:t>
      </w:r>
      <w:r w:rsidR="00631B0D">
        <w:rPr>
          <w:lang w:val="en-US"/>
        </w:rPr>
        <w:t xml:space="preserve"> in </w:t>
      </w:r>
      <w:r w:rsidR="00850A02">
        <w:rPr>
          <w:lang w:val="en-US"/>
        </w:rPr>
        <w:t>Supplemental</w:t>
      </w:r>
      <w:r w:rsidR="00016F58">
        <w:rPr>
          <w:lang w:val="en-US"/>
        </w:rPr>
        <w:t xml:space="preserve"> Figure S4.</w:t>
      </w:r>
    </w:p>
    <w:p w14:paraId="03304D72" w14:textId="5660B8D3" w:rsidR="007473CE" w:rsidRDefault="007473CE" w:rsidP="007473CE">
      <w:pPr>
        <w:pStyle w:val="Odstavecseseznamem"/>
        <w:numPr>
          <w:ilvl w:val="0"/>
          <w:numId w:val="1"/>
        </w:numPr>
        <w:spacing w:line="360" w:lineRule="auto"/>
        <w:jc w:val="both"/>
        <w:rPr>
          <w:lang w:val="en-US"/>
        </w:rPr>
      </w:pPr>
      <w:r>
        <w:rPr>
          <w:lang w:val="en-US"/>
        </w:rPr>
        <w:t>Number and stage (RT or qPCR) of technical replicates (D):</w:t>
      </w:r>
    </w:p>
    <w:p w14:paraId="6BE1A45E" w14:textId="6D127851" w:rsidR="00075169" w:rsidRDefault="00075169" w:rsidP="00131668">
      <w:pPr>
        <w:pStyle w:val="Odstavecseseznamem"/>
        <w:numPr>
          <w:ilvl w:val="1"/>
          <w:numId w:val="1"/>
        </w:numPr>
        <w:spacing w:line="360" w:lineRule="auto"/>
        <w:jc w:val="both"/>
        <w:rPr>
          <w:lang w:val="en-US"/>
        </w:rPr>
      </w:pPr>
      <w:r>
        <w:rPr>
          <w:lang w:val="en-US"/>
        </w:rPr>
        <w:t xml:space="preserve">3 </w:t>
      </w:r>
      <w:r w:rsidR="00B41E7A">
        <w:rPr>
          <w:lang w:val="en-US"/>
        </w:rPr>
        <w:t>technical</w:t>
      </w:r>
      <w:r>
        <w:rPr>
          <w:lang w:val="en-US"/>
        </w:rPr>
        <w:t xml:space="preserve"> replicates</w:t>
      </w:r>
      <w:r w:rsidR="00C52EAF">
        <w:rPr>
          <w:lang w:val="en-US"/>
        </w:rPr>
        <w:t xml:space="preserve"> </w:t>
      </w:r>
      <w:r w:rsidR="0064308F">
        <w:rPr>
          <w:lang w:val="en-US"/>
        </w:rPr>
        <w:t>for</w:t>
      </w:r>
      <w:r w:rsidR="00C52EAF">
        <w:rPr>
          <w:lang w:val="en-US"/>
        </w:rPr>
        <w:t xml:space="preserve"> one-step </w:t>
      </w:r>
      <w:r w:rsidR="00F00F44">
        <w:rPr>
          <w:lang w:val="en-US"/>
        </w:rPr>
        <w:t>RT-qPCR reaction</w:t>
      </w:r>
      <w:r w:rsidR="008343C8">
        <w:rPr>
          <w:lang w:val="en-US"/>
        </w:rPr>
        <w:t>.</w:t>
      </w:r>
      <w:r w:rsidR="00F00F44">
        <w:rPr>
          <w:lang w:val="en-US"/>
        </w:rPr>
        <w:t xml:space="preserve"> </w:t>
      </w:r>
    </w:p>
    <w:p w14:paraId="2DA51CDA" w14:textId="4120BF8C" w:rsidR="007473CE" w:rsidRPr="00131668" w:rsidRDefault="007473CE" w:rsidP="00131668">
      <w:pPr>
        <w:pStyle w:val="Odstavecseseznamem"/>
        <w:numPr>
          <w:ilvl w:val="0"/>
          <w:numId w:val="1"/>
        </w:numPr>
        <w:spacing w:line="360" w:lineRule="auto"/>
        <w:rPr>
          <w:lang w:val="en-US"/>
        </w:rPr>
      </w:pPr>
      <w:r w:rsidRPr="00131668">
        <w:rPr>
          <w:lang w:val="en-US"/>
        </w:rPr>
        <w:t>Repe</w:t>
      </w:r>
      <w:r w:rsidR="00600B46" w:rsidRPr="00131668">
        <w:rPr>
          <w:lang w:val="en-US"/>
        </w:rPr>
        <w:t>a</w:t>
      </w:r>
      <w:r w:rsidRPr="00131668">
        <w:rPr>
          <w:lang w:val="en-US"/>
        </w:rPr>
        <w:t>tability (intra-assay variation) (E):</w:t>
      </w:r>
      <w:r w:rsidR="00131668" w:rsidRPr="00131668">
        <w:rPr>
          <w:lang w:val="en-US"/>
        </w:rPr>
        <w:t xml:space="preserve"> </w:t>
      </w:r>
      <w:r w:rsidR="00131668">
        <w:rPr>
          <w:lang w:val="en-US"/>
        </w:rPr>
        <w:t>S</w:t>
      </w:r>
      <w:r w:rsidR="00131668" w:rsidRPr="00131668">
        <w:rPr>
          <w:lang w:val="en-US"/>
        </w:rPr>
        <w:t xml:space="preserve">ee folder “Supplemental File 1/Raw data and export files” in the </w:t>
      </w:r>
      <w:proofErr w:type="spellStart"/>
      <w:r w:rsidR="00131668" w:rsidRPr="00131668">
        <w:rPr>
          <w:lang w:val="en-US"/>
        </w:rPr>
        <w:t>Zenodo</w:t>
      </w:r>
      <w:proofErr w:type="spellEnd"/>
      <w:r w:rsidR="00131668" w:rsidRPr="00131668">
        <w:rPr>
          <w:lang w:val="en-US"/>
        </w:rPr>
        <w:t xml:space="preserve"> file </w:t>
      </w:r>
      <w:r w:rsidR="003752FC" w:rsidRPr="00E8009A">
        <w:rPr>
          <w:lang w:val="en-US"/>
        </w:rPr>
        <w:t>10.5281/zenodo.11609920</w:t>
      </w:r>
      <w:r w:rsidR="003752FC">
        <w:rPr>
          <w:lang w:val="en-US"/>
        </w:rPr>
        <w:t>.</w:t>
      </w:r>
    </w:p>
    <w:p w14:paraId="54822983" w14:textId="2DFE268C" w:rsidR="00600B46" w:rsidRDefault="00600B46" w:rsidP="00131668">
      <w:pPr>
        <w:pStyle w:val="Odstavecseseznamem"/>
        <w:numPr>
          <w:ilvl w:val="0"/>
          <w:numId w:val="1"/>
        </w:numPr>
        <w:spacing w:line="360" w:lineRule="auto"/>
        <w:jc w:val="both"/>
        <w:rPr>
          <w:lang w:val="en-US"/>
        </w:rPr>
      </w:pPr>
      <w:r>
        <w:rPr>
          <w:lang w:val="en-US"/>
        </w:rPr>
        <w:t>Statistical methods for result significance (E): See the full article (Materials and methods - Statistical analysis)</w:t>
      </w:r>
      <w:r w:rsidR="00790616">
        <w:rPr>
          <w:lang w:val="en-US"/>
        </w:rPr>
        <w:t xml:space="preserve">. </w:t>
      </w:r>
      <w:r w:rsidR="00FA1AAB">
        <w:rPr>
          <w:lang w:val="en-US"/>
        </w:rPr>
        <w:t>S</w:t>
      </w:r>
      <w:r w:rsidR="00FA1AAB" w:rsidRPr="00FA1AAB">
        <w:rPr>
          <w:lang w:val="en-US"/>
        </w:rPr>
        <w:t xml:space="preserve">tatistical analysis was performed using the </w:t>
      </w:r>
      <w:proofErr w:type="spellStart"/>
      <w:r w:rsidR="00FA1AAB" w:rsidRPr="00FA1AAB">
        <w:rPr>
          <w:lang w:val="en-US"/>
        </w:rPr>
        <w:t>limma</w:t>
      </w:r>
      <w:proofErr w:type="spellEnd"/>
      <w:r w:rsidR="00FA1AAB" w:rsidRPr="00FA1AAB">
        <w:rPr>
          <w:lang w:val="en-US"/>
        </w:rPr>
        <w:t xml:space="preserve"> method (linear models), which was primarily developed for evaluating differential expression across different sample groups. All parameters of the experiment (i.e.</w:t>
      </w:r>
      <w:r w:rsidR="00527EAF">
        <w:rPr>
          <w:lang w:val="en-US"/>
        </w:rPr>
        <w:t>,</w:t>
      </w:r>
      <w:r w:rsidR="00FA1AAB" w:rsidRPr="00FA1AAB">
        <w:rPr>
          <w:lang w:val="en-US"/>
        </w:rPr>
        <w:t xml:space="preserve"> </w:t>
      </w:r>
      <w:r w:rsidR="00527EAF">
        <w:rPr>
          <w:lang w:val="en-US"/>
        </w:rPr>
        <w:t>t</w:t>
      </w:r>
      <w:r w:rsidR="00FA1AAB" w:rsidRPr="00FA1AAB">
        <w:rPr>
          <w:lang w:val="en-US"/>
        </w:rPr>
        <w:t>ype</w:t>
      </w:r>
      <w:r w:rsidR="006858E6">
        <w:rPr>
          <w:lang w:val="en-US"/>
        </w:rPr>
        <w:t xml:space="preserve"> </w:t>
      </w:r>
      <w:r w:rsidR="00FA1AAB" w:rsidRPr="00FA1AAB">
        <w:rPr>
          <w:lang w:val="en-US"/>
        </w:rPr>
        <w:t>of</w:t>
      </w:r>
      <w:r w:rsidR="006858E6">
        <w:rPr>
          <w:lang w:val="en-US"/>
        </w:rPr>
        <w:t xml:space="preserve"> </w:t>
      </w:r>
      <w:r w:rsidR="00FA1AAB" w:rsidRPr="00FA1AAB">
        <w:rPr>
          <w:lang w:val="en-US"/>
        </w:rPr>
        <w:t>culture, IGHV</w:t>
      </w:r>
      <w:r w:rsidR="00E40FAC">
        <w:rPr>
          <w:lang w:val="en-US"/>
        </w:rPr>
        <w:t xml:space="preserve"> </w:t>
      </w:r>
      <w:r w:rsidR="00FA1AAB" w:rsidRPr="00FA1AAB">
        <w:rPr>
          <w:lang w:val="en-US"/>
        </w:rPr>
        <w:t>status,</w:t>
      </w:r>
      <w:r w:rsidR="00FA1AAB" w:rsidRPr="000B732B">
        <w:rPr>
          <w:i/>
          <w:iCs/>
          <w:lang w:val="en-US"/>
        </w:rPr>
        <w:t xml:space="preserve"> TP53</w:t>
      </w:r>
      <w:r w:rsidR="00E40FAC">
        <w:rPr>
          <w:lang w:val="en-US"/>
        </w:rPr>
        <w:t xml:space="preserve"> </w:t>
      </w:r>
      <w:r w:rsidR="000B732B">
        <w:rPr>
          <w:lang w:val="en-US"/>
        </w:rPr>
        <w:t xml:space="preserve">mutational </w:t>
      </w:r>
      <w:r w:rsidR="00FA1AAB" w:rsidRPr="00FA1AAB">
        <w:rPr>
          <w:lang w:val="en-US"/>
        </w:rPr>
        <w:t xml:space="preserve">status, </w:t>
      </w:r>
      <w:r w:rsidR="00FA1AAB" w:rsidRPr="000B732B">
        <w:rPr>
          <w:i/>
          <w:iCs/>
          <w:lang w:val="en-US"/>
        </w:rPr>
        <w:t>NOTCH</w:t>
      </w:r>
      <w:r w:rsidR="006858E6">
        <w:rPr>
          <w:i/>
          <w:iCs/>
          <w:lang w:val="en-US"/>
        </w:rPr>
        <w:t>1</w:t>
      </w:r>
      <w:r w:rsidR="00E40FAC">
        <w:rPr>
          <w:lang w:val="en-US"/>
        </w:rPr>
        <w:t xml:space="preserve"> </w:t>
      </w:r>
      <w:r w:rsidR="000B732B">
        <w:rPr>
          <w:lang w:val="en-US"/>
        </w:rPr>
        <w:t xml:space="preserve">mutational </w:t>
      </w:r>
      <w:r w:rsidR="00FA1AAB" w:rsidRPr="00FA1AAB">
        <w:rPr>
          <w:lang w:val="en-US"/>
        </w:rPr>
        <w:t>status, patient</w:t>
      </w:r>
      <w:r w:rsidR="00E40FAC">
        <w:rPr>
          <w:lang w:val="en-US"/>
        </w:rPr>
        <w:t xml:space="preserve"> </w:t>
      </w:r>
      <w:r w:rsidR="00FA1AAB" w:rsidRPr="00FA1AAB">
        <w:rPr>
          <w:lang w:val="en-US"/>
        </w:rPr>
        <w:t>ID) were inserted into the design matrix of the used linear model, and then statistically significant differences between individual groups were tested.</w:t>
      </w:r>
    </w:p>
    <w:p w14:paraId="69E6334A" w14:textId="7FBB70E0" w:rsidR="007328CE" w:rsidRPr="002E32BC" w:rsidRDefault="00600B46" w:rsidP="000934B3">
      <w:pPr>
        <w:pStyle w:val="Odstavecseseznamem"/>
        <w:numPr>
          <w:ilvl w:val="0"/>
          <w:numId w:val="1"/>
        </w:numPr>
        <w:spacing w:line="360" w:lineRule="auto"/>
        <w:jc w:val="both"/>
        <w:rPr>
          <w:lang w:val="en-US"/>
        </w:rPr>
      </w:pPr>
      <w:r w:rsidRPr="00796899">
        <w:rPr>
          <w:lang w:val="en-US"/>
        </w:rPr>
        <w:t xml:space="preserve">Software (source, version) (E): </w:t>
      </w:r>
      <w:r w:rsidR="002705FB" w:rsidRPr="00796899">
        <w:rPr>
          <w:lang w:val="en-US"/>
        </w:rPr>
        <w:t>R, version 4.1.1.</w:t>
      </w:r>
      <w:r w:rsidR="00796899" w:rsidRPr="00796899">
        <w:rPr>
          <w:lang w:val="en-US"/>
        </w:rPr>
        <w:t xml:space="preserve"> R Core Team (2021). R: A language and environment for statistical computing. R Foundation for Statistical Computing, Vienna, Austria. URL https://www.R-project.org/</w:t>
      </w:r>
      <w:r w:rsidR="002E32BC">
        <w:rPr>
          <w:lang w:val="en-US"/>
        </w:rPr>
        <w:t>.</w:t>
      </w:r>
    </w:p>
    <w:sectPr w:rsidR="007328CE" w:rsidRPr="002E32BC" w:rsidSect="00CC1017">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908D8"/>
    <w:multiLevelType w:val="hybridMultilevel"/>
    <w:tmpl w:val="450C2958"/>
    <w:lvl w:ilvl="0" w:tplc="3A4A7D3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5196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17"/>
    <w:rsid w:val="000041A2"/>
    <w:rsid w:val="00004C84"/>
    <w:rsid w:val="00004EB7"/>
    <w:rsid w:val="000105ED"/>
    <w:rsid w:val="00015D87"/>
    <w:rsid w:val="00016F58"/>
    <w:rsid w:val="000243E0"/>
    <w:rsid w:val="000252AC"/>
    <w:rsid w:val="000325C9"/>
    <w:rsid w:val="00036C04"/>
    <w:rsid w:val="00050937"/>
    <w:rsid w:val="00052CC2"/>
    <w:rsid w:val="00053FA4"/>
    <w:rsid w:val="00056145"/>
    <w:rsid w:val="00061AEC"/>
    <w:rsid w:val="00065FBA"/>
    <w:rsid w:val="00071773"/>
    <w:rsid w:val="00075044"/>
    <w:rsid w:val="00075169"/>
    <w:rsid w:val="00080520"/>
    <w:rsid w:val="00086AC5"/>
    <w:rsid w:val="000934B3"/>
    <w:rsid w:val="000A4F39"/>
    <w:rsid w:val="000A554D"/>
    <w:rsid w:val="000A7141"/>
    <w:rsid w:val="000B732B"/>
    <w:rsid w:val="000C0AC6"/>
    <w:rsid w:val="000D04A0"/>
    <w:rsid w:val="000D16C0"/>
    <w:rsid w:val="000D2C2F"/>
    <w:rsid w:val="000D2FFF"/>
    <w:rsid w:val="000F212E"/>
    <w:rsid w:val="0010021A"/>
    <w:rsid w:val="001034CF"/>
    <w:rsid w:val="00106168"/>
    <w:rsid w:val="00112C38"/>
    <w:rsid w:val="00113CB2"/>
    <w:rsid w:val="00115E7D"/>
    <w:rsid w:val="001203DB"/>
    <w:rsid w:val="001228F3"/>
    <w:rsid w:val="00130C35"/>
    <w:rsid w:val="00131668"/>
    <w:rsid w:val="001600E8"/>
    <w:rsid w:val="001671FD"/>
    <w:rsid w:val="0018478B"/>
    <w:rsid w:val="00185D12"/>
    <w:rsid w:val="00187CE1"/>
    <w:rsid w:val="001A2545"/>
    <w:rsid w:val="001A454B"/>
    <w:rsid w:val="001A6D80"/>
    <w:rsid w:val="001B42A6"/>
    <w:rsid w:val="001B45E5"/>
    <w:rsid w:val="001C3384"/>
    <w:rsid w:val="001C4A53"/>
    <w:rsid w:val="001C7AF4"/>
    <w:rsid w:val="001D1205"/>
    <w:rsid w:val="001D3B87"/>
    <w:rsid w:val="001D6240"/>
    <w:rsid w:val="001E7A26"/>
    <w:rsid w:val="001F313C"/>
    <w:rsid w:val="001F418B"/>
    <w:rsid w:val="001F469A"/>
    <w:rsid w:val="00204498"/>
    <w:rsid w:val="00214B96"/>
    <w:rsid w:val="00227748"/>
    <w:rsid w:val="00242E43"/>
    <w:rsid w:val="00251F14"/>
    <w:rsid w:val="0025676A"/>
    <w:rsid w:val="00265A81"/>
    <w:rsid w:val="002705FB"/>
    <w:rsid w:val="00290413"/>
    <w:rsid w:val="00291050"/>
    <w:rsid w:val="00291152"/>
    <w:rsid w:val="002A3F03"/>
    <w:rsid w:val="002A599B"/>
    <w:rsid w:val="002A62D7"/>
    <w:rsid w:val="002A6828"/>
    <w:rsid w:val="002B11C1"/>
    <w:rsid w:val="002E32BC"/>
    <w:rsid w:val="002F5D18"/>
    <w:rsid w:val="002F7408"/>
    <w:rsid w:val="002F77D1"/>
    <w:rsid w:val="003047A2"/>
    <w:rsid w:val="0031013C"/>
    <w:rsid w:val="0032690C"/>
    <w:rsid w:val="00333416"/>
    <w:rsid w:val="00344442"/>
    <w:rsid w:val="003474D4"/>
    <w:rsid w:val="00347A64"/>
    <w:rsid w:val="003739B2"/>
    <w:rsid w:val="003752FC"/>
    <w:rsid w:val="0037652B"/>
    <w:rsid w:val="00381763"/>
    <w:rsid w:val="00383709"/>
    <w:rsid w:val="003B4D6D"/>
    <w:rsid w:val="003B57B9"/>
    <w:rsid w:val="003B6356"/>
    <w:rsid w:val="003C3D55"/>
    <w:rsid w:val="003D00E9"/>
    <w:rsid w:val="003D1010"/>
    <w:rsid w:val="003D4877"/>
    <w:rsid w:val="003D65A7"/>
    <w:rsid w:val="003E35FA"/>
    <w:rsid w:val="00414287"/>
    <w:rsid w:val="00417130"/>
    <w:rsid w:val="00424D67"/>
    <w:rsid w:val="00425714"/>
    <w:rsid w:val="00430B68"/>
    <w:rsid w:val="0043139A"/>
    <w:rsid w:val="004346B9"/>
    <w:rsid w:val="0045100B"/>
    <w:rsid w:val="00452615"/>
    <w:rsid w:val="004937F0"/>
    <w:rsid w:val="004A45FA"/>
    <w:rsid w:val="004A50CE"/>
    <w:rsid w:val="004D054E"/>
    <w:rsid w:val="004D7767"/>
    <w:rsid w:val="004E4E2E"/>
    <w:rsid w:val="00514772"/>
    <w:rsid w:val="00520884"/>
    <w:rsid w:val="00527EAF"/>
    <w:rsid w:val="00533D99"/>
    <w:rsid w:val="00535B7C"/>
    <w:rsid w:val="00542584"/>
    <w:rsid w:val="00560796"/>
    <w:rsid w:val="00565BB5"/>
    <w:rsid w:val="005865DE"/>
    <w:rsid w:val="00586F04"/>
    <w:rsid w:val="00593DAB"/>
    <w:rsid w:val="005B077D"/>
    <w:rsid w:val="005B11CE"/>
    <w:rsid w:val="005E62F9"/>
    <w:rsid w:val="005F22C5"/>
    <w:rsid w:val="00600B46"/>
    <w:rsid w:val="00605DDF"/>
    <w:rsid w:val="006153CC"/>
    <w:rsid w:val="00625EBC"/>
    <w:rsid w:val="00631B0D"/>
    <w:rsid w:val="00635BBB"/>
    <w:rsid w:val="00637D8C"/>
    <w:rsid w:val="0064308F"/>
    <w:rsid w:val="00646F80"/>
    <w:rsid w:val="00650AE1"/>
    <w:rsid w:val="00654D6A"/>
    <w:rsid w:val="006858E6"/>
    <w:rsid w:val="00692BB0"/>
    <w:rsid w:val="006A298A"/>
    <w:rsid w:val="006B5814"/>
    <w:rsid w:val="006B7039"/>
    <w:rsid w:val="006B7E1A"/>
    <w:rsid w:val="006C3FB2"/>
    <w:rsid w:val="006E3CF8"/>
    <w:rsid w:val="006E6C3D"/>
    <w:rsid w:val="006F4457"/>
    <w:rsid w:val="007043B6"/>
    <w:rsid w:val="007130DB"/>
    <w:rsid w:val="007156A1"/>
    <w:rsid w:val="00721D51"/>
    <w:rsid w:val="007232B2"/>
    <w:rsid w:val="007328CE"/>
    <w:rsid w:val="0073512E"/>
    <w:rsid w:val="0073756F"/>
    <w:rsid w:val="00742EBC"/>
    <w:rsid w:val="00746B04"/>
    <w:rsid w:val="00747119"/>
    <w:rsid w:val="007473CE"/>
    <w:rsid w:val="00752440"/>
    <w:rsid w:val="00764D43"/>
    <w:rsid w:val="00771003"/>
    <w:rsid w:val="0079023F"/>
    <w:rsid w:val="00790616"/>
    <w:rsid w:val="00796899"/>
    <w:rsid w:val="007972E5"/>
    <w:rsid w:val="007A5269"/>
    <w:rsid w:val="007B0415"/>
    <w:rsid w:val="007B2A3C"/>
    <w:rsid w:val="007C0146"/>
    <w:rsid w:val="007C30F8"/>
    <w:rsid w:val="007C5A3D"/>
    <w:rsid w:val="007F64F4"/>
    <w:rsid w:val="007F654E"/>
    <w:rsid w:val="0080621E"/>
    <w:rsid w:val="00807D96"/>
    <w:rsid w:val="00824B72"/>
    <w:rsid w:val="008343C8"/>
    <w:rsid w:val="00845ADE"/>
    <w:rsid w:val="00850A02"/>
    <w:rsid w:val="00853A9D"/>
    <w:rsid w:val="00855063"/>
    <w:rsid w:val="008606AD"/>
    <w:rsid w:val="00875428"/>
    <w:rsid w:val="00891FAB"/>
    <w:rsid w:val="00892603"/>
    <w:rsid w:val="0089707B"/>
    <w:rsid w:val="008B0D88"/>
    <w:rsid w:val="008C2FA4"/>
    <w:rsid w:val="008C773F"/>
    <w:rsid w:val="008D060E"/>
    <w:rsid w:val="008D3439"/>
    <w:rsid w:val="00905822"/>
    <w:rsid w:val="00906A94"/>
    <w:rsid w:val="00906E23"/>
    <w:rsid w:val="00910694"/>
    <w:rsid w:val="00912DAC"/>
    <w:rsid w:val="00914F61"/>
    <w:rsid w:val="00916A5E"/>
    <w:rsid w:val="00936163"/>
    <w:rsid w:val="00943AB2"/>
    <w:rsid w:val="009521B8"/>
    <w:rsid w:val="0095280F"/>
    <w:rsid w:val="009566D6"/>
    <w:rsid w:val="00962EE9"/>
    <w:rsid w:val="009700E4"/>
    <w:rsid w:val="00970F86"/>
    <w:rsid w:val="009720DC"/>
    <w:rsid w:val="0098017C"/>
    <w:rsid w:val="009846F5"/>
    <w:rsid w:val="00990440"/>
    <w:rsid w:val="009A01B9"/>
    <w:rsid w:val="009B5924"/>
    <w:rsid w:val="009B6A13"/>
    <w:rsid w:val="009B791F"/>
    <w:rsid w:val="009B7BA5"/>
    <w:rsid w:val="009C29D9"/>
    <w:rsid w:val="009D0E87"/>
    <w:rsid w:val="009E2DAD"/>
    <w:rsid w:val="009F0FB8"/>
    <w:rsid w:val="009F69CD"/>
    <w:rsid w:val="009F72B0"/>
    <w:rsid w:val="009F776F"/>
    <w:rsid w:val="00A10F68"/>
    <w:rsid w:val="00A126F1"/>
    <w:rsid w:val="00A20A8B"/>
    <w:rsid w:val="00A228EA"/>
    <w:rsid w:val="00A25368"/>
    <w:rsid w:val="00A27A5B"/>
    <w:rsid w:val="00A30038"/>
    <w:rsid w:val="00A30DE1"/>
    <w:rsid w:val="00A3170C"/>
    <w:rsid w:val="00A35E57"/>
    <w:rsid w:val="00A44349"/>
    <w:rsid w:val="00A61BE7"/>
    <w:rsid w:val="00A622DE"/>
    <w:rsid w:val="00A707DC"/>
    <w:rsid w:val="00A91283"/>
    <w:rsid w:val="00A95966"/>
    <w:rsid w:val="00AB24BA"/>
    <w:rsid w:val="00AB4D30"/>
    <w:rsid w:val="00AC71A3"/>
    <w:rsid w:val="00AE3FED"/>
    <w:rsid w:val="00AE7BB6"/>
    <w:rsid w:val="00AF4F09"/>
    <w:rsid w:val="00B13A2A"/>
    <w:rsid w:val="00B25288"/>
    <w:rsid w:val="00B41E7A"/>
    <w:rsid w:val="00B43FAE"/>
    <w:rsid w:val="00B465E6"/>
    <w:rsid w:val="00B549EB"/>
    <w:rsid w:val="00B55E2B"/>
    <w:rsid w:val="00B61697"/>
    <w:rsid w:val="00B65523"/>
    <w:rsid w:val="00B65A5B"/>
    <w:rsid w:val="00B67D01"/>
    <w:rsid w:val="00B93EB9"/>
    <w:rsid w:val="00BA62A6"/>
    <w:rsid w:val="00BB210E"/>
    <w:rsid w:val="00BB26EA"/>
    <w:rsid w:val="00BC53F4"/>
    <w:rsid w:val="00BD0B46"/>
    <w:rsid w:val="00BE0E45"/>
    <w:rsid w:val="00BE71B8"/>
    <w:rsid w:val="00BE7754"/>
    <w:rsid w:val="00BF4C36"/>
    <w:rsid w:val="00BF7397"/>
    <w:rsid w:val="00C05DB4"/>
    <w:rsid w:val="00C13890"/>
    <w:rsid w:val="00C14B34"/>
    <w:rsid w:val="00C31DCF"/>
    <w:rsid w:val="00C34D59"/>
    <w:rsid w:val="00C418E5"/>
    <w:rsid w:val="00C42ABB"/>
    <w:rsid w:val="00C47051"/>
    <w:rsid w:val="00C52EAF"/>
    <w:rsid w:val="00C66215"/>
    <w:rsid w:val="00C81F10"/>
    <w:rsid w:val="00C92F49"/>
    <w:rsid w:val="00CA140A"/>
    <w:rsid w:val="00CA5EC3"/>
    <w:rsid w:val="00CA77F5"/>
    <w:rsid w:val="00CB0CF7"/>
    <w:rsid w:val="00CC0C07"/>
    <w:rsid w:val="00CC1017"/>
    <w:rsid w:val="00CC364D"/>
    <w:rsid w:val="00CC69D7"/>
    <w:rsid w:val="00CC749A"/>
    <w:rsid w:val="00CE7C1F"/>
    <w:rsid w:val="00CF017C"/>
    <w:rsid w:val="00CF2D9D"/>
    <w:rsid w:val="00D10AAA"/>
    <w:rsid w:val="00D11BC0"/>
    <w:rsid w:val="00D17E47"/>
    <w:rsid w:val="00D23844"/>
    <w:rsid w:val="00D27138"/>
    <w:rsid w:val="00D346FD"/>
    <w:rsid w:val="00D42747"/>
    <w:rsid w:val="00D441DD"/>
    <w:rsid w:val="00D64281"/>
    <w:rsid w:val="00D75556"/>
    <w:rsid w:val="00D816AD"/>
    <w:rsid w:val="00D81B86"/>
    <w:rsid w:val="00D86728"/>
    <w:rsid w:val="00D938B3"/>
    <w:rsid w:val="00DA134E"/>
    <w:rsid w:val="00DA7B08"/>
    <w:rsid w:val="00DC3B68"/>
    <w:rsid w:val="00DC6A0C"/>
    <w:rsid w:val="00DC6C4B"/>
    <w:rsid w:val="00DD3EEF"/>
    <w:rsid w:val="00DE21F7"/>
    <w:rsid w:val="00DE3602"/>
    <w:rsid w:val="00DE7479"/>
    <w:rsid w:val="00DF31A8"/>
    <w:rsid w:val="00DF3227"/>
    <w:rsid w:val="00E17E3F"/>
    <w:rsid w:val="00E22BEE"/>
    <w:rsid w:val="00E27BF0"/>
    <w:rsid w:val="00E40FAC"/>
    <w:rsid w:val="00E45C76"/>
    <w:rsid w:val="00E4674E"/>
    <w:rsid w:val="00E7347C"/>
    <w:rsid w:val="00E8009A"/>
    <w:rsid w:val="00E86702"/>
    <w:rsid w:val="00E9046F"/>
    <w:rsid w:val="00EA0C7B"/>
    <w:rsid w:val="00EA6D9B"/>
    <w:rsid w:val="00EB0670"/>
    <w:rsid w:val="00EB1B3C"/>
    <w:rsid w:val="00EB3F4C"/>
    <w:rsid w:val="00EC0BD4"/>
    <w:rsid w:val="00EC4DEB"/>
    <w:rsid w:val="00ED2E27"/>
    <w:rsid w:val="00ED41AE"/>
    <w:rsid w:val="00ED47A6"/>
    <w:rsid w:val="00ED7486"/>
    <w:rsid w:val="00EE3756"/>
    <w:rsid w:val="00EF72A1"/>
    <w:rsid w:val="00F00F44"/>
    <w:rsid w:val="00F02795"/>
    <w:rsid w:val="00F03791"/>
    <w:rsid w:val="00F05D5E"/>
    <w:rsid w:val="00F32670"/>
    <w:rsid w:val="00F36650"/>
    <w:rsid w:val="00F654DF"/>
    <w:rsid w:val="00F74A03"/>
    <w:rsid w:val="00F831D5"/>
    <w:rsid w:val="00F948DE"/>
    <w:rsid w:val="00F97B4A"/>
    <w:rsid w:val="00FA1AAB"/>
    <w:rsid w:val="00FA2968"/>
    <w:rsid w:val="00FA3EEE"/>
    <w:rsid w:val="00FB13EA"/>
    <w:rsid w:val="00FC4557"/>
    <w:rsid w:val="00FD3A99"/>
    <w:rsid w:val="00FE0E2A"/>
    <w:rsid w:val="00FF312E"/>
    <w:rsid w:val="00FF3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50DB"/>
  <w15:chartTrackingRefBased/>
  <w15:docId w15:val="{4223E2B9-B5EC-4C7B-8987-FA07E34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B4A"/>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C10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C1017"/>
    <w:rPr>
      <w:sz w:val="16"/>
      <w:szCs w:val="16"/>
    </w:rPr>
  </w:style>
  <w:style w:type="paragraph" w:styleId="Textkomente">
    <w:name w:val="annotation text"/>
    <w:basedOn w:val="Normln"/>
    <w:link w:val="TextkomenteChar"/>
    <w:uiPriority w:val="99"/>
    <w:unhideWhenUsed/>
    <w:rsid w:val="00CC1017"/>
    <w:pPr>
      <w:spacing w:line="240" w:lineRule="auto"/>
    </w:pPr>
    <w:rPr>
      <w:sz w:val="20"/>
      <w:szCs w:val="20"/>
    </w:rPr>
  </w:style>
  <w:style w:type="character" w:customStyle="1" w:styleId="TextkomenteChar">
    <w:name w:val="Text komentáře Char"/>
    <w:basedOn w:val="Standardnpsmoodstavce"/>
    <w:link w:val="Textkomente"/>
    <w:uiPriority w:val="99"/>
    <w:rsid w:val="00CC1017"/>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CC1017"/>
    <w:rPr>
      <w:b/>
      <w:bCs/>
    </w:rPr>
  </w:style>
  <w:style w:type="character" w:customStyle="1" w:styleId="PedmtkomenteChar">
    <w:name w:val="Předmět komentáře Char"/>
    <w:basedOn w:val="TextkomenteChar"/>
    <w:link w:val="Pedmtkomente"/>
    <w:uiPriority w:val="99"/>
    <w:semiHidden/>
    <w:rsid w:val="00CC1017"/>
    <w:rPr>
      <w:rFonts w:ascii="Times New Roman" w:hAnsi="Times New Roman"/>
      <w:b/>
      <w:bCs/>
      <w:kern w:val="0"/>
      <w:sz w:val="20"/>
      <w:szCs w:val="20"/>
      <w14:ligatures w14:val="none"/>
    </w:rPr>
  </w:style>
  <w:style w:type="paragraph" w:styleId="Odstavecseseznamem">
    <w:name w:val="List Paragraph"/>
    <w:basedOn w:val="Normln"/>
    <w:uiPriority w:val="34"/>
    <w:qFormat/>
    <w:rsid w:val="004D054E"/>
    <w:pPr>
      <w:ind w:left="720"/>
      <w:contextualSpacing/>
    </w:pPr>
  </w:style>
  <w:style w:type="character" w:styleId="Hypertextovodkaz">
    <w:name w:val="Hyperlink"/>
    <w:basedOn w:val="Standardnpsmoodstavce"/>
    <w:uiPriority w:val="99"/>
    <w:unhideWhenUsed/>
    <w:rsid w:val="00B465E6"/>
    <w:rPr>
      <w:color w:val="0563C1" w:themeColor="hyperlink"/>
      <w:u w:val="single"/>
    </w:rPr>
  </w:style>
  <w:style w:type="character" w:styleId="Nevyeenzmnka">
    <w:name w:val="Unresolved Mention"/>
    <w:basedOn w:val="Standardnpsmoodstavce"/>
    <w:uiPriority w:val="99"/>
    <w:semiHidden/>
    <w:unhideWhenUsed/>
    <w:rsid w:val="00B465E6"/>
    <w:rPr>
      <w:color w:val="605E5C"/>
      <w:shd w:val="clear" w:color="auto" w:fill="E1DFDD"/>
    </w:rPr>
  </w:style>
  <w:style w:type="character" w:styleId="Sledovanodkaz">
    <w:name w:val="FollowedHyperlink"/>
    <w:basedOn w:val="Standardnpsmoodstavce"/>
    <w:uiPriority w:val="99"/>
    <w:semiHidden/>
    <w:unhideWhenUsed/>
    <w:rsid w:val="00796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1945</TotalTime>
  <Pages>8</Pages>
  <Words>2401</Words>
  <Characters>14172</Characters>
  <Application>Microsoft Office Word</Application>
  <DocSecurity>0</DocSecurity>
  <Lines>118</Lines>
  <Paragraphs>33</Paragraphs>
  <ScaleCrop>false</ScaleCrop>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Svozilová</dc:creator>
  <cp:keywords/>
  <dc:description/>
  <cp:lastModifiedBy>Hana Svozilová</cp:lastModifiedBy>
  <cp:revision>350</cp:revision>
  <dcterms:created xsi:type="dcterms:W3CDTF">2023-09-21T12:04:00Z</dcterms:created>
  <dcterms:modified xsi:type="dcterms:W3CDTF">2024-06-12T09:55:00Z</dcterms:modified>
</cp:coreProperties>
</file>