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CF99" w14:textId="77777777" w:rsidR="002A3AC6" w:rsidRPr="002A3AC6" w:rsidRDefault="00B8278E" w:rsidP="002A3AC6">
      <w:pPr>
        <w:rPr>
          <w:bCs/>
          <w:lang w:val="en-US"/>
        </w:rPr>
      </w:pPr>
      <w:r w:rsidRPr="00FB00E6">
        <w:rPr>
          <w:bCs/>
          <w:lang w:val="en-US"/>
        </w:rPr>
        <w:t>Equations</w:t>
      </w:r>
      <w:r>
        <w:rPr>
          <w:bCs/>
          <w:lang w:val="en-US"/>
        </w:rPr>
        <w:t xml:space="preserve"> S1</w:t>
      </w:r>
      <w:r w:rsidR="002A3AC6" w:rsidRPr="002A3AC6">
        <w:rPr>
          <w:bCs/>
          <w:lang w:val="en-US"/>
        </w:rPr>
        <w:t>. Full specification of models and justification of their priors</w:t>
      </w:r>
    </w:p>
    <w:p w14:paraId="75EAFCE4" w14:textId="77777777" w:rsidR="002A3AC6" w:rsidRPr="002A3AC6" w:rsidRDefault="002A3AC6" w:rsidP="002A3AC6">
      <w:pPr>
        <w:rPr>
          <w:b/>
          <w:bCs/>
          <w:lang w:val="en-US"/>
        </w:rPr>
      </w:pPr>
      <w:r w:rsidRPr="002A3AC6">
        <w:rPr>
          <w:b/>
          <w:bCs/>
          <w:lang w:val="en-US"/>
        </w:rPr>
        <w:t>Population dynamics model:</w:t>
      </w:r>
      <w:bookmarkStart w:id="0" w:name="_GoBack"/>
      <w:bookmarkEnd w:id="0"/>
    </w:p>
    <w:p w14:paraId="52F4AEA3" w14:textId="77777777" w:rsidR="002A3AC6" w:rsidRPr="002A3AC6" w:rsidRDefault="00F30334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∼BetaBinomial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ϕ</m:t>
              </m:r>
            </m:e>
          </m:d>
        </m:oMath>
      </m:oMathPara>
    </w:p>
    <w:p w14:paraId="0FDC8E24" w14:textId="77777777" w:rsidR="002A3AC6" w:rsidRPr="002A3AC6" w:rsidRDefault="002A3AC6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logit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t,j,k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val="en-US"/>
            </w:rPr>
            <m:t>=g+h</m:t>
          </m:r>
          <m:sSubSup>
            <m:sSubSup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t,j,k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w</m:t>
              </m:r>
            </m:sup>
          </m:sSubSup>
        </m:oMath>
      </m:oMathPara>
    </w:p>
    <w:p w14:paraId="1B45B646" w14:textId="77777777" w:rsidR="002A3AC6" w:rsidRPr="002A3AC6" w:rsidRDefault="00F30334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∼Poisson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sub>
              </m:sSub>
            </m:e>
          </m:d>
        </m:oMath>
      </m:oMathPara>
    </w:p>
    <w:p w14:paraId="5C6E61F0" w14:textId="22A37509" w:rsidR="002A3AC6" w:rsidRPr="002A3AC6" w:rsidRDefault="00F30334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+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γ</m:t>
          </m:r>
        </m:oMath>
      </m:oMathPara>
    </w:p>
    <w:p w14:paraId="11B00B1C" w14:textId="77777777" w:rsidR="002A3AC6" w:rsidRPr="002A3AC6" w:rsidRDefault="00F30334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α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m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δ</m:t>
                      </m:r>
                    </m:sup>
                  </m:sSup>
                </m:e>
              </m:d>
            </m:den>
          </m:f>
        </m:oMath>
      </m:oMathPara>
    </w:p>
    <w:p w14:paraId="29A6D943" w14:textId="77777777" w:rsidR="002A3AC6" w:rsidRPr="002A3AC6" w:rsidRDefault="00F30334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κ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∼Normal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κ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κ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bSup>
            </m:e>
          </m:d>
        </m:oMath>
      </m:oMathPara>
    </w:p>
    <w:p w14:paraId="00E999A3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ϕ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∼Normal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100, 100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T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0,</m:t>
              </m:r>
            </m:e>
          </m:d>
        </m:oMath>
      </m:oMathPara>
    </w:p>
    <w:p w14:paraId="1CB7C1D5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g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∼Normal(-10, 4)</m:t>
          </m:r>
        </m:oMath>
      </m:oMathPara>
    </w:p>
    <w:p w14:paraId="5093C406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∼Normal(0.5, 0.01)</m:t>
          </m:r>
        </m:oMath>
      </m:oMathPara>
    </w:p>
    <w:p w14:paraId="4FD3EFA3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γ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∼Exponential(0.5)</m:t>
          </m:r>
        </m:oMath>
      </m:oMathPara>
    </w:p>
    <w:p w14:paraId="109D0D18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α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∼Normal(0.3, 0.01)</m:t>
          </m:r>
        </m:oMath>
      </m:oMathPara>
    </w:p>
    <w:p w14:paraId="740C1321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∼Normal(0, 1)</m:t>
          </m:r>
        </m:oMath>
      </m:oMathPara>
    </w:p>
    <w:p w14:paraId="0E46C8C9" w14:textId="77777777" w:rsidR="002A3AC6" w:rsidRPr="002A3AC6" w:rsidRDefault="00F30334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~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Exponential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(1)</m:t>
          </m:r>
        </m:oMath>
      </m:oMathPara>
    </w:p>
    <w:p w14:paraId="4C917ACB" w14:textId="77777777" w:rsidR="002A3AC6" w:rsidRPr="002A3AC6" w:rsidRDefault="00F30334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~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Exponential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(3)</m:t>
          </m:r>
        </m:oMath>
      </m:oMathPara>
    </w:p>
    <w:p w14:paraId="0420AB4C" w14:textId="77777777" w:rsidR="002A3AC6" w:rsidRPr="002A3AC6" w:rsidRDefault="002A3AC6" w:rsidP="002A3A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4582526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ϕ</m:t>
        </m:r>
      </m:oMath>
      <w:r w:rsidRPr="002A3AC6">
        <w:rPr>
          <w:rFonts w:ascii="Times New Roman" w:hAnsi="Times New Roman" w:cs="Times New Roman"/>
          <w:sz w:val="20"/>
          <w:szCs w:val="20"/>
          <w:lang w:val="en-US"/>
        </w:rPr>
        <w:t>: The higher the value of this dispersion parameter, the lower the ov</w:t>
      </w:r>
      <w:proofErr w:type="spellStart"/>
      <w:r w:rsidRPr="002A3AC6">
        <w:rPr>
          <w:rFonts w:ascii="Times New Roman" w:hAnsi="Times New Roman" w:cs="Times New Roman"/>
          <w:sz w:val="20"/>
          <w:szCs w:val="20"/>
          <w:lang w:val="en-US"/>
        </w:rPr>
        <w:t>erdispersion</w:t>
      </w:r>
      <w:proofErr w:type="spellEnd"/>
      <w:r w:rsidRPr="002A3AC6">
        <w:rPr>
          <w:rFonts w:ascii="Times New Roman" w:hAnsi="Times New Roman" w:cs="Times New Roman"/>
          <w:sz w:val="20"/>
          <w:szCs w:val="20"/>
          <w:lang w:val="en-US"/>
        </w:rPr>
        <w:t xml:space="preserve"> with respect to a binomial distribution. We opted for a prior with high mean to ensure that the model considered </w:t>
      </w:r>
      <w:proofErr w:type="spellStart"/>
      <w:r w:rsidRPr="002A3AC6">
        <w:rPr>
          <w:rFonts w:ascii="Times New Roman" w:hAnsi="Times New Roman" w:cs="Times New Roman"/>
          <w:sz w:val="20"/>
          <w:szCs w:val="20"/>
          <w:lang w:val="en-US"/>
        </w:rPr>
        <w:t>overdispersion</w:t>
      </w:r>
      <w:proofErr w:type="spellEnd"/>
      <w:r w:rsidRPr="002A3AC6">
        <w:rPr>
          <w:rFonts w:ascii="Times New Roman" w:hAnsi="Times New Roman" w:cs="Times New Roman"/>
          <w:sz w:val="20"/>
          <w:szCs w:val="20"/>
          <w:lang w:val="en-US"/>
        </w:rPr>
        <w:t xml:space="preserve"> only if data suggested it strongly enough.</w:t>
      </w:r>
    </w:p>
    <w:p w14:paraId="749618E4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g</m:t>
        </m:r>
      </m:oMath>
      <w:r w:rsidRPr="002A3AC6">
        <w:rPr>
          <w:rFonts w:ascii="Times New Roman" w:hAnsi="Times New Roman" w:cs="Times New Roman"/>
          <w:sz w:val="20"/>
          <w:szCs w:val="20"/>
          <w:lang w:val="en-US"/>
        </w:rPr>
        <w:t>: This prior was rather informative since the model could have more di</w:t>
      </w:r>
      <w:proofErr w:type="spellStart"/>
      <w:r w:rsidRPr="002A3AC6">
        <w:rPr>
          <w:rFonts w:ascii="Times New Roman" w:hAnsi="Times New Roman" w:cs="Times New Roman"/>
          <w:sz w:val="20"/>
          <w:szCs w:val="20"/>
          <w:lang w:val="en-US"/>
        </w:rPr>
        <w:t>fficulty</w:t>
      </w:r>
      <w:proofErr w:type="spellEnd"/>
      <w:r w:rsidRPr="002A3AC6">
        <w:rPr>
          <w:rFonts w:ascii="Times New Roman" w:hAnsi="Times New Roman" w:cs="Times New Roman"/>
          <w:sz w:val="20"/>
          <w:szCs w:val="20"/>
          <w:lang w:val="en-US"/>
        </w:rPr>
        <w:t xml:space="preserve"> to successfully converge if the estimation of the observation probability (and, thus, of the latent variable) was too nonrestrictive. Based on previous field observations and reports (Claxton et al., 1999; </w:t>
      </w:r>
      <w:proofErr w:type="spellStart"/>
      <w:r w:rsidRPr="002A3AC6">
        <w:rPr>
          <w:rFonts w:ascii="Times New Roman" w:hAnsi="Times New Roman" w:cs="Times New Roman"/>
          <w:sz w:val="20"/>
          <w:szCs w:val="20"/>
          <w:lang w:val="en-US"/>
        </w:rPr>
        <w:t>Kleiman</w:t>
      </w:r>
      <w:proofErr w:type="spellEnd"/>
      <w:r w:rsidRPr="002A3AC6">
        <w:rPr>
          <w:rFonts w:ascii="Times New Roman" w:hAnsi="Times New Roman" w:cs="Times New Roman"/>
          <w:sz w:val="20"/>
          <w:szCs w:val="20"/>
          <w:lang w:val="en-US"/>
        </w:rPr>
        <w:t xml:space="preserve"> et al., 2007; </w:t>
      </w:r>
      <w:proofErr w:type="spellStart"/>
      <w:r w:rsidRPr="002A3AC6">
        <w:rPr>
          <w:rFonts w:ascii="Times New Roman" w:hAnsi="Times New Roman" w:cs="Times New Roman"/>
          <w:sz w:val="20"/>
          <w:szCs w:val="20"/>
          <w:lang w:val="en-US"/>
        </w:rPr>
        <w:t>Bargues</w:t>
      </w:r>
      <w:proofErr w:type="spellEnd"/>
      <w:r w:rsidRPr="002A3AC6">
        <w:rPr>
          <w:rFonts w:ascii="Times New Roman" w:hAnsi="Times New Roman" w:cs="Times New Roman"/>
          <w:sz w:val="20"/>
          <w:szCs w:val="20"/>
          <w:lang w:val="en-US"/>
        </w:rPr>
        <w:t xml:space="preserve"> et al., 2021), we considered that temperatures below 10 °C would strongly hinder finding snails.</w:t>
      </w:r>
    </w:p>
    <w:p w14:paraId="3D45C6DC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h</m:t>
        </m:r>
      </m:oMath>
      <w:r w:rsidRPr="002A3AC6">
        <w:rPr>
          <w:rFonts w:ascii="Times New Roman" w:hAnsi="Times New Roman" w:cs="Times New Roman"/>
          <w:sz w:val="20"/>
          <w:szCs w:val="20"/>
          <w:lang w:val="en-US"/>
        </w:rPr>
        <w:t>: Based on previous field observations of ours and reports (Ollerenshaw, 1959; Bargues et al., 2021), we considered that temperature would have a positive effect on detection probability, but we allowed enough variability.</w:t>
      </w:r>
    </w:p>
    <w:p w14:paraId="38EAAC48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γ</m:t>
        </m:r>
      </m:oMath>
      <w:r w:rsidRPr="002A3AC6">
        <w:rPr>
          <w:rFonts w:ascii="Times New Roman" w:hAnsi="Times New Roman" w:cs="Times New Roman"/>
          <w:sz w:val="20"/>
          <w:szCs w:val="20"/>
          <w:lang w:val="en-US"/>
        </w:rPr>
        <w:t>: A non-negative prior that allowed enough variability.</w:t>
      </w:r>
    </w:p>
    <w:p w14:paraId="1DE00F24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α</m:t>
        </m:r>
      </m:oMath>
      <w:r w:rsidRPr="002A3AC6">
        <w:rPr>
          <w:rFonts w:ascii="Times New Roman" w:hAnsi="Times New Roman" w:cs="Times New Roman"/>
          <w:sz w:val="20"/>
          <w:szCs w:val="20"/>
          <w:lang w:val="en-US"/>
        </w:rPr>
        <w:t>: We expected the effect of temperature to be positive on the population growth rate (Ollerenshaw, 1959; Bargues et al., 2021). Thus, we chose a prior with a mean &gt;0, allowing considerable variation.</w:t>
      </w:r>
    </w:p>
    <w:p w14:paraId="37B18868" w14:textId="77777777" w:rsidR="002A3AC6" w:rsidRPr="002A3AC6" w:rsidRDefault="002A3AC6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δ</m:t>
        </m:r>
      </m:oMath>
      <w:r w:rsidRPr="002A3AC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: </w:t>
      </w:r>
      <w:r w:rsidRPr="002A3AC6">
        <w:rPr>
          <w:rFonts w:ascii="Times New Roman" w:hAnsi="Times New Roman" w:cs="Times New Roman"/>
          <w:sz w:val="20"/>
          <w:szCs w:val="20"/>
          <w:lang w:val="en-US"/>
        </w:rPr>
        <w:t>We chose this weakly informative prior to allow the logistic function to be flexible enough to fit the data.</w:t>
      </w:r>
    </w:p>
    <w:p w14:paraId="30CADDB1" w14:textId="77777777" w:rsidR="002A3AC6" w:rsidRPr="002A3AC6" w:rsidRDefault="00F30334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μ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κ</m:t>
            </m:r>
          </m:sub>
        </m:sSub>
      </m:oMath>
      <w:r w:rsidR="002A3AC6" w:rsidRPr="002A3AC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: </w:t>
      </w:r>
      <w:r w:rsidR="002A3AC6" w:rsidRPr="002A3AC6">
        <w:rPr>
          <w:rFonts w:ascii="Times New Roman" w:hAnsi="Times New Roman" w:cs="Times New Roman"/>
          <w:sz w:val="20"/>
          <w:szCs w:val="20"/>
          <w:lang w:val="en-US"/>
        </w:rPr>
        <w:t>A non-negative prior that allowed enough variability around unity value (i.e., invariant population size).</w:t>
      </w:r>
    </w:p>
    <w:p w14:paraId="71A795F5" w14:textId="77777777" w:rsidR="002A3AC6" w:rsidRPr="002A3AC6" w:rsidRDefault="00F30334" w:rsidP="002A3AC6">
      <w:pPr>
        <w:rPr>
          <w:rFonts w:ascii="Times New Roman" w:hAnsi="Times New Roman" w:cs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κ</m:t>
            </m:r>
          </m:sub>
        </m:sSub>
      </m:oMath>
      <w:r w:rsidR="002A3AC6" w:rsidRPr="002A3AC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: </w:t>
      </w:r>
      <w:r w:rsidR="002A3AC6" w:rsidRPr="002A3AC6">
        <w:rPr>
          <w:rFonts w:ascii="Times New Roman" w:hAnsi="Times New Roman" w:cs="Times New Roman"/>
          <w:sz w:val="20"/>
          <w:szCs w:val="20"/>
          <w:lang w:val="en-US"/>
        </w:rPr>
        <w:t>A non-negative prior that allowed enough variability.</w:t>
      </w:r>
    </w:p>
    <w:p w14:paraId="4530BCDB" w14:textId="77777777" w:rsidR="00525FDC" w:rsidRPr="002A3AC6" w:rsidRDefault="00525FDC">
      <w:pPr>
        <w:rPr>
          <w:lang w:val="en-US"/>
        </w:rPr>
      </w:pPr>
    </w:p>
    <w:sectPr w:rsidR="00525FDC" w:rsidRPr="002A3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C6"/>
    <w:rsid w:val="0025730F"/>
    <w:rsid w:val="002A3AC6"/>
    <w:rsid w:val="00525FDC"/>
    <w:rsid w:val="00773C2F"/>
    <w:rsid w:val="00B8278E"/>
    <w:rsid w:val="00F30334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8568F"/>
  <w15:chartTrackingRefBased/>
  <w15:docId w15:val="{1813C2B6-3FA9-4406-BA3B-55247D8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B0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2024-10-16T00:42:00Z</dcterms:created>
  <dcterms:modified xsi:type="dcterms:W3CDTF">2024-10-16T00:42:00Z</dcterms:modified>
</cp:coreProperties>
</file>