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3603E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Arial" w:hAnsi="Arial" w:cs="Arial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upplementary </w:t>
      </w:r>
      <w:r>
        <w:rPr>
          <w:rFonts w:hint="eastAsia" w:ascii="Arial" w:hAnsi="Arial" w:cs="Arial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Arial" w:hAnsi="Arial" w:cs="Arial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aterial</w:t>
      </w:r>
    </w:p>
    <w:p w14:paraId="0C9FF229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F19B4E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83D1F7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8329AB2">
      <w:pP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Risk of bias graph and summary</w:t>
      </w:r>
    </w:p>
    <w:p w14:paraId="48659CC5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Consistency test results of clinical remission rates of different Treatments</w:t>
      </w:r>
    </w:p>
    <w:p w14:paraId="7D3C0003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Cumulative Ranks and Surface Under the Cumulative Rank Curve (SUCRA) for clinical remission rates</w:t>
      </w:r>
    </w:p>
    <w:p w14:paraId="01D97A1D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comparative forest plot for clinical remission rates</w:t>
      </w:r>
    </w:p>
    <w:p w14:paraId="0F2E6A4D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Consistency test results of tolerance of different Treatments</w:t>
      </w:r>
    </w:p>
    <w:p w14:paraId="02B0D58F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Cumulative Ranks and SUCRA for</w:t>
      </w:r>
      <w:r>
        <w:rPr>
          <w:rFonts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tolerance</w:t>
      </w:r>
    </w:p>
    <w:p w14:paraId="54FD814D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comparative forest plot for tolerance</w:t>
      </w:r>
    </w:p>
    <w:p w14:paraId="1C564337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Cumulative Ranks and  SUCRA</w:t>
      </w:r>
      <w:r>
        <w:rPr>
          <w:rFonts w:hint="eastAsia"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for</w:t>
      </w:r>
      <w:r>
        <w:rPr>
          <w:rFonts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c-reactive protein</w:t>
      </w:r>
    </w:p>
    <w:p w14:paraId="345D501A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comparative forest plot for c-reactive protein</w:t>
      </w:r>
    </w:p>
    <w:p w14:paraId="7AD6B4FB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Cumulative Ranks and SUCRA for</w:t>
      </w:r>
      <w:r>
        <w:rPr>
          <w:rFonts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albumin</w:t>
      </w:r>
    </w:p>
    <w:p w14:paraId="19EA0296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comparative forest plot for albumin</w:t>
      </w:r>
    </w:p>
    <w:p w14:paraId="417202A5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eFigure 1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Comparison-adjusted funnel plots </w:t>
      </w:r>
    </w:p>
    <w:p w14:paraId="4DDC38BA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eFigure 1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Cumulative Ranks and SUCRA for</w:t>
      </w:r>
      <w:r>
        <w:rPr>
          <w:rFonts w:hint="eastAsia"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fecal calprotectin</w:t>
      </w:r>
    </w:p>
    <w:p w14:paraId="147907AC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eFigure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1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The comparative forest plot for </w:t>
      </w:r>
      <w:r>
        <w:rPr>
          <w:rFonts w:hint="eastAsia"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fecal calprotectin</w:t>
      </w:r>
    </w:p>
    <w:p w14:paraId="02280BA2">
      <w:pPr>
        <w:widowControl/>
        <w:jc w:val="left"/>
        <w:rPr>
          <w:rFonts w:ascii="Arial" w:hAnsi="Arial" w:cs="Arial" w:eastAsiaTheme="minorHAnsi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 w14:paraId="5552F787">
      <w:pPr>
        <w:widowControl/>
        <w:jc w:val="left"/>
        <w:rPr>
          <w:rFonts w:ascii="Arial" w:hAnsi="Arial" w:cs="Arial" w:eastAsiaTheme="minorHAnsi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 w14:paraId="6AEEE04B">
      <w:pPr>
        <w:widowControl/>
        <w:jc w:val="left"/>
        <w:rPr>
          <w:rFonts w:ascii="Arial" w:hAnsi="Arial" w:cs="Arial" w:eastAsiaTheme="minorHAnsi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 w14:paraId="691F7D74">
      <w:pPr>
        <w:widowControl/>
        <w:jc w:val="left"/>
        <w:rPr>
          <w:rFonts w:ascii="Arial" w:hAnsi="Arial" w:cs="Arial" w:eastAsiaTheme="minorHAnsi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 w14:paraId="781CADAB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F3F73DA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04C606A">
      <w:pPr>
        <w:autoSpaceDE w:val="0"/>
        <w:autoSpaceDN w:val="0"/>
        <w:adjustRightInd w:val="0"/>
        <w:jc w:val="left"/>
        <w:rPr>
          <w:rFonts w:ascii="Arial" w:hAnsi="Arial" w:eastAsia="等线" w:cs="Arial"/>
          <w:b/>
          <w:bCs/>
          <w:color w:val="000000" w:themeColor="text1"/>
          <w:kern w:val="0"/>
          <w:sz w:val="18"/>
          <w:szCs w:val="18"/>
          <w:lang w:val="en-CA" w:eastAsia="en-CA"/>
          <w14:textFill>
            <w14:solidFill>
              <w14:schemeClr w14:val="tx1"/>
            </w14:solidFill>
          </w14:textFill>
        </w:rPr>
      </w:pPr>
    </w:p>
    <w:p w14:paraId="4D1BA3D7">
      <w:pPr>
        <w:widowControl/>
        <w:jc w:val="left"/>
        <w:rPr>
          <w:rFonts w:ascii="Arial" w:hAnsi="Arial" w:eastAsia="等线" w:cs="Arial"/>
          <w:b/>
          <w:bCs/>
          <w:color w:val="000000" w:themeColor="text1"/>
          <w:kern w:val="0"/>
          <w:sz w:val="18"/>
          <w:szCs w:val="18"/>
          <w:lang w:val="en-CA" w:eastAsia="en-CA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等线" w:cs="Arial"/>
          <w:b/>
          <w:bCs/>
          <w:color w:val="000000" w:themeColor="text1"/>
          <w:kern w:val="0"/>
          <w:sz w:val="18"/>
          <w:szCs w:val="18"/>
          <w:lang w:val="en-CA" w:eastAsia="en-CA"/>
          <w14:textFill>
            <w14:solidFill>
              <w14:schemeClr w14:val="tx1"/>
            </w14:solidFill>
          </w14:textFill>
        </w:rPr>
        <w:br w:type="page"/>
      </w:r>
    </w:p>
    <w:p w14:paraId="2C2D320B">
      <w:pP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Risk of Bias Summary for All Included Studies</w:t>
      </w:r>
    </w:p>
    <w:p w14:paraId="5CE5AC62">
      <w:pP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06625" cy="4361815"/>
            <wp:effectExtent l="0" t="0" r="3175" b="635"/>
            <wp:docPr id="346805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0527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8623" cy="436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0404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E8DF42E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6DD63C1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Consistency test results of clinical remission rates of different Treatments</w:t>
      </w:r>
    </w:p>
    <w:p w14:paraId="76488AD3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104640" cy="2585085"/>
            <wp:effectExtent l="0" t="0" r="0" b="5715"/>
            <wp:docPr id="1804288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88069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6170" cy="25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A4D5">
      <w:pPr>
        <w:rPr>
          <w:rFonts w:hint="eastAsia"/>
          <w:snapToGrid w:val="0"/>
          <w:color w:val="000000" w:themeColor="text1"/>
          <w:w w:val="0"/>
          <w:sz w:val="16"/>
          <w:szCs w:val="16"/>
          <w:u w:color="000000"/>
          <w:shd w:val="clear" w:color="000000" w:fill="000000"/>
          <w:lang w:bidi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B: exclusive enteral nutrition; C: Infliximab; D:</w:t>
      </w:r>
      <w:r>
        <w:rPr>
          <w:rFonts w:hint="eastAsia" w:ascii="Arial" w:hAnsi="Arial" w:cs="Arial" w:eastAsiaTheme="minorHAnsi"/>
          <w:b/>
          <w:bCs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partial enteral nutrition.</w:t>
      </w:r>
    </w:p>
    <w:p w14:paraId="787A53AC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7E8D497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the cumulative ranking area for clinical remission rates.</w:t>
      </w:r>
    </w:p>
    <w:p w14:paraId="0A3055F0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77005" cy="2784475"/>
            <wp:effectExtent l="0" t="0" r="4445" b="6350"/>
            <wp:docPr id="5" name="图片 5" descr="remission-SU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emission-SUCR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8AB0">
      <w:pPr>
        <w:jc w:val="left"/>
        <w:rPr>
          <w:rFonts w:hint="eastAsia" w:ascii="宋体" w:hAnsi="宋体" w:eastAsia="宋体" w:cs="宋体"/>
          <w:color w:val="000000" w:themeColor="text1"/>
          <w:kern w:val="0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EEN: exclusive enteral nutrition; CS: Corticosteroids; IFX: Infliximab; PEN: partial enteral nutrition; AID-CD: anti-inflammatory diet for Crohn’s disease; CDED: Crohn’s disease exclusion diet.</w:t>
      </w:r>
    </w:p>
    <w:p w14:paraId="4E9E6C1C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EA656D9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E5E9328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D403495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32E03CF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754E136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E509341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42E1F1F">
      <w:pPr>
        <w:widowControl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86CC16E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comparative forest plot for clinical remission</w:t>
      </w:r>
      <w:r>
        <w:rPr>
          <w:rFonts w:hint="eastAsia"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rates</w:t>
      </w:r>
    </w:p>
    <w:p w14:paraId="4F455248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oftHyphen/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oftHyphen/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oftHyphen/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oftHyphen/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oftHyphen/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softHyphen/>
      </w:r>
      <w:r>
        <w:rPr>
          <w:rFonts w:ascii="Times New Roman" w:hAnsi="Times New Roman" w:eastAsia="Times New Roman" w:cs="Times New Roman"/>
          <w:snapToGrid w:val="0"/>
          <w:color w:val="000000" w:themeColor="text1"/>
          <w:w w:val="0"/>
          <w:kern w:val="0"/>
          <w:sz w:val="0"/>
          <w:szCs w:val="0"/>
          <w:u w:color="000000"/>
          <w:shd w:val="clear" w:color="000000" w:fill="000000"/>
          <w:lang w:bidi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72865" cy="2752725"/>
            <wp:effectExtent l="0" t="0" r="3810" b="0"/>
            <wp:docPr id="6" name="图片 6" descr="remission-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remission-fores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26C46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CS: corticosteroids; EEN: exclusive enteral nutrition; IFX: Infliximab; PEN: partial enteral nutrition; AID-CD: anti-inflammatory diet for Crohn’s disease; CDED: Crohn’s disease exclusion diet</w:t>
      </w:r>
      <w:r>
        <w:rPr>
          <w:rFonts w:hint="eastAsia"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.</w:t>
      </w:r>
    </w:p>
    <w:p w14:paraId="0DB08449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47CFA99A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04AA64EC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7EE5B66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eFigure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5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Consistency test results of tolerance of different Treatments</w:t>
      </w:r>
    </w:p>
    <w:p w14:paraId="2E350B3B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572000" cy="2882900"/>
            <wp:effectExtent l="0" t="0" r="0" b="3175"/>
            <wp:docPr id="19718446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44652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080" cy="28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B298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B: exclusive enteral nutrition; C: Infliximab; D:</w:t>
      </w:r>
      <w:r>
        <w:rPr>
          <w:rFonts w:ascii="Arial" w:hAnsi="Arial" w:cs="Arial" w:eastAsiaTheme="minorHAnsi"/>
          <w:b/>
          <w:bCs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partial enteral nutrition.</w:t>
      </w:r>
    </w:p>
    <w:p w14:paraId="505C5B17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021F7473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0BC31342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55C67649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39B4BEE7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660C8027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089D4904">
      <w:pPr>
        <w:jc w:val="left"/>
        <w:rPr>
          <w:rFonts w:ascii="Arial" w:hAnsi="Arial" w:cs="Arial"/>
          <w:snapToGrid w:val="0"/>
          <w:color w:val="000000" w:themeColor="text1"/>
          <w:w w:val="0"/>
          <w:sz w:val="16"/>
          <w:szCs w:val="16"/>
          <w:u w:color="000000"/>
          <w:shd w:val="clear" w:color="000000" w:fill="000000"/>
          <w:lang w:bidi="zh-CN"/>
          <w14:textFill>
            <w14:solidFill>
              <w14:schemeClr w14:val="tx1"/>
            </w14:solidFill>
          </w14:textFill>
        </w:rPr>
      </w:pPr>
    </w:p>
    <w:p w14:paraId="1506C0B3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Cumulative Ranks and Surface Under the Cumulative Rank Curve (SUCRA) for</w:t>
      </w:r>
      <w:r>
        <w:rPr>
          <w:rFonts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tolerance</w:t>
      </w:r>
      <w:r>
        <w:rPr>
          <w:rFonts w:hint="eastAsia"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81220" cy="3405505"/>
            <wp:effectExtent l="0" t="0" r="5080" b="4445"/>
            <wp:docPr id="3" name="图片 3" descr="SUCRA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CRA ne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46E1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EEN: exclusive enteral nutrition; CS: Corticosteroids; IFX: Infliximab; PEN: partial enteral nutrition; AID-CD: anti-inflammatory diet for Crohn’s disease; CDED: Crohn’s disease exclusion diet.</w:t>
      </w:r>
    </w:p>
    <w:p w14:paraId="147AF3E4">
      <w:pPr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BEB369D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comparative forest plot for tolerance</w:t>
      </w:r>
    </w:p>
    <w:p w14:paraId="199AF523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710" cy="2797810"/>
            <wp:effectExtent l="0" t="0" r="8890" b="2540"/>
            <wp:docPr id="8" name="图片 8" descr="耐受性-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耐受性-fores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F9DB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CS: corticosteroids; EEN: exclusive enteral nutrition; IFX: Infliximab; PEN: partial enteral nutrition; AID-CD: anti-inflammatory diet for Crohn’s disease; CDED: Crohn’s disease exclusion diet.</w:t>
      </w:r>
    </w:p>
    <w:p w14:paraId="681044F6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53327B9D">
      <w:pPr>
        <w:tabs>
          <w:tab w:val="left" w:pos="6254"/>
        </w:tabs>
        <w:jc w:val="left"/>
        <w:rPr>
          <w:rFonts w:ascii="Arial" w:hAnsi="Arial" w:cs="Arial" w:eastAsiaTheme="minorHAns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 w:eastAsiaTheme="minorHAns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ab/>
      </w:r>
    </w:p>
    <w:p w14:paraId="52BD259A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Cumulative Ranks and Surface Under the Cumulative Rank Curve (SUCRA) for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c-reactive protein</w:t>
      </w:r>
    </w:p>
    <w:p w14:paraId="3D58708B">
      <w:pPr>
        <w:jc w:val="left"/>
        <w:rPr>
          <w:rFonts w:ascii="Arial" w:hAnsi="Arial" w:cs="Arial" w:eastAsiaTheme="minorHAns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722495" cy="3435985"/>
            <wp:effectExtent l="0" t="0" r="0" b="0"/>
            <wp:docPr id="7415773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77394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7737" cy="34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2580C">
      <w:pPr>
        <w:jc w:val="left"/>
        <w:rPr>
          <w:rFonts w:hint="eastAsia"/>
          <w:snapToGrid w:val="0"/>
          <w:color w:val="000000" w:themeColor="text1"/>
          <w:w w:val="0"/>
          <w:sz w:val="16"/>
          <w:szCs w:val="16"/>
          <w:u w:color="000000"/>
          <w:shd w:val="clear" w:color="000000" w:fill="000000"/>
          <w:lang w:bidi="zh-CN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EEN: exclusive enteral nutrition; CS: Corticosteroids; PEN: partial enteral nutrition; AID-CD: anti-inflammatory diet for Crohn’s disease; CDED: Crohn’s disease exclusion diet.</w:t>
      </w:r>
    </w:p>
    <w:p w14:paraId="7A5865C6">
      <w:pPr>
        <w:jc w:val="left"/>
        <w:rPr>
          <w:rFonts w:ascii="Arial" w:hAnsi="Arial" w:cs="Arial" w:eastAsiaTheme="minorHAnsi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 w14:paraId="2C455D95">
      <w:pPr>
        <w:widowControl/>
        <w:jc w:val="left"/>
        <w:rPr>
          <w:rFonts w:ascii="Arial" w:hAnsi="Arial" w:eastAsia="宋体" w:cs="Arial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comparative forest plot for c-reactive protein</w:t>
      </w:r>
    </w:p>
    <w:p w14:paraId="7C23F252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517390" cy="3390265"/>
            <wp:effectExtent l="0" t="0" r="0" b="0"/>
            <wp:docPr id="18205192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19207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9577" cy="339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21CA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CS: corticosteroids; EEN: exclusive enteral nutrition; PEN: partial enteral nutrition; AID-CD: anti-inflammatory diet for Crohn’s disease; CDED: Crohn’s disease exclusion diet.</w:t>
      </w:r>
    </w:p>
    <w:p w14:paraId="4160E85F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3DBF61DF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Cumulative Ranks and Surface Under the Cumulative Rank Curve (SUCRA) for</w:t>
      </w:r>
      <w:r>
        <w:rPr>
          <w:rFonts w:ascii="Arial" w:hAnsi="Arial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albumin</w:t>
      </w:r>
    </w:p>
    <w:p w14:paraId="721A8E49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719320" cy="3432175"/>
            <wp:effectExtent l="0" t="0" r="0" b="0"/>
            <wp:docPr id="2956993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99300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714" cy="343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8465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EEN: exclusive enteral nutrition; CS: Corticosteroids; IFX: Infliximab; PEN: partial enteral nutrition; AID-CD: anti-inflammatory diet for Crohn’s disease.</w:t>
      </w:r>
    </w:p>
    <w:p w14:paraId="23D11CE4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284E1698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eFigure 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The comparative forest plot for albumin</w:t>
      </w:r>
    </w:p>
    <w:p w14:paraId="56C58ECC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592320" cy="3293110"/>
            <wp:effectExtent l="0" t="0" r="0" b="0"/>
            <wp:docPr id="18316636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63643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005" cy="32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102F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CS: corticosteroids; EEN: exclusive enteral nutrition; IFX: Infliximab; PEN: partial enteral nutrition; AID-CD: anti-inflammatory diet for Crohn’s disease.</w:t>
      </w:r>
    </w:p>
    <w:p w14:paraId="5AEDC060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6DFA12E4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2DB3A3E0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eFigure 1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Comparison-adjusted funnel plots </w:t>
      </w:r>
    </w:p>
    <w:p w14:paraId="5FA28358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2033905"/>
            <wp:effectExtent l="0" t="0" r="3810" b="4445"/>
            <wp:docPr id="9" name="图片 9" descr="漏斗图合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漏斗图合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softHyphen/>
      </w: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softHyphen/>
      </w:r>
    </w:p>
    <w:p w14:paraId="78959EEE">
      <w:pPr>
        <w:ind w:left="360"/>
        <w:jc w:val="left"/>
        <w:rPr>
          <w:rFonts w:ascii="Arial" w:hAnsi="Arial" w:eastAsia="宋体" w:cs="Arial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(A) Comparison-adjusted funnel plots of clinical remission. (B) Comparison-adjusted funnel plots of</w:t>
      </w:r>
      <w:r>
        <w:rPr>
          <w:rFonts w:ascii="Arial" w:hAnsi="Arial" w:cs="Arial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albumin.</w:t>
      </w:r>
      <w:r>
        <w:rPr>
          <w:rFonts w:ascii="Arial" w:hAnsi="Arial" w:eastAsia="宋体" w:cs="Arial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EEN: exclusive enteral nutrition; CS: Corticosteroids; IFX: Infliximab; PEN: partial enteral nutrition; AID-CD: anti-inflammatory diet for Crohn’s disease; CDED: Crohn’s disease exclusion diet.</w:t>
      </w:r>
    </w:p>
    <w:p w14:paraId="1EFF1A1B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3B994B36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02E72273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7821425B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2EFBA030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063D170D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70A9F761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43844424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4436F551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0B6DEEE8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37302E4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3E4298AE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BE8195D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3221C992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553EB623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61DE3D39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25DF8BC0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0C0108A3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EB51E6C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255CDA78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76360123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0D689DD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173975D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A82877B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C94321B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7C530707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84193DA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26D1D2DC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eFigure 1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Cumulative Ranks and SUCRA for</w:t>
      </w:r>
      <w:r>
        <w:rPr>
          <w:rFonts w:hint="eastAsia"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fecal calprotectin</w:t>
      </w:r>
    </w:p>
    <w:p w14:paraId="5A931265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83820</wp:posOffset>
            </wp:positionV>
            <wp:extent cx="5271135" cy="3834765"/>
            <wp:effectExtent l="0" t="0" r="5715" b="3810"/>
            <wp:wrapTopAndBottom/>
            <wp:docPr id="1" name="图片 1" descr="su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cr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EEN: exclusive enteral nutrition; CS: Corticosteroids; IFX: Infliximab; PEN: partial enteral nutrition; AID-CD: anti-inflammatory diet for Crohn’s disease; CDED: Crohn’s disease exclusion diet.</w:t>
      </w:r>
    </w:p>
    <w:p w14:paraId="573589AD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3BEF9BA6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7232F50F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27F044C6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478B3160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41F21AB9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7FF805CB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69032DBC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39FE8234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73D5D6DC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6DA0AB2F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47D40E41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2D33A7E9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31BD5662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47A7C50B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0A3F0FDD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30505519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4DD6252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0C11AD26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D2C379D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445E4D57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70C9CB22">
      <w:pPr>
        <w:widowControl/>
        <w:jc w:val="left"/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eFigure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1</w:t>
      </w:r>
      <w:r>
        <w:rPr>
          <w:rFonts w:hint="eastAsia" w:ascii="Arial" w:hAnsi="Arial" w:cs="Arial" w:eastAsiaTheme="minorHAnsi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Arial" w:hAnsi="Arial" w:cs="Arial" w:eastAsiaTheme="minorHAnsi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The comparative forest plot for </w:t>
      </w:r>
      <w:r>
        <w:rPr>
          <w:rFonts w:hint="eastAsia" w:ascii="Arial" w:hAnsi="Arial" w:cs="Arial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fecal calprotectin</w:t>
      </w:r>
    </w:p>
    <w:p w14:paraId="0882D0F7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3834765"/>
            <wp:effectExtent l="0" t="0" r="5715" b="3810"/>
            <wp:docPr id="2" name="图片 2" descr="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ores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3FB7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  <w:t>EEN: exclusive enteral nutrition; CS: Corticosteroids; IFX: Infliximab; PEN: partial enteral nutrition; AID-CD: anti-inflammatory diet for Crohn’s disease; CDED: Crohn’s disease exclusion diet.</w:t>
      </w:r>
    </w:p>
    <w:p w14:paraId="4E741ADC">
      <w:pPr>
        <w:widowControl/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5737396B">
      <w:pPr>
        <w:jc w:val="left"/>
        <w:rPr>
          <w:rFonts w:ascii="Arial" w:hAnsi="Arial" w:cs="Arial"/>
          <w:snapToGrid w:val="0"/>
          <w:color w:val="000000" w:themeColor="text1"/>
          <w:w w:val="0"/>
          <w:sz w:val="16"/>
          <w:szCs w:val="16"/>
          <w:u w:color="000000"/>
          <w:shd w:val="clear" w:color="000000" w:fill="000000"/>
          <w:lang w:bidi="zh-CN"/>
          <w14:textFill>
            <w14:solidFill>
              <w14:schemeClr w14:val="tx1"/>
            </w14:solidFill>
          </w14:textFill>
        </w:rPr>
      </w:pPr>
    </w:p>
    <w:p w14:paraId="7CA2B35B">
      <w:pPr>
        <w:jc w:val="left"/>
        <w:rPr>
          <w:rFonts w:ascii="Arial" w:hAnsi="Arial" w:cs="Arial"/>
          <w:snapToGrid w:val="0"/>
          <w:color w:val="000000" w:themeColor="text1"/>
          <w:w w:val="0"/>
          <w:sz w:val="16"/>
          <w:szCs w:val="16"/>
          <w:u w:color="000000"/>
          <w:shd w:val="clear" w:color="000000" w:fill="000000"/>
          <w:lang w:bidi="zh-CN"/>
          <w14:textFill>
            <w14:solidFill>
              <w14:schemeClr w14:val="tx1"/>
            </w14:solidFill>
          </w14:textFill>
        </w:rPr>
      </w:pPr>
    </w:p>
    <w:p w14:paraId="08C7A312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6DC7AA80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FE4DCD9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29F93D7C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59B890EB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189C5D2B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41AEED46">
      <w:pPr>
        <w:jc w:val="left"/>
        <w:rPr>
          <w:rFonts w:ascii="Arial" w:hAnsi="Arial" w:cs="Arial" w:eastAsiaTheme="minorHAnsi"/>
          <w:color w:val="000000" w:themeColor="text1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6ED1682D">
      <w:pPr>
        <w:widowControl/>
        <w:jc w:val="left"/>
        <w:rPr>
          <w:rFonts w:ascii="Arial" w:hAnsi="Arial" w:eastAsia="宋体" w:cs="Arial"/>
          <w:color w:val="000000" w:themeColor="text1"/>
          <w:kern w:val="0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729666B4">
      <w:pPr>
        <w:widowControl/>
        <w:jc w:val="left"/>
        <w:rPr>
          <w:rFonts w:ascii="Arial" w:hAnsi="Arial" w:eastAsia="宋体" w:cs="Arial"/>
          <w:color w:val="000000" w:themeColor="text1"/>
          <w:kern w:val="0"/>
          <w:sz w:val="16"/>
          <w:szCs w:val="16"/>
          <w14:textFill>
            <w14:solidFill>
              <w14:schemeClr w14:val="tx1"/>
            </w14:solidFill>
          </w14:textFill>
        </w:rPr>
      </w:pPr>
    </w:p>
    <w:p w14:paraId="0EEEF803">
      <w:pPr>
        <w:widowControl/>
        <w:jc w:val="left"/>
        <w:rPr>
          <w:rFonts w:ascii="Arial" w:hAnsi="Arial" w:eastAsia="宋体" w:cs="Arial"/>
          <w:color w:val="000000" w:themeColor="text1"/>
          <w:kern w:val="0"/>
          <w:sz w:val="16"/>
          <w:szCs w:val="16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RiZThkNTYzZTEwZDk1MWRjNTVhM2U0YWQ5ZDQwMzI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 Vancouver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83781"/>
    <w:rsid w:val="00000702"/>
    <w:rsid w:val="0003006D"/>
    <w:rsid w:val="00035C22"/>
    <w:rsid w:val="00043B08"/>
    <w:rsid w:val="00047BAD"/>
    <w:rsid w:val="000667B2"/>
    <w:rsid w:val="0007799B"/>
    <w:rsid w:val="000E68E3"/>
    <w:rsid w:val="00107C08"/>
    <w:rsid w:val="0013294D"/>
    <w:rsid w:val="00140672"/>
    <w:rsid w:val="00143C72"/>
    <w:rsid w:val="00152164"/>
    <w:rsid w:val="001554EF"/>
    <w:rsid w:val="00164F70"/>
    <w:rsid w:val="001661F1"/>
    <w:rsid w:val="001908A7"/>
    <w:rsid w:val="001A3E79"/>
    <w:rsid w:val="001A4C27"/>
    <w:rsid w:val="001B71D0"/>
    <w:rsid w:val="001C0F8C"/>
    <w:rsid w:val="001C1C4F"/>
    <w:rsid w:val="001C54A5"/>
    <w:rsid w:val="001D34DE"/>
    <w:rsid w:val="001F006D"/>
    <w:rsid w:val="001F7D27"/>
    <w:rsid w:val="00204CBB"/>
    <w:rsid w:val="00214F6E"/>
    <w:rsid w:val="0021634C"/>
    <w:rsid w:val="00222267"/>
    <w:rsid w:val="002230C8"/>
    <w:rsid w:val="00223A2C"/>
    <w:rsid w:val="0023226B"/>
    <w:rsid w:val="002651A2"/>
    <w:rsid w:val="00273825"/>
    <w:rsid w:val="00286B51"/>
    <w:rsid w:val="0029576B"/>
    <w:rsid w:val="002A61F2"/>
    <w:rsid w:val="002B1FD8"/>
    <w:rsid w:val="002C6568"/>
    <w:rsid w:val="002F420D"/>
    <w:rsid w:val="003009D4"/>
    <w:rsid w:val="00307C90"/>
    <w:rsid w:val="00330F1D"/>
    <w:rsid w:val="00334AC8"/>
    <w:rsid w:val="00380FF4"/>
    <w:rsid w:val="00381690"/>
    <w:rsid w:val="003B713C"/>
    <w:rsid w:val="003F4E39"/>
    <w:rsid w:val="004124D6"/>
    <w:rsid w:val="0041702F"/>
    <w:rsid w:val="004231B7"/>
    <w:rsid w:val="00434A54"/>
    <w:rsid w:val="00441436"/>
    <w:rsid w:val="00454FBF"/>
    <w:rsid w:val="00460E63"/>
    <w:rsid w:val="00481BBC"/>
    <w:rsid w:val="00487888"/>
    <w:rsid w:val="004A2CC1"/>
    <w:rsid w:val="004C377E"/>
    <w:rsid w:val="004E3E1D"/>
    <w:rsid w:val="004E4673"/>
    <w:rsid w:val="005328F4"/>
    <w:rsid w:val="00561A4B"/>
    <w:rsid w:val="00583781"/>
    <w:rsid w:val="005857D3"/>
    <w:rsid w:val="005910DF"/>
    <w:rsid w:val="005944AC"/>
    <w:rsid w:val="005A311B"/>
    <w:rsid w:val="005A5C09"/>
    <w:rsid w:val="005C0409"/>
    <w:rsid w:val="005D4D35"/>
    <w:rsid w:val="005E65F2"/>
    <w:rsid w:val="005F401A"/>
    <w:rsid w:val="005F70CA"/>
    <w:rsid w:val="00623235"/>
    <w:rsid w:val="0065337B"/>
    <w:rsid w:val="006558F5"/>
    <w:rsid w:val="00665CC5"/>
    <w:rsid w:val="006812D6"/>
    <w:rsid w:val="00686841"/>
    <w:rsid w:val="006A5C30"/>
    <w:rsid w:val="006B33F5"/>
    <w:rsid w:val="006B6A4F"/>
    <w:rsid w:val="006E0888"/>
    <w:rsid w:val="006F0DBC"/>
    <w:rsid w:val="007109D9"/>
    <w:rsid w:val="0071524D"/>
    <w:rsid w:val="007221F9"/>
    <w:rsid w:val="00723492"/>
    <w:rsid w:val="007402F6"/>
    <w:rsid w:val="00742239"/>
    <w:rsid w:val="007B2109"/>
    <w:rsid w:val="007C008A"/>
    <w:rsid w:val="007C079F"/>
    <w:rsid w:val="007C6045"/>
    <w:rsid w:val="007D018F"/>
    <w:rsid w:val="007D1ACA"/>
    <w:rsid w:val="007F2A17"/>
    <w:rsid w:val="008167B9"/>
    <w:rsid w:val="0083186B"/>
    <w:rsid w:val="00840E26"/>
    <w:rsid w:val="0084630F"/>
    <w:rsid w:val="0086393C"/>
    <w:rsid w:val="008643B9"/>
    <w:rsid w:val="00890E43"/>
    <w:rsid w:val="008B6351"/>
    <w:rsid w:val="008C6AED"/>
    <w:rsid w:val="008D3DF3"/>
    <w:rsid w:val="008E478E"/>
    <w:rsid w:val="008F7E82"/>
    <w:rsid w:val="0091633E"/>
    <w:rsid w:val="00923AA7"/>
    <w:rsid w:val="00923DEE"/>
    <w:rsid w:val="0097212E"/>
    <w:rsid w:val="00975D15"/>
    <w:rsid w:val="00984F4E"/>
    <w:rsid w:val="00990731"/>
    <w:rsid w:val="00992779"/>
    <w:rsid w:val="009B1763"/>
    <w:rsid w:val="009C5746"/>
    <w:rsid w:val="009E6A45"/>
    <w:rsid w:val="009F30A9"/>
    <w:rsid w:val="00A01EDD"/>
    <w:rsid w:val="00A0264F"/>
    <w:rsid w:val="00A05243"/>
    <w:rsid w:val="00A203E7"/>
    <w:rsid w:val="00A265DE"/>
    <w:rsid w:val="00A34FE4"/>
    <w:rsid w:val="00A37C60"/>
    <w:rsid w:val="00A45E9F"/>
    <w:rsid w:val="00A560BE"/>
    <w:rsid w:val="00A6666B"/>
    <w:rsid w:val="00A673C1"/>
    <w:rsid w:val="00A92972"/>
    <w:rsid w:val="00AC568B"/>
    <w:rsid w:val="00AD002A"/>
    <w:rsid w:val="00AD423E"/>
    <w:rsid w:val="00AE0CEE"/>
    <w:rsid w:val="00AE0E93"/>
    <w:rsid w:val="00AE1F00"/>
    <w:rsid w:val="00AE2272"/>
    <w:rsid w:val="00AF50FF"/>
    <w:rsid w:val="00B055B9"/>
    <w:rsid w:val="00B1595B"/>
    <w:rsid w:val="00B228AE"/>
    <w:rsid w:val="00B311BC"/>
    <w:rsid w:val="00B405D4"/>
    <w:rsid w:val="00B42BCF"/>
    <w:rsid w:val="00B52C36"/>
    <w:rsid w:val="00B54CF4"/>
    <w:rsid w:val="00B55F3D"/>
    <w:rsid w:val="00B64BDE"/>
    <w:rsid w:val="00B80847"/>
    <w:rsid w:val="00B83BA9"/>
    <w:rsid w:val="00B97130"/>
    <w:rsid w:val="00BA0514"/>
    <w:rsid w:val="00BB7A7A"/>
    <w:rsid w:val="00BD12CE"/>
    <w:rsid w:val="00BE5EA5"/>
    <w:rsid w:val="00C20B3D"/>
    <w:rsid w:val="00C2295F"/>
    <w:rsid w:val="00C40D8D"/>
    <w:rsid w:val="00C513D9"/>
    <w:rsid w:val="00C674AB"/>
    <w:rsid w:val="00C71F1E"/>
    <w:rsid w:val="00C771E9"/>
    <w:rsid w:val="00C87B32"/>
    <w:rsid w:val="00CA5F01"/>
    <w:rsid w:val="00CB240C"/>
    <w:rsid w:val="00CB57A1"/>
    <w:rsid w:val="00CB6ADF"/>
    <w:rsid w:val="00CB6D08"/>
    <w:rsid w:val="00CC0F77"/>
    <w:rsid w:val="00CD0A48"/>
    <w:rsid w:val="00CD632E"/>
    <w:rsid w:val="00CD719A"/>
    <w:rsid w:val="00CE1060"/>
    <w:rsid w:val="00CF2D37"/>
    <w:rsid w:val="00CF4A29"/>
    <w:rsid w:val="00CF6ED9"/>
    <w:rsid w:val="00D4418D"/>
    <w:rsid w:val="00D53689"/>
    <w:rsid w:val="00D5528D"/>
    <w:rsid w:val="00D57563"/>
    <w:rsid w:val="00D63404"/>
    <w:rsid w:val="00D63577"/>
    <w:rsid w:val="00D84351"/>
    <w:rsid w:val="00DB6870"/>
    <w:rsid w:val="00DC6128"/>
    <w:rsid w:val="00DD7266"/>
    <w:rsid w:val="00E05A54"/>
    <w:rsid w:val="00E078CB"/>
    <w:rsid w:val="00E31416"/>
    <w:rsid w:val="00E7568A"/>
    <w:rsid w:val="00E851E9"/>
    <w:rsid w:val="00E853DC"/>
    <w:rsid w:val="00E857BF"/>
    <w:rsid w:val="00E91988"/>
    <w:rsid w:val="00ED69FA"/>
    <w:rsid w:val="00EE2830"/>
    <w:rsid w:val="00F23535"/>
    <w:rsid w:val="00F23F79"/>
    <w:rsid w:val="00F43A82"/>
    <w:rsid w:val="00F467F2"/>
    <w:rsid w:val="00F57B00"/>
    <w:rsid w:val="00F61933"/>
    <w:rsid w:val="00F721DF"/>
    <w:rsid w:val="00F74BDA"/>
    <w:rsid w:val="00FB4E18"/>
    <w:rsid w:val="00FC3871"/>
    <w:rsid w:val="00FD49B5"/>
    <w:rsid w:val="00FD640E"/>
    <w:rsid w:val="00FE2434"/>
    <w:rsid w:val="00FE3FAC"/>
    <w:rsid w:val="060070E4"/>
    <w:rsid w:val="08574A82"/>
    <w:rsid w:val="1D6D078A"/>
    <w:rsid w:val="23A06B30"/>
    <w:rsid w:val="3B5F0C53"/>
    <w:rsid w:val="3BEA7C87"/>
    <w:rsid w:val="3E957033"/>
    <w:rsid w:val="414A300F"/>
    <w:rsid w:val="44E77883"/>
    <w:rsid w:val="471D19C3"/>
    <w:rsid w:val="4A435A86"/>
    <w:rsid w:val="521E7888"/>
    <w:rsid w:val="58057483"/>
    <w:rsid w:val="612453A8"/>
    <w:rsid w:val="67A514EC"/>
    <w:rsid w:val="7F2A2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sz w:val="18"/>
      <w:szCs w:val="18"/>
    </w:rPr>
  </w:style>
  <w:style w:type="paragraph" w:customStyle="1" w:styleId="9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Calibri" w:hAnsi="Calibri" w:cs="Calibri" w:eastAsiaTheme="minorEastAsia"/>
      <w:color w:val="000000"/>
      <w:sz w:val="24"/>
      <w:szCs w:val="24"/>
      <w:lang w:val="en-CA" w:eastAsia="en-CA" w:bidi="ar-SA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1">
    <w:name w:val="EndNote Bibliography Title"/>
    <w:basedOn w:val="1"/>
    <w:link w:val="12"/>
    <w:autoRedefine/>
    <w:qFormat/>
    <w:uiPriority w:val="0"/>
    <w:pPr>
      <w:jc w:val="center"/>
    </w:pPr>
    <w:rPr>
      <w:rFonts w:ascii="等线" w:hAnsi="等线" w:eastAsia="等线"/>
      <w:sz w:val="20"/>
    </w:rPr>
  </w:style>
  <w:style w:type="character" w:customStyle="1" w:styleId="12">
    <w:name w:val="EndNote Bibliography Title 字符"/>
    <w:basedOn w:val="6"/>
    <w:link w:val="11"/>
    <w:autoRedefine/>
    <w:qFormat/>
    <w:uiPriority w:val="0"/>
    <w:rPr>
      <w:rFonts w:ascii="等线" w:hAnsi="等线" w:eastAsia="等线" w:cstheme="minorBidi"/>
      <w:kern w:val="2"/>
      <w:szCs w:val="22"/>
    </w:rPr>
  </w:style>
  <w:style w:type="paragraph" w:customStyle="1" w:styleId="13">
    <w:name w:val="EndNote Bibliography"/>
    <w:basedOn w:val="1"/>
    <w:link w:val="14"/>
    <w:autoRedefine/>
    <w:qFormat/>
    <w:uiPriority w:val="0"/>
    <w:pPr>
      <w:jc w:val="left"/>
    </w:pPr>
    <w:rPr>
      <w:rFonts w:ascii="等线" w:hAnsi="等线" w:eastAsia="等线"/>
      <w:sz w:val="20"/>
    </w:rPr>
  </w:style>
  <w:style w:type="character" w:customStyle="1" w:styleId="14">
    <w:name w:val="EndNote Bibliography 字符"/>
    <w:basedOn w:val="6"/>
    <w:link w:val="13"/>
    <w:autoRedefine/>
    <w:qFormat/>
    <w:uiPriority w:val="0"/>
    <w:rPr>
      <w:rFonts w:ascii="等线" w:hAnsi="等线" w:eastAsia="等线" w:cstheme="minorBidi"/>
      <w:kern w:val="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wm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wmf"/><Relationship Id="rId13" Type="http://schemas.openxmlformats.org/officeDocument/2006/relationships/image" Target="media/image10.wmf"/><Relationship Id="rId12" Type="http://schemas.openxmlformats.org/officeDocument/2006/relationships/image" Target="media/image9.wmf"/><Relationship Id="rId11" Type="http://schemas.openxmlformats.org/officeDocument/2006/relationships/image" Target="media/image8.wm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3B61A-2049-47C2-873C-BA922FC4AC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567</Words>
  <Characters>3707</Characters>
  <Lines>31</Lines>
  <Paragraphs>8</Paragraphs>
  <TotalTime>0</TotalTime>
  <ScaleCrop>false</ScaleCrop>
  <LinksUpToDate>false</LinksUpToDate>
  <CharactersWithSpaces>4228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2023-09-19T05:43:00Z</dcterms:created>
  <dc:creator>jiaze ma</dc:creator>
  <cp:lastModifiedBy>pc</cp:lastModifiedBy>
  <dcterms:modified xsi:type="dcterms:W3CDTF">2024-10-18T04:19:51Z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0E4364480B594BF68A4BA7FDDB537A50_13</vt:lpwstr>
  </property>
</Properties>
</file>