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FD" w:rsidRPr="00F468E8" w:rsidRDefault="00CA48FD" w:rsidP="00CA48F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val="en-US"/>
        </w:rPr>
      </w:pPr>
      <w:r w:rsidRPr="00240D47">
        <w:rPr>
          <w:rFonts w:ascii="Times New Roman" w:hAnsi="Times New Roman" w:cs="Times New Roman"/>
          <w:b/>
          <w:lang w:val="en-US"/>
        </w:rPr>
        <w:t xml:space="preserve">Table </w:t>
      </w:r>
      <w:r w:rsidR="009C1727" w:rsidRPr="00240D47">
        <w:rPr>
          <w:rFonts w:ascii="Times New Roman" w:hAnsi="Times New Roman" w:cs="Times New Roman"/>
          <w:b/>
          <w:lang w:val="en-US"/>
        </w:rPr>
        <w:t>S</w:t>
      </w:r>
      <w:r w:rsidR="002452A7" w:rsidRPr="00240D47">
        <w:rPr>
          <w:rFonts w:ascii="Times New Roman" w:hAnsi="Times New Roman" w:cs="Times New Roman"/>
          <w:b/>
          <w:lang w:val="en-US"/>
        </w:rPr>
        <w:t>3</w:t>
      </w:r>
      <w:r w:rsidRPr="00F468E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Significant c</w:t>
      </w:r>
      <w:r w:rsidRPr="00F468E8">
        <w:rPr>
          <w:rFonts w:ascii="Times New Roman" w:hAnsi="Times New Roman" w:cs="Times New Roman"/>
          <w:lang w:val="en-US"/>
        </w:rPr>
        <w:t>orrelation (</w:t>
      </w:r>
      <w:proofErr w:type="spellStart"/>
      <w:r w:rsidRPr="00F468E8">
        <w:rPr>
          <w:rFonts w:ascii="Times New Roman" w:hAnsi="Times New Roman" w:cs="Times New Roman"/>
          <w:i/>
          <w:iCs/>
          <w:lang w:val="en-US"/>
        </w:rPr>
        <w:t>r</w:t>
      </w:r>
      <w:r w:rsidRPr="00F468E8">
        <w:rPr>
          <w:rFonts w:ascii="Times New Roman" w:hAnsi="Times New Roman" w:cs="Times New Roman"/>
          <w:i/>
          <w:iCs/>
          <w:vertAlign w:val="subscript"/>
          <w:lang w:val="en-US"/>
        </w:rPr>
        <w:t>s</w:t>
      </w:r>
      <w:proofErr w:type="spellEnd"/>
      <w:r w:rsidRPr="00F468E8">
        <w:rPr>
          <w:rFonts w:ascii="Times New Roman" w:hAnsi="Times New Roman" w:cs="Times New Roman"/>
          <w:lang w:val="en-US"/>
        </w:rPr>
        <w:t>) between the root collar diameter (</w:t>
      </w:r>
      <w:r w:rsidRPr="00F468E8">
        <w:rPr>
          <w:rFonts w:ascii="Times New Roman" w:hAnsi="Times New Roman" w:cs="Times New Roman"/>
          <w:i/>
          <w:iCs/>
          <w:lang w:val="en-US"/>
        </w:rPr>
        <w:t>RCD</w:t>
      </w:r>
      <w:r w:rsidRPr="00F468E8">
        <w:rPr>
          <w:rFonts w:ascii="Times New Roman" w:hAnsi="Times New Roman" w:cs="Times New Roman"/>
          <w:lang w:val="en-US"/>
        </w:rPr>
        <w:t>, mm), height (</w:t>
      </w:r>
      <w:r w:rsidRPr="00F468E8">
        <w:rPr>
          <w:rFonts w:ascii="Times New Roman" w:hAnsi="Times New Roman" w:cs="Times New Roman"/>
          <w:i/>
          <w:iCs/>
          <w:lang w:val="en-US"/>
        </w:rPr>
        <w:t>H</w:t>
      </w:r>
      <w:r w:rsidRPr="00F468E8">
        <w:rPr>
          <w:rFonts w:ascii="Times New Roman" w:hAnsi="Times New Roman" w:cs="Times New Roman"/>
          <w:lang w:val="en-US"/>
        </w:rPr>
        <w:t>, cm), robustness index (</w:t>
      </w:r>
      <w:r w:rsidRPr="00F468E8">
        <w:rPr>
          <w:rFonts w:ascii="Times New Roman" w:hAnsi="Times New Roman" w:cs="Times New Roman"/>
          <w:i/>
          <w:iCs/>
          <w:lang w:val="en-US"/>
        </w:rPr>
        <w:t>HRCD</w:t>
      </w:r>
      <w:r w:rsidRPr="00F468E8">
        <w:rPr>
          <w:rFonts w:ascii="Times New Roman" w:hAnsi="Times New Roman" w:cs="Times New Roman"/>
          <w:lang w:val="en-US"/>
        </w:rPr>
        <w:t>, cm/mm</w:t>
      </w:r>
      <w:r w:rsidRPr="00F468E8">
        <w:rPr>
          <w:rFonts w:ascii="Times New Roman" w:hAnsi="Times New Roman" w:cs="Times New Roman"/>
          <w:vertAlign w:val="superscript"/>
          <w:lang w:val="en-US"/>
        </w:rPr>
        <w:t>2</w:t>
      </w:r>
      <w:r w:rsidRPr="00F468E8">
        <w:rPr>
          <w:rFonts w:ascii="Times New Roman" w:hAnsi="Times New Roman" w:cs="Times New Roman"/>
          <w:lang w:val="en-US"/>
        </w:rPr>
        <w:t xml:space="preserve">) of seedlings before planting in 2018 and </w:t>
      </w:r>
      <w:r w:rsidRPr="00F468E8">
        <w:rPr>
          <w:rFonts w:ascii="Times New Roman" w:hAnsi="Times New Roman" w:cs="Times New Roman"/>
          <w:i/>
          <w:iCs/>
          <w:lang w:val="en-US"/>
        </w:rPr>
        <w:t>RCD</w:t>
      </w:r>
      <w:r w:rsidRPr="00F468E8">
        <w:rPr>
          <w:rFonts w:ascii="Times New Roman" w:hAnsi="Times New Roman" w:cs="Times New Roman"/>
          <w:i/>
          <w:iCs/>
          <w:vertAlign w:val="subscript"/>
          <w:lang w:val="en-US"/>
        </w:rPr>
        <w:t>3</w:t>
      </w:r>
      <w:r w:rsidRPr="00F468E8">
        <w:rPr>
          <w:rFonts w:ascii="Times New Roman" w:hAnsi="Times New Roman" w:cs="Times New Roman"/>
          <w:lang w:val="en-US"/>
        </w:rPr>
        <w:t xml:space="preserve">, </w:t>
      </w:r>
      <w:r w:rsidRPr="00F468E8">
        <w:rPr>
          <w:rFonts w:ascii="Times New Roman" w:hAnsi="Times New Roman" w:cs="Times New Roman"/>
          <w:i/>
          <w:iCs/>
          <w:lang w:val="en-US"/>
        </w:rPr>
        <w:t>H</w:t>
      </w:r>
      <w:r w:rsidRPr="00F468E8">
        <w:rPr>
          <w:rFonts w:ascii="Times New Roman" w:hAnsi="Times New Roman" w:cs="Times New Roman"/>
          <w:i/>
          <w:iCs/>
          <w:vertAlign w:val="subscript"/>
          <w:lang w:val="en-US"/>
        </w:rPr>
        <w:t>3</w:t>
      </w:r>
      <w:r w:rsidRPr="00F468E8">
        <w:rPr>
          <w:rFonts w:ascii="Times New Roman" w:hAnsi="Times New Roman" w:cs="Times New Roman"/>
          <w:lang w:val="en-US"/>
        </w:rPr>
        <w:t xml:space="preserve"> and the survival rate (</w:t>
      </w:r>
      <w:r w:rsidRPr="00F468E8">
        <w:rPr>
          <w:rFonts w:ascii="Times New Roman" w:hAnsi="Times New Roman" w:cs="Times New Roman"/>
          <w:i/>
          <w:iCs/>
          <w:lang w:val="en-US"/>
        </w:rPr>
        <w:t>SR</w:t>
      </w:r>
      <w:r w:rsidRPr="00F468E8">
        <w:rPr>
          <w:rFonts w:ascii="Times New Roman" w:hAnsi="Times New Roman" w:cs="Times New Roman"/>
          <w:lang w:val="en-US"/>
        </w:rPr>
        <w:t xml:space="preserve">) of the </w:t>
      </w:r>
      <w:r>
        <w:rPr>
          <w:rFonts w:ascii="Times New Roman" w:hAnsi="Times New Roman" w:cs="Times New Roman"/>
          <w:lang w:val="en-US"/>
        </w:rPr>
        <w:t xml:space="preserve">same </w:t>
      </w:r>
      <w:r w:rsidRPr="00F468E8">
        <w:rPr>
          <w:rFonts w:ascii="Times New Roman" w:hAnsi="Times New Roman" w:cs="Times New Roman"/>
          <w:lang w:val="en-US"/>
        </w:rPr>
        <w:t xml:space="preserve">seedlings </w:t>
      </w:r>
      <w:r>
        <w:rPr>
          <w:rFonts w:ascii="Times New Roman" w:hAnsi="Times New Roman" w:cs="Times New Roman"/>
          <w:lang w:val="en-US"/>
        </w:rPr>
        <w:t>44 months</w:t>
      </w:r>
      <w:r w:rsidRPr="00F468E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after planting </w:t>
      </w:r>
      <w:r w:rsidRPr="00F468E8">
        <w:rPr>
          <w:rFonts w:ascii="Times New Roman" w:hAnsi="Times New Roman" w:cs="Times New Roman"/>
          <w:lang w:val="en-US"/>
        </w:rPr>
        <w:t xml:space="preserve">in the field trials, for each pine </w:t>
      </w:r>
      <w:r>
        <w:rPr>
          <w:rFonts w:ascii="Times New Roman" w:hAnsi="Times New Roman" w:cs="Times New Roman"/>
          <w:lang w:val="en-US"/>
        </w:rPr>
        <w:t xml:space="preserve">pure </w:t>
      </w:r>
      <w:r w:rsidRPr="00F468E8">
        <w:rPr>
          <w:rFonts w:ascii="Times New Roman" w:hAnsi="Times New Roman" w:cs="Times New Roman"/>
          <w:lang w:val="en-US"/>
        </w:rPr>
        <w:t>species</w:t>
      </w:r>
      <w:r>
        <w:rPr>
          <w:rFonts w:ascii="Times New Roman" w:hAnsi="Times New Roman" w:cs="Times New Roman"/>
          <w:lang w:val="en-US"/>
        </w:rPr>
        <w:t xml:space="preserve"> (-P)</w:t>
      </w:r>
      <w:r w:rsidRPr="00F468E8">
        <w:rPr>
          <w:rFonts w:ascii="Times New Roman" w:hAnsi="Times New Roman" w:cs="Times New Roman"/>
          <w:lang w:val="en-US"/>
        </w:rPr>
        <w:t xml:space="preserve"> and their hybrids</w:t>
      </w:r>
      <w:r>
        <w:rPr>
          <w:rFonts w:ascii="Times New Roman" w:hAnsi="Times New Roman" w:cs="Times New Roman"/>
          <w:lang w:val="en-US"/>
        </w:rPr>
        <w:t xml:space="preserve"> (-H)</w:t>
      </w:r>
      <w:r w:rsidRPr="00F468E8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aconcuadrcula"/>
        <w:tblW w:w="86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969"/>
        <w:gridCol w:w="2552"/>
        <w:gridCol w:w="2126"/>
        <w:gridCol w:w="2178"/>
      </w:tblGrid>
      <w:tr w:rsidR="005E2ADD" w:rsidRPr="00240D47" w:rsidTr="005E2ADD"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Group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Var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r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fr-FR"/>
              </w:rPr>
              <w:t>s</w:t>
            </w:r>
            <w:proofErr w:type="spellEnd"/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[</w:t>
            </w:r>
            <w:proofErr w:type="gramEnd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Var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vs 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RCD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fr-FR"/>
              </w:rPr>
              <w:t>3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]</w:t>
            </w:r>
            <w:r w:rsidR="00943644"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(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CI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vertAlign w:val="subscript"/>
                <w:lang w:val="fr-FR"/>
              </w:rPr>
              <w:t>95%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r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fr-FR"/>
              </w:rPr>
              <w:t>s</w:t>
            </w:r>
            <w:proofErr w:type="spellEnd"/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[</w:t>
            </w:r>
            <w:proofErr w:type="gramEnd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Var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vs 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H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fr-FR"/>
              </w:rPr>
              <w:t>3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] </w:t>
            </w:r>
            <w:r w:rsidR="00943644"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(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CI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vertAlign w:val="subscript"/>
                <w:lang w:val="fr-FR"/>
              </w:rPr>
              <w:t>95%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r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fr-FR"/>
              </w:rPr>
              <w:t>s</w:t>
            </w:r>
            <w:proofErr w:type="spellEnd"/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[</w:t>
            </w:r>
            <w:proofErr w:type="gramEnd"/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Var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vs </w:t>
            </w:r>
            <w:r w:rsidRPr="00B82DCC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SR</w:t>
            </w: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] </w:t>
            </w:r>
            <w:r w:rsidR="00943644" w:rsidRPr="00B82DC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(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CI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vertAlign w:val="subscript"/>
                <w:lang w:val="fr-FR"/>
              </w:rPr>
              <w:t>95%</w:t>
            </w:r>
            <w:r w:rsidR="00943644" w:rsidRPr="00B82DC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PL-P</w:t>
            </w:r>
          </w:p>
        </w:tc>
        <w:tc>
          <w:tcPr>
            <w:tcW w:w="969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A97C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0.64 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1.0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4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</w:rPr>
              <w:t>49*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0.19 - 1.0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3551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</w:t>
            </w:r>
            <w:r w:rsidR="003551AD" w:rsidRPr="00B82DC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PL-H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3551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  <w:r w:rsidR="003551AD" w:rsidRPr="00B82D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551AD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0.17 - 0.95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3E52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0.08 - 0.38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PE-H</w:t>
            </w:r>
          </w:p>
        </w:tc>
        <w:tc>
          <w:tcPr>
            <w:tcW w:w="969" w:type="dxa"/>
            <w:noWrap/>
            <w:vAlign w:val="center"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noWrap/>
            <w:vAlign w:val="center"/>
            <w:hideMark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0.10 - 0.33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  <w:hideMark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8" w:type="dxa"/>
            <w:noWrap/>
            <w:vAlign w:val="center"/>
            <w:hideMark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PE-P</w:t>
            </w:r>
          </w:p>
        </w:tc>
        <w:tc>
          <w:tcPr>
            <w:tcW w:w="969" w:type="dxa"/>
            <w:noWrap/>
            <w:vAlign w:val="center"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noWrap/>
            <w:vAlign w:val="center"/>
            <w:hideMark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0.20***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0.09 - 0.32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  <w:hideMark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2178" w:type="dxa"/>
            <w:noWrap/>
            <w:vAlign w:val="center"/>
            <w:hideMark/>
          </w:tcPr>
          <w:p w:rsidR="00CA48FD" w:rsidRPr="00B82DCC" w:rsidRDefault="004F351F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PT-P</w:t>
            </w:r>
          </w:p>
        </w:tc>
        <w:tc>
          <w:tcPr>
            <w:tcW w:w="969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-0.2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-0.35 - -0.09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all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RCD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FF54A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0.29***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FF54A4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0.23- 0.37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-0.02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PL-H</w:t>
            </w:r>
          </w:p>
        </w:tc>
        <w:tc>
          <w:tcPr>
            <w:tcW w:w="969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3E52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0.15 - 0.80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3E52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0.44 - 1.0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3E52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0.20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3E5275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- 0.64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29***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0.17 - 0.41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PE-P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71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713C37" w:rsidRPr="00B82D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71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="00713C37" w:rsidRPr="00B82D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13C37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0.12 - 0.36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71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713C37" w:rsidRPr="00B82D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E2ADD" w:rsidRPr="000678CE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PD-H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2178" w:type="dxa"/>
            <w:noWrap/>
            <w:vAlign w:val="center"/>
          </w:tcPr>
          <w:p w:rsidR="000678CE" w:rsidRPr="000678CE" w:rsidRDefault="00CA48FD" w:rsidP="000678C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678C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0.2</w:t>
            </w:r>
            <w:r w:rsidR="00553CDD" w:rsidRPr="000678C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</w:t>
            </w:r>
            <w:r w:rsidRPr="000678C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*</w:t>
            </w:r>
            <w:r w:rsidR="00A97C8D" w:rsidRPr="000678C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</w:t>
            </w:r>
            <w:r w:rsidR="004F351F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0.08 - 0.40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0.21***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0.09 - 0.32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PT-P</w:t>
            </w:r>
          </w:p>
        </w:tc>
        <w:tc>
          <w:tcPr>
            <w:tcW w:w="969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8" w:type="dxa"/>
            <w:tcBorders>
              <w:bottom w:val="nil"/>
            </w:tcBorders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0.07- 0.32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all</w:t>
            </w:r>
            <w:proofErr w:type="spellEnd"/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AF41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0.40***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AF4142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0.34 - 0.46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A48FD" w:rsidRPr="00B82DCC" w:rsidRDefault="00CA48FD" w:rsidP="00E242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0.10***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24263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0.04- 0.14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PT-H</w:t>
            </w:r>
          </w:p>
        </w:tc>
        <w:tc>
          <w:tcPr>
            <w:tcW w:w="969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HRCD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-0.2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-0.40 - -0.09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BE2E40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A48FD"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noWrap/>
            <w:vAlign w:val="center"/>
          </w:tcPr>
          <w:p w:rsidR="00CA48FD" w:rsidRPr="00B82DCC" w:rsidRDefault="00CA48FD" w:rsidP="00BE2E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E2E40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0.08 - 0.29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PE-H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HRCD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-0.2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-0.34- - 0.12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0664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06649A" w:rsidRPr="00B82D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PE-P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HRCD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5F4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-0.30 - -0.07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5F4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5F4528" w:rsidRPr="00B82D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PT-P</w:t>
            </w:r>
          </w:p>
        </w:tc>
        <w:tc>
          <w:tcPr>
            <w:tcW w:w="969" w:type="dxa"/>
            <w:noWrap/>
            <w:vAlign w:val="center"/>
          </w:tcPr>
          <w:p w:rsidR="00CA48FD" w:rsidRPr="00B82DCC" w:rsidRDefault="00CA48FD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HRCD</w:t>
            </w:r>
          </w:p>
        </w:tc>
        <w:tc>
          <w:tcPr>
            <w:tcW w:w="2552" w:type="dxa"/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-0.1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8" w:type="dxa"/>
            <w:noWrap/>
            <w:vAlign w:val="center"/>
          </w:tcPr>
          <w:p w:rsidR="00CA48FD" w:rsidRPr="00B82DCC" w:rsidRDefault="00CA48FD" w:rsidP="00562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82DC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A97C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0.14</w:t>
            </w:r>
            <w:r w:rsidR="000678C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562281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- 0.41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  <w:tr w:rsidR="005E2ADD" w:rsidRPr="00F468E8" w:rsidTr="005E2ADD">
        <w:trPr>
          <w:trHeight w:val="300"/>
        </w:trPr>
        <w:tc>
          <w:tcPr>
            <w:tcW w:w="840" w:type="dxa"/>
            <w:noWrap/>
            <w:vAlign w:val="center"/>
          </w:tcPr>
          <w:p w:rsidR="00EF2F18" w:rsidRPr="00B82DCC" w:rsidRDefault="00EF2F18" w:rsidP="005F5A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82DCC">
              <w:rPr>
                <w:rFonts w:ascii="Times New Roman" w:hAnsi="Times New Roman" w:cs="Times New Roman"/>
                <w:b/>
                <w:sz w:val="22"/>
                <w:szCs w:val="22"/>
              </w:rPr>
              <w:t>all</w:t>
            </w:r>
            <w:proofErr w:type="spellEnd"/>
          </w:p>
        </w:tc>
        <w:tc>
          <w:tcPr>
            <w:tcW w:w="969" w:type="dxa"/>
            <w:noWrap/>
            <w:vAlign w:val="center"/>
          </w:tcPr>
          <w:p w:rsidR="00EF2F18" w:rsidRPr="00B82DCC" w:rsidRDefault="00EF2F18" w:rsidP="005F5A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i/>
                <w:sz w:val="22"/>
                <w:szCs w:val="22"/>
              </w:rPr>
              <w:t>HRCD</w:t>
            </w:r>
          </w:p>
        </w:tc>
        <w:tc>
          <w:tcPr>
            <w:tcW w:w="2552" w:type="dxa"/>
            <w:noWrap/>
            <w:vAlign w:val="center"/>
          </w:tcPr>
          <w:p w:rsidR="00EF2F18" w:rsidRPr="00B82DCC" w:rsidRDefault="00EF2F18" w:rsidP="005F5A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 w:rsidR="00EF2F18" w:rsidRPr="00B82DCC" w:rsidRDefault="00EF2F18" w:rsidP="00955E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  <w:noWrap/>
            <w:vAlign w:val="center"/>
          </w:tcPr>
          <w:p w:rsidR="00EF2F18" w:rsidRPr="00B82DCC" w:rsidRDefault="00EF2F18" w:rsidP="00E242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0.06**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24263" w:rsidRPr="00B82DC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0.02 - 0.12</w:t>
            </w:r>
            <w:r w:rsidR="00A97C8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</w:tr>
    </w:tbl>
    <w:p w:rsidR="00BA3292" w:rsidRPr="00943644" w:rsidRDefault="00CA48FD" w:rsidP="00943644">
      <w:pPr>
        <w:autoSpaceDE w:val="0"/>
        <w:autoSpaceDN w:val="0"/>
        <w:adjustRightInd w:val="0"/>
        <w:spacing w:line="276" w:lineRule="auto"/>
        <w:rPr>
          <w:rFonts w:ascii="PalatinoLinotype-Italic" w:hAnsi="PalatinoLinotype-Italic" w:cs="PalatinoLinotype-Italic"/>
          <w:sz w:val="17"/>
          <w:szCs w:val="17"/>
          <w:lang w:val="en-US"/>
        </w:rPr>
      </w:pP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Note: </w:t>
      </w:r>
      <w:proofErr w:type="spellStart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>var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= variable, </w:t>
      </w:r>
      <w:r w:rsidR="00943644" w:rsidRPr="00240D47">
        <w:rPr>
          <w:rFonts w:ascii="PalatinoLinotype-Roman" w:hAnsi="PalatinoLinotype-Roman" w:cs="PalatinoLinotype-Roman"/>
          <w:i/>
          <w:sz w:val="17"/>
          <w:szCs w:val="17"/>
          <w:lang w:val="en-US"/>
        </w:rPr>
        <w:t>CI</w:t>
      </w:r>
      <w:r w:rsidR="00943644" w:rsidRPr="00240D47">
        <w:rPr>
          <w:rFonts w:ascii="PalatinoLinotype-Roman" w:hAnsi="PalatinoLinotype-Roman" w:cs="PalatinoLinotype-Roman"/>
          <w:i/>
          <w:sz w:val="17"/>
          <w:szCs w:val="17"/>
          <w:vertAlign w:val="subscript"/>
          <w:lang w:val="en-US"/>
        </w:rPr>
        <w:t>95%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= 95% </w:t>
      </w:r>
      <w:r w:rsidR="00CC6EDE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confidence</w:t>
      </w:r>
      <w:r w:rsidR="00AE3335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interval by 1</w:t>
      </w:r>
      <w:r w:rsidR="00240D47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,0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0</w:t>
      </w:r>
      <w:r w:rsidR="005F21F8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0,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00</w:t>
      </w:r>
      <w:r w:rsidR="00AE3335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0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</w:t>
      </w:r>
      <w:r w:rsidR="000B1609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bootstrap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iterations</w:t>
      </w:r>
      <w:r w:rsidR="005F21F8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and subsamples size of 50 seedlings</w:t>
      </w:r>
      <w:r w:rsidR="00943644" w:rsidRPr="00240D47">
        <w:rPr>
          <w:rFonts w:ascii="PalatinoLinotype-Roman" w:hAnsi="PalatinoLinotype-Roman" w:cs="PalatinoLinotype-Roman"/>
          <w:sz w:val="17"/>
          <w:szCs w:val="17"/>
          <w:lang w:val="en-US"/>
        </w:rPr>
        <w:t>,</w:t>
      </w:r>
      <w:bookmarkStart w:id="0" w:name="_GoBack"/>
      <w:bookmarkEnd w:id="0"/>
      <w:r w:rsidR="00943644" w:rsidRPr="00CC6EDE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 </w:t>
      </w:r>
      <w:r w:rsidRPr="00F468E8">
        <w:rPr>
          <w:rFonts w:ascii="PalatinoLinotype-Roman" w:hAnsi="PalatinoLinotype-Roman" w:cs="PalatinoLinotype-Roman"/>
          <w:i/>
          <w:iCs/>
          <w:sz w:val="17"/>
          <w:szCs w:val="17"/>
          <w:lang w:val="en-US"/>
        </w:rPr>
        <w:t>RCD</w:t>
      </w:r>
      <w:r w:rsidRPr="00F468E8">
        <w:rPr>
          <w:rFonts w:ascii="PalatinoLinotype-Roman" w:hAnsi="PalatinoLinotype-Roman" w:cs="PalatinoLinotype-Roman"/>
          <w:i/>
          <w:iCs/>
          <w:sz w:val="17"/>
          <w:szCs w:val="17"/>
          <w:vertAlign w:val="subscript"/>
          <w:lang w:val="en-US"/>
        </w:rPr>
        <w:t>3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= root collar diameter (mm)  </w:t>
      </w:r>
      <w:r>
        <w:rPr>
          <w:rFonts w:ascii="PalatinoLinotype-Roman" w:hAnsi="PalatinoLinotype-Roman" w:cs="PalatinoLinotype-Roman"/>
          <w:sz w:val="17"/>
          <w:szCs w:val="17"/>
          <w:lang w:val="en-US"/>
        </w:rPr>
        <w:t>44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months after planting in  the field trials, </w:t>
      </w:r>
      <w:r w:rsidRPr="00F468E8">
        <w:rPr>
          <w:rFonts w:ascii="PalatinoLinotype-Roman" w:hAnsi="PalatinoLinotype-Roman" w:cs="PalatinoLinotype-Roman"/>
          <w:i/>
          <w:iCs/>
          <w:sz w:val="17"/>
          <w:szCs w:val="17"/>
          <w:lang w:val="en-US"/>
        </w:rPr>
        <w:t>H</w:t>
      </w:r>
      <w:r w:rsidRPr="00F468E8">
        <w:rPr>
          <w:rFonts w:ascii="PalatinoLinotype-Roman" w:hAnsi="PalatinoLinotype-Roman" w:cs="PalatinoLinotype-Roman"/>
          <w:i/>
          <w:iCs/>
          <w:sz w:val="17"/>
          <w:szCs w:val="17"/>
          <w:vertAlign w:val="subscript"/>
          <w:lang w:val="en-US"/>
        </w:rPr>
        <w:t>3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= height (cm) after </w:t>
      </w:r>
      <w:r>
        <w:rPr>
          <w:rFonts w:ascii="PalatinoLinotype-Roman" w:hAnsi="PalatinoLinotype-Roman" w:cs="PalatinoLinotype-Roman"/>
          <w:sz w:val="17"/>
          <w:szCs w:val="17"/>
          <w:lang w:val="en-US"/>
        </w:rPr>
        <w:t>44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months  of planting in  the  trials;  PA‐P =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Pinus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pure species,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PD‐P =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pure species,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 PE‐P =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pure species,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 PL‐P =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pure species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and PT‐P =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pure species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PA‐H = hybrids of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Pinus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PD‐H = hybrids of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and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PE‐H = hybrids of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PL‐H = hybrids of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PT‐H =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F468E8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F468E8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; </w:t>
      </w:r>
      <w:r w:rsidRPr="00F468E8">
        <w:rPr>
          <w:rFonts w:ascii="PalatinoLinotype-Italic" w:hAnsi="PalatinoLinotype-Italic" w:cs="PalatinoLinotype-Italic"/>
          <w:sz w:val="17"/>
          <w:szCs w:val="17"/>
          <w:lang w:val="en-US"/>
        </w:rPr>
        <w:t>all = across all species and their hybrids (see more in Hernández-Velasco et al. 2021; Sanchez-Hernandez et al. 2022).</w:t>
      </w:r>
    </w:p>
    <w:sectPr w:rsidR="00BA3292" w:rsidRPr="00943644" w:rsidSect="00B76FC7">
      <w:pgSz w:w="12240" w:h="15840" w:code="1"/>
      <w:pgMar w:top="1531" w:right="1191" w:bottom="567" w:left="2155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alatinoLinotype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FD"/>
    <w:rsid w:val="00040001"/>
    <w:rsid w:val="0006649A"/>
    <w:rsid w:val="000678CE"/>
    <w:rsid w:val="000B1609"/>
    <w:rsid w:val="000F593B"/>
    <w:rsid w:val="00240D47"/>
    <w:rsid w:val="002452A7"/>
    <w:rsid w:val="003551AD"/>
    <w:rsid w:val="003E5275"/>
    <w:rsid w:val="004163DF"/>
    <w:rsid w:val="004F351F"/>
    <w:rsid w:val="00553CDD"/>
    <w:rsid w:val="00562281"/>
    <w:rsid w:val="005E2ADD"/>
    <w:rsid w:val="005F21F8"/>
    <w:rsid w:val="005F4528"/>
    <w:rsid w:val="00713C37"/>
    <w:rsid w:val="008D271B"/>
    <w:rsid w:val="00937AAC"/>
    <w:rsid w:val="00943644"/>
    <w:rsid w:val="00955E4D"/>
    <w:rsid w:val="009568E5"/>
    <w:rsid w:val="009C1727"/>
    <w:rsid w:val="00A97C8D"/>
    <w:rsid w:val="00AE3335"/>
    <w:rsid w:val="00AF4142"/>
    <w:rsid w:val="00B76FC7"/>
    <w:rsid w:val="00B82DCC"/>
    <w:rsid w:val="00BA3292"/>
    <w:rsid w:val="00BE2E40"/>
    <w:rsid w:val="00BF6E8B"/>
    <w:rsid w:val="00CA0DCB"/>
    <w:rsid w:val="00CA48FD"/>
    <w:rsid w:val="00CC6EDE"/>
    <w:rsid w:val="00D83330"/>
    <w:rsid w:val="00E04908"/>
    <w:rsid w:val="00E24263"/>
    <w:rsid w:val="00EF2F18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F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6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8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8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F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6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8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8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2024-12-11T16:46:00Z</dcterms:created>
  <dcterms:modified xsi:type="dcterms:W3CDTF">2024-12-11T16:46:00Z</dcterms:modified>
</cp:coreProperties>
</file>