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emf" ContentType="image/x-emf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29" w:rsidRPr="0081060A" w:rsidRDefault="00CD7029" w:rsidP="00CD7029">
      <w:pPr>
        <w:spacing w:after="120" w:line="276" w:lineRule="auto"/>
        <w:jc w:val="center"/>
        <w:rPr>
          <w:rFonts w:cs="Arial"/>
          <w:b/>
          <w:bCs/>
          <w:szCs w:val="22"/>
        </w:rPr>
      </w:pPr>
      <w:r w:rsidRPr="0081060A">
        <w:rPr>
          <w:rFonts w:cs="Arial"/>
          <w:b/>
          <w:bCs/>
          <w:szCs w:val="22"/>
        </w:rPr>
        <w:t>Effects of Aqueous and Ethanolic Extracts of Chinese Propolis on Dental Pulp Stem Cell Viability, Migration and Cytokine Expression</w:t>
      </w:r>
    </w:p>
    <w:p w:rsidR="0014042C" w:rsidRPr="0081060A" w:rsidRDefault="0014042C">
      <w:pPr>
        <w:rPr>
          <w:rFonts w:cs="Arial"/>
          <w:szCs w:val="22"/>
        </w:rPr>
      </w:pPr>
    </w:p>
    <w:p w:rsidR="00E50259" w:rsidRPr="0081060A" w:rsidRDefault="00E50259" w:rsidP="00E50259">
      <w:pPr>
        <w:pStyle w:val="Default"/>
        <w:spacing w:line="276" w:lineRule="auto"/>
        <w:rPr>
          <w:sz w:val="22"/>
          <w:szCs w:val="22"/>
          <w:lang w:val="en-US"/>
        </w:rPr>
      </w:pPr>
      <w:r w:rsidRPr="0081060A">
        <w:rPr>
          <w:sz w:val="22"/>
          <w:szCs w:val="22"/>
        </w:rPr>
        <w:t xml:space="preserve">Ha Bin Park, Yen Dinh, Pilar </w:t>
      </w:r>
      <w:proofErr w:type="spellStart"/>
      <w:r w:rsidRPr="0081060A">
        <w:rPr>
          <w:sz w:val="22"/>
          <w:szCs w:val="22"/>
        </w:rPr>
        <w:t>Yesares</w:t>
      </w:r>
      <w:proofErr w:type="spellEnd"/>
      <w:r w:rsidRPr="0081060A">
        <w:rPr>
          <w:sz w:val="22"/>
          <w:szCs w:val="22"/>
        </w:rPr>
        <w:t xml:space="preserve">, </w:t>
      </w:r>
      <w:r w:rsidRPr="0081060A">
        <w:rPr>
          <w:sz w:val="22"/>
          <w:szCs w:val="22"/>
          <w:lang w:val="en-US"/>
        </w:rPr>
        <w:t>Jennifer L. Gibbs,</w:t>
      </w:r>
      <w:r w:rsidRPr="0081060A">
        <w:rPr>
          <w:sz w:val="22"/>
          <w:szCs w:val="22"/>
        </w:rPr>
        <w:t xml:space="preserve"> Benoit Michot</w:t>
      </w:r>
    </w:p>
    <w:p w:rsidR="00CD7029" w:rsidRPr="0081060A" w:rsidRDefault="00CD7029" w:rsidP="00E50259">
      <w:pPr>
        <w:ind w:left="-90"/>
        <w:rPr>
          <w:rFonts w:cs="Arial"/>
          <w:szCs w:val="22"/>
        </w:rPr>
      </w:pPr>
    </w:p>
    <w:p w:rsidR="00CD7029" w:rsidRPr="0081060A" w:rsidRDefault="00CD7029">
      <w:pPr>
        <w:rPr>
          <w:rFonts w:cs="Arial"/>
          <w:szCs w:val="22"/>
        </w:rPr>
      </w:pPr>
    </w:p>
    <w:p w:rsidR="00CD7029" w:rsidRPr="0081060A" w:rsidRDefault="00CD7029">
      <w:pPr>
        <w:rPr>
          <w:rFonts w:cs="Arial"/>
          <w:szCs w:val="22"/>
        </w:rPr>
      </w:pPr>
    </w:p>
    <w:p w:rsidR="00CD7029" w:rsidRPr="0081060A" w:rsidRDefault="00CD7029">
      <w:pPr>
        <w:rPr>
          <w:rFonts w:cs="Arial"/>
          <w:szCs w:val="22"/>
        </w:rPr>
      </w:pPr>
    </w:p>
    <w:p w:rsidR="00EE0857" w:rsidRPr="0081060A" w:rsidRDefault="00EE0857">
      <w:pPr>
        <w:rPr>
          <w:rFonts w:cs="Arial"/>
          <w:szCs w:val="22"/>
        </w:rPr>
      </w:pPr>
    </w:p>
    <w:p w:rsidR="00EE0857" w:rsidRPr="0081060A" w:rsidRDefault="00EE0857">
      <w:pPr>
        <w:rPr>
          <w:rFonts w:cs="Arial"/>
          <w:szCs w:val="22"/>
        </w:rPr>
      </w:pPr>
    </w:p>
    <w:p w:rsidR="00EE0857" w:rsidRPr="0081060A" w:rsidRDefault="00EE0857" w:rsidP="00EE0857">
      <w:pPr>
        <w:tabs>
          <w:tab w:val="left" w:pos="1485"/>
        </w:tabs>
        <w:spacing w:line="264" w:lineRule="auto"/>
        <w:jc w:val="both"/>
        <w:rPr>
          <w:rFonts w:cs="Arial"/>
          <w:szCs w:val="22"/>
        </w:rPr>
      </w:pPr>
    </w:p>
    <w:p w:rsidR="00EE0857" w:rsidRPr="0081060A" w:rsidRDefault="00EE0857" w:rsidP="00EE0857">
      <w:pPr>
        <w:tabs>
          <w:tab w:val="left" w:pos="1485"/>
        </w:tabs>
        <w:spacing w:line="264" w:lineRule="auto"/>
        <w:jc w:val="both"/>
        <w:rPr>
          <w:rFonts w:cs="Arial"/>
          <w:szCs w:val="22"/>
        </w:rPr>
      </w:pPr>
      <w:r w:rsidRPr="0081060A">
        <w:rPr>
          <w:rFonts w:cs="Arial"/>
          <w:noProof/>
          <w:szCs w:val="22"/>
        </w:rPr>
        <w:drawing>
          <wp:inline distT="0" distB="0" distL="0" distR="0">
            <wp:extent cx="5715000" cy="451104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502654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51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60A" w:rsidRDefault="0081060A" w:rsidP="00EE0857">
      <w:pPr>
        <w:tabs>
          <w:tab w:val="left" w:pos="1485"/>
        </w:tabs>
        <w:spacing w:line="264" w:lineRule="auto"/>
        <w:jc w:val="both"/>
        <w:rPr>
          <w:rFonts w:cs="Arial"/>
          <w:szCs w:val="22"/>
        </w:rPr>
      </w:pPr>
    </w:p>
    <w:p w:rsidR="00EE0857" w:rsidRPr="0081060A" w:rsidRDefault="00EE0857" w:rsidP="00EE0857">
      <w:pPr>
        <w:tabs>
          <w:tab w:val="left" w:pos="1485"/>
        </w:tabs>
        <w:spacing w:line="264" w:lineRule="auto"/>
        <w:jc w:val="both"/>
        <w:rPr>
          <w:rFonts w:cs="Arial"/>
          <w:szCs w:val="22"/>
        </w:rPr>
      </w:pPr>
    </w:p>
    <w:p w:rsidR="00EE0857" w:rsidRPr="0081060A" w:rsidRDefault="00EE0857" w:rsidP="00EE0857">
      <w:pPr>
        <w:tabs>
          <w:tab w:val="left" w:pos="1485"/>
        </w:tabs>
        <w:spacing w:line="264" w:lineRule="auto"/>
        <w:jc w:val="both"/>
        <w:rPr>
          <w:rFonts w:cs="Arial"/>
          <w:szCs w:val="22"/>
        </w:rPr>
      </w:pPr>
    </w:p>
    <w:p w:rsidR="00EE0857" w:rsidRPr="0081060A" w:rsidRDefault="00EE0857" w:rsidP="00EE0857">
      <w:pPr>
        <w:tabs>
          <w:tab w:val="left" w:pos="1485"/>
        </w:tabs>
        <w:spacing w:line="264" w:lineRule="auto"/>
        <w:jc w:val="both"/>
        <w:rPr>
          <w:rFonts w:cs="Arial"/>
          <w:szCs w:val="22"/>
        </w:rPr>
      </w:pPr>
      <w:r w:rsidRPr="0081060A">
        <w:rPr>
          <w:rFonts w:cs="Arial"/>
          <w:b/>
          <w:bCs/>
          <w:szCs w:val="22"/>
        </w:rPr>
        <w:t xml:space="preserve">Supplementary figure S1: Amplification efficiency of </w:t>
      </w:r>
      <w:proofErr w:type="spellStart"/>
      <w:r w:rsidRPr="0081060A">
        <w:rPr>
          <w:rFonts w:cs="Arial"/>
          <w:b/>
          <w:bCs/>
          <w:szCs w:val="22"/>
        </w:rPr>
        <w:t>Taqman</w:t>
      </w:r>
      <w:proofErr w:type="spellEnd"/>
      <w:r w:rsidRPr="0081060A">
        <w:rPr>
          <w:rFonts w:cs="Arial"/>
          <w:b/>
          <w:bCs/>
          <w:szCs w:val="22"/>
        </w:rPr>
        <w:t xml:space="preserve"> primers.</w:t>
      </w:r>
      <w:r w:rsidRPr="0081060A">
        <w:rPr>
          <w:rFonts w:cs="Arial"/>
          <w:szCs w:val="22"/>
        </w:rPr>
        <w:t xml:space="preserve"> </w:t>
      </w:r>
    </w:p>
    <w:p w:rsidR="00EE0857" w:rsidRPr="0081060A" w:rsidRDefault="00EE0857" w:rsidP="00EE0857">
      <w:pPr>
        <w:tabs>
          <w:tab w:val="left" w:pos="1485"/>
        </w:tabs>
        <w:spacing w:line="264" w:lineRule="auto"/>
        <w:jc w:val="both"/>
        <w:rPr>
          <w:rFonts w:cs="Arial"/>
          <w:szCs w:val="22"/>
        </w:rPr>
      </w:pPr>
      <w:r w:rsidRPr="0081060A">
        <w:rPr>
          <w:rFonts w:cs="Arial"/>
          <w:szCs w:val="22"/>
        </w:rPr>
        <w:t xml:space="preserve">The efficiency of the primers was determined using the CT slope method with 6 concentrations of cDNA from 0.7 to 25 </w:t>
      </w:r>
      <w:proofErr w:type="spellStart"/>
      <w:r w:rsidRPr="0081060A">
        <w:rPr>
          <w:rFonts w:cs="Arial"/>
          <w:szCs w:val="22"/>
        </w:rPr>
        <w:t>ng/uL</w:t>
      </w:r>
      <w:proofErr w:type="spellEnd"/>
      <w:r w:rsidRPr="0081060A">
        <w:rPr>
          <w:rFonts w:cs="Arial"/>
          <w:szCs w:val="22"/>
        </w:rPr>
        <w:t xml:space="preserve"> (2x dilution factor). The efficiency of each primer is indicated on the graphs.</w:t>
      </w:r>
    </w:p>
    <w:p w:rsidR="00E50259" w:rsidRPr="0081060A" w:rsidRDefault="00E50259">
      <w:pPr>
        <w:rPr>
          <w:rFonts w:cs="Arial"/>
          <w:szCs w:val="22"/>
        </w:rPr>
      </w:pPr>
    </w:p>
    <w:p w:rsidR="0081060A" w:rsidRDefault="0081060A" w:rsidP="00B813CE">
      <w:pPr>
        <w:jc w:val="center"/>
        <w:rPr>
          <w:rFonts w:cs="Arial"/>
          <w:szCs w:val="22"/>
        </w:rPr>
      </w:pPr>
    </w:p>
    <w:p w:rsidR="0081060A" w:rsidRDefault="0081060A" w:rsidP="00B813CE">
      <w:pPr>
        <w:jc w:val="center"/>
        <w:rPr>
          <w:rFonts w:cs="Arial"/>
          <w:szCs w:val="22"/>
        </w:rPr>
      </w:pPr>
    </w:p>
    <w:p w:rsidR="0081060A" w:rsidRDefault="0081060A" w:rsidP="00B813CE">
      <w:pPr>
        <w:jc w:val="center"/>
        <w:rPr>
          <w:rFonts w:cs="Arial"/>
          <w:szCs w:val="22"/>
        </w:rPr>
      </w:pPr>
    </w:p>
    <w:p w:rsidR="0081060A" w:rsidRDefault="0081060A" w:rsidP="00B813CE">
      <w:pPr>
        <w:jc w:val="center"/>
        <w:rPr>
          <w:rFonts w:cs="Arial"/>
          <w:szCs w:val="22"/>
        </w:rPr>
      </w:pPr>
    </w:p>
    <w:p w:rsidR="0081060A" w:rsidRDefault="0081060A" w:rsidP="00B813CE">
      <w:pPr>
        <w:jc w:val="center"/>
        <w:rPr>
          <w:rFonts w:cs="Arial"/>
          <w:szCs w:val="22"/>
        </w:rPr>
      </w:pPr>
    </w:p>
    <w:p w:rsidR="00CD7029" w:rsidRPr="0081060A" w:rsidRDefault="00CD7029" w:rsidP="00B813CE">
      <w:pPr>
        <w:jc w:val="center"/>
        <w:rPr>
          <w:rFonts w:cs="Arial"/>
          <w:szCs w:val="22"/>
        </w:rPr>
      </w:pPr>
    </w:p>
    <w:p w:rsidR="0081060A" w:rsidRDefault="004F1B08" w:rsidP="004F1B08">
      <w:pPr>
        <w:jc w:val="center"/>
        <w:rPr>
          <w:rFonts w:cs="Arial"/>
          <w:szCs w:val="22"/>
        </w:rPr>
      </w:pPr>
      <w:r w:rsidRPr="0081060A">
        <w:rPr>
          <w:rFonts w:cs="Arial"/>
          <w:noProof/>
          <w:szCs w:val="22"/>
        </w:rPr>
        <w:drawing>
          <wp:inline distT="0" distB="0" distL="0" distR="0">
            <wp:extent cx="2857500" cy="4610100"/>
            <wp:effectExtent l="0" t="0" r="0" b="0"/>
            <wp:docPr id="204275612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756127" name="Picture 204275612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60A" w:rsidRDefault="0081060A" w:rsidP="004F1B08">
      <w:pPr>
        <w:jc w:val="center"/>
        <w:rPr>
          <w:rFonts w:cs="Arial"/>
          <w:szCs w:val="22"/>
        </w:rPr>
      </w:pPr>
    </w:p>
    <w:p w:rsidR="00CD7029" w:rsidRPr="0081060A" w:rsidRDefault="00CD7029" w:rsidP="004F1B08">
      <w:pPr>
        <w:jc w:val="center"/>
        <w:rPr>
          <w:rFonts w:cs="Arial"/>
          <w:szCs w:val="22"/>
        </w:rPr>
      </w:pPr>
    </w:p>
    <w:p w:rsidR="00CD7029" w:rsidRPr="0081060A" w:rsidRDefault="00B813CE" w:rsidP="00CD7029">
      <w:pPr>
        <w:ind w:left="-90"/>
        <w:jc w:val="center"/>
        <w:rPr>
          <w:rFonts w:cs="Arial"/>
          <w:szCs w:val="22"/>
        </w:rPr>
      </w:pPr>
      <w:r w:rsidRPr="0081060A">
        <w:rPr>
          <w:noProof/>
        </w:rPr>
        <w:t xml:space="preserve"> </w:t>
      </w:r>
    </w:p>
    <w:p w:rsidR="00CD7029" w:rsidRDefault="00BB6120" w:rsidP="00E978FE">
      <w:pPr>
        <w:tabs>
          <w:tab w:val="left" w:pos="1485"/>
        </w:tabs>
        <w:spacing w:line="264" w:lineRule="auto"/>
        <w:jc w:val="both"/>
        <w:rPr>
          <w:rFonts w:cs="Arial"/>
          <w:szCs w:val="22"/>
        </w:rPr>
      </w:pPr>
      <w:r w:rsidRPr="0081060A">
        <w:rPr>
          <w:rFonts w:cs="Arial"/>
          <w:b/>
          <w:bCs/>
          <w:szCs w:val="22"/>
        </w:rPr>
        <w:t>Supplementary f</w:t>
      </w:r>
      <w:r w:rsidR="00CD7029" w:rsidRPr="0081060A">
        <w:rPr>
          <w:rFonts w:cs="Arial"/>
          <w:b/>
          <w:bCs/>
          <w:szCs w:val="22"/>
        </w:rPr>
        <w:t>igure S</w:t>
      </w:r>
      <w:r w:rsidR="00EE0857" w:rsidRPr="0081060A">
        <w:rPr>
          <w:rFonts w:cs="Arial"/>
          <w:b/>
          <w:bCs/>
          <w:szCs w:val="22"/>
        </w:rPr>
        <w:t>2</w:t>
      </w:r>
      <w:r w:rsidR="00CD7029" w:rsidRPr="0081060A">
        <w:rPr>
          <w:rFonts w:cs="Arial"/>
          <w:b/>
          <w:bCs/>
          <w:szCs w:val="22"/>
        </w:rPr>
        <w:t>: Effects of AEP and EEP solvent</w:t>
      </w:r>
      <w:r w:rsidR="004D12FF" w:rsidRPr="0081060A">
        <w:rPr>
          <w:rFonts w:cs="Arial"/>
          <w:b/>
          <w:bCs/>
          <w:szCs w:val="22"/>
        </w:rPr>
        <w:t xml:space="preserve"> on DPSC viability</w:t>
      </w:r>
      <w:r w:rsidR="00CD7029" w:rsidRPr="0081060A">
        <w:rPr>
          <w:rFonts w:cs="Arial"/>
          <w:b/>
          <w:bCs/>
          <w:szCs w:val="22"/>
        </w:rPr>
        <w:t>.</w:t>
      </w:r>
      <w:r w:rsidR="00CD7029" w:rsidRPr="0081060A">
        <w:rPr>
          <w:rFonts w:cs="Arial"/>
          <w:szCs w:val="22"/>
        </w:rPr>
        <w:t xml:space="preserve"> </w:t>
      </w:r>
      <w:proofErr w:type="spellStart"/>
      <w:r w:rsidR="00CD7029" w:rsidRPr="0081060A">
        <w:rPr>
          <w:rFonts w:cs="Arial"/>
          <w:szCs w:val="22"/>
        </w:rPr>
        <w:t>DPSCs</w:t>
      </w:r>
      <w:proofErr w:type="spellEnd"/>
      <w:r w:rsidR="00CD7029" w:rsidRPr="0081060A">
        <w:rPr>
          <w:rFonts w:cs="Arial"/>
          <w:szCs w:val="22"/>
        </w:rPr>
        <w:t xml:space="preserve"> were treated for 7 days with control media (Ctrl), dilutions of AEP solvent (A) or EEP solvent (B), </w:t>
      </w:r>
      <w:r w:rsidR="004D12FF" w:rsidRPr="0081060A">
        <w:rPr>
          <w:rFonts w:cs="Arial"/>
          <w:szCs w:val="22"/>
        </w:rPr>
        <w:t>and cell viability</w:t>
      </w:r>
      <w:r w:rsidR="00CD7029" w:rsidRPr="0081060A">
        <w:rPr>
          <w:rFonts w:cs="Arial"/>
          <w:szCs w:val="22"/>
        </w:rPr>
        <w:t xml:space="preserve"> was evaluated using MTT assay. The </w:t>
      </w:r>
      <w:r w:rsidR="002953EE" w:rsidRPr="0081060A">
        <w:rPr>
          <w:rFonts w:cs="Arial"/>
          <w:szCs w:val="22"/>
        </w:rPr>
        <w:t xml:space="preserve">dilutions of </w:t>
      </w:r>
      <w:r w:rsidR="00CD7029" w:rsidRPr="0081060A">
        <w:rPr>
          <w:rFonts w:cs="Arial"/>
          <w:szCs w:val="22"/>
        </w:rPr>
        <w:t>solvent correspond to the quantity of solvent in each dose of the respective propolis extracts</w:t>
      </w:r>
      <w:r w:rsidR="002953EE" w:rsidRPr="0081060A">
        <w:rPr>
          <w:rFonts w:cs="Arial"/>
          <w:szCs w:val="22"/>
        </w:rPr>
        <w:t xml:space="preserve"> (1/3 dilution, corresponds to the solvent dilution contained into the propo</w:t>
      </w:r>
      <w:r w:rsidR="003964C4" w:rsidRPr="0081060A">
        <w:rPr>
          <w:rFonts w:cs="Arial"/>
          <w:szCs w:val="22"/>
        </w:rPr>
        <w:t>lis extract solution at 33 mg/mL</w:t>
      </w:r>
      <w:r w:rsidR="002953EE" w:rsidRPr="0081060A">
        <w:rPr>
          <w:rFonts w:cs="Arial"/>
          <w:szCs w:val="22"/>
        </w:rPr>
        <w:t>)</w:t>
      </w:r>
      <w:r w:rsidR="00CD7029" w:rsidRPr="0081060A">
        <w:rPr>
          <w:rFonts w:cs="Arial"/>
          <w:szCs w:val="22"/>
        </w:rPr>
        <w:t xml:space="preserve">. </w:t>
      </w:r>
      <w:r w:rsidR="009F71C4" w:rsidRPr="0081060A">
        <w:rPr>
          <w:color w:val="000000" w:themeColor="text1"/>
        </w:rPr>
        <w:t xml:space="preserve">Dash line indicates 30% decrease in cell viability, which represent the level of cytotoxicity. </w:t>
      </w:r>
      <w:r w:rsidR="00CD7029" w:rsidRPr="0081060A">
        <w:rPr>
          <w:rFonts w:cs="Arial"/>
          <w:szCs w:val="22"/>
        </w:rPr>
        <w:t>** p&lt;0.01, compared to control group</w:t>
      </w:r>
      <w:r w:rsidR="003964C4" w:rsidRPr="0081060A">
        <w:rPr>
          <w:rFonts w:cs="Arial"/>
          <w:szCs w:val="22"/>
        </w:rPr>
        <w:t>,</w:t>
      </w:r>
      <w:r w:rsidR="00CD7029" w:rsidRPr="0081060A">
        <w:rPr>
          <w:rFonts w:cs="Arial"/>
          <w:szCs w:val="22"/>
        </w:rPr>
        <w:t xml:space="preserve"> Dunnett’s test, 6 replicates from n=2 independent cell cultures.</w:t>
      </w:r>
      <w:r w:rsidR="00CD7029" w:rsidRPr="004A16CF">
        <w:rPr>
          <w:rFonts w:cs="Arial"/>
          <w:szCs w:val="22"/>
        </w:rPr>
        <w:t xml:space="preserve"> </w:t>
      </w:r>
    </w:p>
    <w:p w:rsidR="00461B26" w:rsidRDefault="00461B26" w:rsidP="00E978FE">
      <w:pPr>
        <w:tabs>
          <w:tab w:val="left" w:pos="1485"/>
        </w:tabs>
        <w:spacing w:line="264" w:lineRule="auto"/>
        <w:jc w:val="both"/>
        <w:rPr>
          <w:rFonts w:cs="Arial"/>
          <w:szCs w:val="22"/>
        </w:rPr>
      </w:pPr>
    </w:p>
    <w:p w:rsidR="00461B26" w:rsidRPr="003101BA" w:rsidRDefault="00461B26" w:rsidP="00E978FE">
      <w:pPr>
        <w:tabs>
          <w:tab w:val="left" w:pos="1485"/>
        </w:tabs>
        <w:spacing w:line="264" w:lineRule="auto"/>
        <w:jc w:val="both"/>
        <w:rPr>
          <w:rFonts w:cs="Arial"/>
          <w:szCs w:val="22"/>
        </w:rPr>
      </w:pPr>
    </w:p>
    <w:sectPr w:rsidR="00461B26" w:rsidRPr="003101BA" w:rsidSect="00E50259">
      <w:pgSz w:w="12240" w:h="15840"/>
      <w:pgMar w:top="1179" w:right="1530" w:bottom="1179" w:left="171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14042C"/>
    <w:rsid w:val="000769D0"/>
    <w:rsid w:val="0014042C"/>
    <w:rsid w:val="00285A3A"/>
    <w:rsid w:val="002953EE"/>
    <w:rsid w:val="003964C4"/>
    <w:rsid w:val="00461B26"/>
    <w:rsid w:val="00471514"/>
    <w:rsid w:val="0047713D"/>
    <w:rsid w:val="004D12FF"/>
    <w:rsid w:val="004F1B08"/>
    <w:rsid w:val="00581D96"/>
    <w:rsid w:val="00793277"/>
    <w:rsid w:val="00797F2A"/>
    <w:rsid w:val="0081060A"/>
    <w:rsid w:val="009444F1"/>
    <w:rsid w:val="009F71C4"/>
    <w:rsid w:val="00AB166F"/>
    <w:rsid w:val="00AF0864"/>
    <w:rsid w:val="00B41D79"/>
    <w:rsid w:val="00B813CE"/>
    <w:rsid w:val="00BB6120"/>
    <w:rsid w:val="00CD7029"/>
    <w:rsid w:val="00D025DA"/>
    <w:rsid w:val="00E50259"/>
    <w:rsid w:val="00E978FE"/>
    <w:rsid w:val="00EE0857"/>
    <w:rsid w:val="00F9042A"/>
    <w:rsid w:val="00FB6690"/>
  </w:rsids>
  <m:mathPr>
    <m:mathFont m:val="Arial Unicode MS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3A3"/>
    <w:rPr>
      <w:rFonts w:ascii="Arial" w:hAnsi="Arial"/>
      <w:sz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nhideWhenUsed/>
    <w:rsid w:val="0014042C"/>
    <w:rPr>
      <w:color w:val="0000FF" w:themeColor="hyperlink"/>
      <w:u w:val="single"/>
    </w:rPr>
  </w:style>
  <w:style w:type="paragraph" w:customStyle="1" w:styleId="Default">
    <w:name w:val="Default"/>
    <w:rsid w:val="00E50259"/>
    <w:pPr>
      <w:autoSpaceDE w:val="0"/>
      <w:autoSpaceDN w:val="0"/>
      <w:adjustRightInd w:val="0"/>
    </w:pPr>
    <w:rPr>
      <w:rFonts w:ascii="Arial" w:eastAsia="Arial Unicode MS" w:hAnsi="Arial" w:cs="Arial"/>
      <w:color w:val="000000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emf"/><Relationship Id="rId5" Type="http://schemas.openxmlformats.org/officeDocument/2006/relationships/image" Target="media/image2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167</Words>
  <Characters>952</Characters>
  <Application>Microsoft Macintosh Word</Application>
  <DocSecurity>0</DocSecurity>
  <Lines>7</Lines>
  <Paragraphs>1</Paragraphs>
  <ScaleCrop>false</ScaleCrop>
  <Company>University of California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   </dc:creator>
  <cp:keywords/>
  <cp:lastModifiedBy>benoit    </cp:lastModifiedBy>
  <cp:revision>22</cp:revision>
  <dcterms:created xsi:type="dcterms:W3CDTF">2023-10-13T23:04:00Z</dcterms:created>
  <dcterms:modified xsi:type="dcterms:W3CDTF">2024-11-10T01:29:00Z</dcterms:modified>
</cp:coreProperties>
</file>