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179CB" w14:textId="77777777" w:rsidR="00614DBA" w:rsidRDefault="00614DBA" w:rsidP="00614DBA">
      <w:pPr>
        <w:keepNext/>
      </w:pPr>
    </w:p>
    <w:p w14:paraId="6D1007EB" w14:textId="5443C858" w:rsidR="00614DBA" w:rsidRPr="00614DBA" w:rsidRDefault="00614DBA" w:rsidP="00614DBA">
      <w:pPr>
        <w:keepNext/>
        <w:rPr>
          <w:rFonts w:ascii="Times New Roman" w:hAnsi="Times New Roman" w:cs="Times New Roman"/>
          <w:b/>
          <w:sz w:val="32"/>
          <w:szCs w:val="32"/>
        </w:rPr>
      </w:pPr>
      <w:r w:rsidRPr="00614DBA">
        <w:rPr>
          <w:rFonts w:ascii="Times New Roman" w:hAnsi="Times New Roman" w:cs="Times New Roman"/>
          <w:b/>
          <w:sz w:val="32"/>
          <w:szCs w:val="32"/>
        </w:rPr>
        <w:t xml:space="preserve">S 1. Outlier </w:t>
      </w:r>
      <w:r>
        <w:rPr>
          <w:rFonts w:ascii="Times New Roman" w:hAnsi="Times New Roman" w:cs="Times New Roman"/>
          <w:b/>
          <w:sz w:val="32"/>
          <w:szCs w:val="32"/>
        </w:rPr>
        <w:t>Detection</w:t>
      </w:r>
    </w:p>
    <w:p w14:paraId="097BF767" w14:textId="77777777" w:rsidR="00614DBA" w:rsidRDefault="00614DBA" w:rsidP="00614DBA">
      <w:pPr>
        <w:keepNext/>
      </w:pPr>
    </w:p>
    <w:p w14:paraId="2EE12367" w14:textId="418E41B8" w:rsidR="00614DBA" w:rsidRDefault="00614DBA" w:rsidP="00614DBA">
      <w:pPr>
        <w:keepNext/>
      </w:pPr>
      <w:r>
        <w:rPr>
          <w:noProof/>
        </w:rPr>
        <w:drawing>
          <wp:inline distT="0" distB="0" distL="0" distR="0" wp14:anchorId="597B98AD" wp14:editId="79B6DF06">
            <wp:extent cx="5727700" cy="572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pdf"/>
                    <pic:cNvPicPr/>
                  </pic:nvPicPr>
                  <pic:blipFill>
                    <a:blip r:embed="rId7">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0D9F8F8D" w14:textId="4B240933" w:rsidR="008B6E02" w:rsidRPr="00614DBA" w:rsidRDefault="00614DBA" w:rsidP="00614DBA">
      <w:pPr>
        <w:pStyle w:val="Caption"/>
        <w:rPr>
          <w:rFonts w:ascii="Times New Roman" w:hAnsi="Times New Roman" w:cs="Times New Roman"/>
          <w:i w:val="0"/>
          <w:color w:val="000000" w:themeColor="text1"/>
          <w:sz w:val="24"/>
          <w:szCs w:val="24"/>
        </w:rPr>
      </w:pPr>
      <w:r w:rsidRPr="00614DBA">
        <w:rPr>
          <w:rFonts w:ascii="Times New Roman" w:hAnsi="Times New Roman" w:cs="Times New Roman"/>
          <w:b/>
          <w:i w:val="0"/>
          <w:color w:val="000000" w:themeColor="text1"/>
          <w:sz w:val="24"/>
          <w:szCs w:val="24"/>
        </w:rPr>
        <w:t xml:space="preserve">Figure </w:t>
      </w:r>
      <w:r w:rsidRPr="00614DBA">
        <w:rPr>
          <w:rFonts w:ascii="Times New Roman" w:hAnsi="Times New Roman" w:cs="Times New Roman"/>
          <w:b/>
          <w:i w:val="0"/>
          <w:color w:val="000000" w:themeColor="text1"/>
          <w:sz w:val="24"/>
          <w:szCs w:val="24"/>
        </w:rPr>
        <w:fldChar w:fldCharType="begin"/>
      </w:r>
      <w:r w:rsidRPr="00614DBA">
        <w:rPr>
          <w:rFonts w:ascii="Times New Roman" w:hAnsi="Times New Roman" w:cs="Times New Roman"/>
          <w:b/>
          <w:i w:val="0"/>
          <w:color w:val="000000" w:themeColor="text1"/>
          <w:sz w:val="24"/>
          <w:szCs w:val="24"/>
        </w:rPr>
        <w:instrText xml:space="preserve"> SEQ Figure \* ARABIC </w:instrText>
      </w:r>
      <w:r w:rsidRPr="00614DBA">
        <w:rPr>
          <w:rFonts w:ascii="Times New Roman" w:hAnsi="Times New Roman" w:cs="Times New Roman"/>
          <w:b/>
          <w:i w:val="0"/>
          <w:color w:val="000000" w:themeColor="text1"/>
          <w:sz w:val="24"/>
          <w:szCs w:val="24"/>
        </w:rPr>
        <w:fldChar w:fldCharType="separate"/>
      </w:r>
      <w:r w:rsidRPr="00614DBA">
        <w:rPr>
          <w:rFonts w:ascii="Times New Roman" w:hAnsi="Times New Roman" w:cs="Times New Roman"/>
          <w:b/>
          <w:i w:val="0"/>
          <w:noProof/>
          <w:color w:val="000000" w:themeColor="text1"/>
          <w:sz w:val="24"/>
          <w:szCs w:val="24"/>
        </w:rPr>
        <w:t>1</w:t>
      </w:r>
      <w:r w:rsidRPr="00614DBA">
        <w:rPr>
          <w:rFonts w:ascii="Times New Roman" w:hAnsi="Times New Roman" w:cs="Times New Roman"/>
          <w:b/>
          <w:i w:val="0"/>
          <w:color w:val="000000" w:themeColor="text1"/>
          <w:sz w:val="24"/>
          <w:szCs w:val="24"/>
        </w:rPr>
        <w:fldChar w:fldCharType="end"/>
      </w:r>
      <w:r w:rsidRPr="00614DBA">
        <w:rPr>
          <w:rFonts w:ascii="Times New Roman" w:hAnsi="Times New Roman" w:cs="Times New Roman"/>
          <w:i w:val="0"/>
          <w:color w:val="000000" w:themeColor="text1"/>
          <w:sz w:val="24"/>
          <w:szCs w:val="24"/>
        </w:rPr>
        <w:t xml:space="preserve">  Martingale residuals against linear predictors for both datasets</w:t>
      </w:r>
    </w:p>
    <w:p w14:paraId="6742C521" w14:textId="07917662" w:rsidR="00614DBA" w:rsidRDefault="00614DBA"/>
    <w:p w14:paraId="72773696" w14:textId="2172450A" w:rsidR="00614DBA" w:rsidRDefault="00614DBA" w:rsidP="00614DBA">
      <w:pPr>
        <w:jc w:val="both"/>
        <w:rPr>
          <w:rFonts w:ascii="Times New Roman" w:hAnsi="Times New Roman" w:cs="Times New Roman"/>
          <w:iCs/>
          <w:color w:val="000000" w:themeColor="text1"/>
        </w:rPr>
      </w:pPr>
      <w:r w:rsidRPr="00614DBA">
        <w:rPr>
          <w:rFonts w:ascii="Times New Roman" w:hAnsi="Times New Roman" w:cs="Times New Roman"/>
          <w:iCs/>
          <w:color w:val="000000" w:themeColor="text1"/>
        </w:rPr>
        <w:t xml:space="preserve">In terms of outlier detection in the datasets, a plot of Martingale residuals against linear prediction is very practical </w:t>
      </w:r>
      <w:sdt>
        <w:sdtPr>
          <w:rPr>
            <w:rFonts w:ascii="Times New Roman" w:hAnsi="Times New Roman" w:cs="Times New Roman"/>
            <w:iCs/>
            <w:color w:val="000000" w:themeColor="text1"/>
          </w:rPr>
          <w:tag w:val="MENDELEY_CITATION_v3_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"/>
          <w:id w:val="977888100"/>
          <w:placeholder>
            <w:docPart w:val="E15990E59163FF47AD9ECA567BABA966"/>
          </w:placeholder>
        </w:sdtPr>
        <w:sdtEndPr/>
        <w:sdtContent>
          <w:r w:rsidRPr="00614DBA">
            <w:rPr>
              <w:rFonts w:ascii="Times New Roman" w:hAnsi="Times New Roman" w:cs="Times New Roman"/>
              <w:iCs/>
              <w:color w:val="000000" w:themeColor="text1"/>
            </w:rPr>
            <w:t>[1]</w:t>
          </w:r>
        </w:sdtContent>
      </w:sdt>
      <w:r w:rsidRPr="00614DBA">
        <w:rPr>
          <w:rFonts w:ascii="Times New Roman" w:hAnsi="Times New Roman" w:cs="Times New Roman"/>
          <w:iCs/>
          <w:color w:val="000000" w:themeColor="text1"/>
        </w:rPr>
        <w:t xml:space="preserve">. It helps to identify the subjects who have event very soon or do not have event </w:t>
      </w:r>
      <w:sdt>
        <w:sdtPr>
          <w:rPr>
            <w:rFonts w:ascii="Times New Roman" w:hAnsi="Times New Roman" w:cs="Times New Roman"/>
            <w:iCs/>
            <w:color w:val="000000" w:themeColor="text1"/>
          </w:rPr>
          <w:tag w:val="MENDELEY_CITATION_v3_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"/>
          <w:id w:val="1984195681"/>
          <w:placeholder>
            <w:docPart w:val="E15990E59163FF47AD9ECA567BABA966"/>
          </w:placeholder>
        </w:sdtPr>
        <w:sdtEndPr/>
        <w:sdtContent>
          <w:r w:rsidRPr="00614DBA">
            <w:rPr>
              <w:rFonts w:ascii="Times New Roman" w:hAnsi="Times New Roman" w:cs="Times New Roman"/>
              <w:iCs/>
              <w:color w:val="000000" w:themeColor="text1"/>
            </w:rPr>
            <w:t>[2]</w:t>
          </w:r>
        </w:sdtContent>
      </w:sdt>
      <w:r w:rsidRPr="00614DBA">
        <w:rPr>
          <w:rFonts w:ascii="Times New Roman" w:hAnsi="Times New Roman" w:cs="Times New Roman"/>
          <w:iCs/>
          <w:color w:val="000000" w:themeColor="text1"/>
        </w:rPr>
        <w:t xml:space="preserve">. Figure 1 indicates the Martingale residuals against linear predictor for both datasets, in order to examine the potential outliers. In GBSG2 study, there are 3 outliers with the lowest Martingale residuals as shown in the left panel in Figure 1: Patient 116, 163, 42. They are scrutinized carefully. They do not have the event and do not receive the hormonal therapy. The reason why they are detected outlier is that the number of positive nodes is the most important variable in the model as can be seen in Table 3, variable importance figures subsequently. In METABRIC study, there are two outliers: Patients 278 and 830. Patient 278 is 61 years old with tumor size 50mm and number of 15 positive nodes. Patient 830 is 63 years old with tumor size 22mm and mutation count 24. This patient lived unexpectedly long. Despite </w:t>
      </w:r>
      <w:r w:rsidRPr="00614DBA">
        <w:rPr>
          <w:rFonts w:ascii="Times New Roman" w:hAnsi="Times New Roman" w:cs="Times New Roman"/>
          <w:iCs/>
          <w:color w:val="000000" w:themeColor="text1"/>
        </w:rPr>
        <w:lastRenderedPageBreak/>
        <w:t>the fact that these outliers may affect the models’ performances, excluding them from the analysis would be unrealistic. This is commonly encountered problem in the real-life problems, so that we keep them as they are.</w:t>
      </w:r>
    </w:p>
    <w:p w14:paraId="37CF4250" w14:textId="252FBAF3" w:rsidR="001D7412" w:rsidRDefault="001D7412" w:rsidP="00614DBA">
      <w:pPr>
        <w:jc w:val="both"/>
        <w:rPr>
          <w:rFonts w:ascii="Times New Roman" w:hAnsi="Times New Roman" w:cs="Times New Roman"/>
          <w:iCs/>
          <w:color w:val="000000" w:themeColor="text1"/>
        </w:rPr>
      </w:pPr>
    </w:p>
    <w:p w14:paraId="7E5BEB47" w14:textId="77777777" w:rsidR="001D7412" w:rsidRDefault="001D7412" w:rsidP="001D7412">
      <w:pPr>
        <w:ind w:firstLine="360"/>
        <w:rPr>
          <w:b/>
          <w:bCs/>
          <w:sz w:val="28"/>
          <w:szCs w:val="28"/>
        </w:rPr>
      </w:pPr>
      <w:r>
        <w:rPr>
          <w:b/>
          <w:bCs/>
          <w:sz w:val="28"/>
          <w:szCs w:val="28"/>
        </w:rPr>
        <w:t xml:space="preserve">S 2 </w:t>
      </w:r>
    </w:p>
    <w:p w14:paraId="275DFCB4" w14:textId="77777777" w:rsidR="001D7412" w:rsidRPr="001D7412" w:rsidRDefault="001D7412" w:rsidP="001D7412">
      <w:pPr>
        <w:ind w:firstLine="360"/>
        <w:jc w:val="center"/>
        <w:rPr>
          <w:rFonts w:ascii="Times New Roman" w:hAnsi="Times New Roman" w:cs="Times New Roman"/>
          <w:iCs/>
          <w:color w:val="000000" w:themeColor="text1"/>
        </w:rPr>
      </w:pPr>
    </w:p>
    <w:p w14:paraId="5BB44D3F" w14:textId="77777777" w:rsidR="001D7412" w:rsidRPr="001D7412" w:rsidRDefault="001D7412" w:rsidP="001D7412">
      <w:pPr>
        <w:jc w:val="both"/>
        <w:rPr>
          <w:rFonts w:ascii="Times New Roman" w:hAnsi="Times New Roman" w:cs="Times New Roman"/>
          <w:iCs/>
          <w:color w:val="000000" w:themeColor="text1"/>
        </w:rPr>
      </w:pPr>
      <w:r w:rsidRPr="001D7412">
        <w:rPr>
          <w:rFonts w:ascii="Times New Roman" w:hAnsi="Times New Roman" w:cs="Times New Roman"/>
          <w:iCs/>
          <w:color w:val="000000" w:themeColor="text1"/>
        </w:rPr>
        <w:t xml:space="preserve">In order to illustrate a construction of the three hypothetical new individuals is made. These hypothetic patients have the same variables as in the GBSG2 study with different ages: They do not receive hormonal therapy, have 3 positive nodes, their tumor size is 25 mm, their tumor is second grade, their progesterone receptor is 32 fmol, estrogen receptor is 36 fmol. Their ages are 24, 53 and 73 and the younger one is on premenopausal status, the rest are on postmenopausal status. </w:t>
      </w:r>
    </w:p>
    <w:p w14:paraId="2F044B25" w14:textId="77777777" w:rsidR="001D7412" w:rsidRPr="001D7412" w:rsidRDefault="001D7412" w:rsidP="001D7412">
      <w:pPr>
        <w:ind w:firstLine="360"/>
        <w:jc w:val="both"/>
        <w:rPr>
          <w:rFonts w:ascii="Times New Roman" w:hAnsi="Times New Roman" w:cs="Times New Roman"/>
          <w:iCs/>
          <w:color w:val="000000" w:themeColor="text1"/>
        </w:rPr>
      </w:pPr>
    </w:p>
    <w:p w14:paraId="52C39B70" w14:textId="77777777" w:rsidR="001D7412" w:rsidRPr="001D7412" w:rsidRDefault="001D7412" w:rsidP="001D7412">
      <w:pPr>
        <w:keepNext/>
        <w:spacing w:before="100" w:beforeAutospacing="1" w:after="100" w:afterAutospacing="1"/>
        <w:ind w:left="720"/>
        <w:rPr>
          <w:rFonts w:ascii="Times New Roman" w:hAnsi="Times New Roman" w:cs="Times New Roman"/>
          <w:iCs/>
          <w:color w:val="000000" w:themeColor="text1"/>
        </w:rPr>
      </w:pPr>
      <w:r w:rsidRPr="001D7412">
        <w:rPr>
          <w:rFonts w:ascii="Times New Roman" w:hAnsi="Times New Roman" w:cs="Times New Roman"/>
          <w:iCs/>
          <w:noProof/>
          <w:color w:val="000000" w:themeColor="text1"/>
        </w:rPr>
        <w:drawing>
          <wp:inline distT="0" distB="0" distL="0" distR="0" wp14:anchorId="06F80BBD" wp14:editId="74E6FDA4">
            <wp:extent cx="5727700" cy="33743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b.jpeg"/>
                    <pic:cNvPicPr/>
                  </pic:nvPicPr>
                  <pic:blipFill>
                    <a:blip r:embed="rId8">
                      <a:extLst>
                        <a:ext uri="{28A0092B-C50C-407E-A947-70E740481C1C}">
                          <a14:useLocalDpi xmlns:a14="http://schemas.microsoft.com/office/drawing/2010/main" val="0"/>
                        </a:ext>
                      </a:extLst>
                    </a:blip>
                    <a:stretch>
                      <a:fillRect/>
                    </a:stretch>
                  </pic:blipFill>
                  <pic:spPr>
                    <a:xfrm>
                      <a:off x="0" y="0"/>
                      <a:ext cx="5727700" cy="3374390"/>
                    </a:xfrm>
                    <a:prstGeom prst="rect">
                      <a:avLst/>
                    </a:prstGeom>
                  </pic:spPr>
                </pic:pic>
              </a:graphicData>
            </a:graphic>
          </wp:inline>
        </w:drawing>
      </w:r>
    </w:p>
    <w:p w14:paraId="352EFF17" w14:textId="6C75A49A" w:rsidR="001D7412" w:rsidRPr="001D7412" w:rsidRDefault="001D7412" w:rsidP="001D7412">
      <w:pPr>
        <w:ind w:firstLine="360"/>
        <w:jc w:val="both"/>
        <w:rPr>
          <w:rFonts w:ascii="Times New Roman" w:hAnsi="Times New Roman" w:cs="Times New Roman"/>
          <w:iCs/>
          <w:color w:val="000000" w:themeColor="text1"/>
        </w:rPr>
      </w:pPr>
      <w:r w:rsidRPr="001D7412">
        <w:rPr>
          <w:rFonts w:ascii="Times New Roman" w:hAnsi="Times New Roman" w:cs="Times New Roman"/>
          <w:b/>
          <w:iCs/>
          <w:color w:val="000000" w:themeColor="text1"/>
        </w:rPr>
        <w:t xml:space="preserve">Figure 2 </w:t>
      </w:r>
      <w:r w:rsidRPr="001D7412">
        <w:rPr>
          <w:rFonts w:ascii="Times New Roman" w:hAnsi="Times New Roman" w:cs="Times New Roman"/>
          <w:iCs/>
          <w:color w:val="000000" w:themeColor="text1"/>
        </w:rPr>
        <w:t>Survival curve predictions based on GSSG2 dataset for hypothetic Aged 24 patient left panel, Aged 53 patient middle panel, and Aged 73 patient right panel</w:t>
      </w:r>
    </w:p>
    <w:p w14:paraId="66FCE24E" w14:textId="77777777" w:rsidR="001D7412" w:rsidRPr="001D7412" w:rsidRDefault="001D7412" w:rsidP="001D7412">
      <w:pPr>
        <w:rPr>
          <w:rFonts w:ascii="Times New Roman" w:hAnsi="Times New Roman" w:cs="Times New Roman"/>
          <w:iCs/>
          <w:color w:val="000000" w:themeColor="text1"/>
        </w:rPr>
      </w:pPr>
    </w:p>
    <w:p w14:paraId="0E82B915" w14:textId="77777777" w:rsidR="001D7412" w:rsidRPr="001D7412" w:rsidRDefault="001D7412" w:rsidP="001D7412">
      <w:pPr>
        <w:rPr>
          <w:rFonts w:ascii="Times New Roman" w:hAnsi="Times New Roman" w:cs="Times New Roman"/>
          <w:iCs/>
          <w:color w:val="000000" w:themeColor="text1"/>
        </w:rPr>
      </w:pPr>
      <w:r w:rsidRPr="001D7412">
        <w:rPr>
          <w:rFonts w:ascii="Times New Roman" w:hAnsi="Times New Roman" w:cs="Times New Roman"/>
          <w:iCs/>
          <w:color w:val="000000" w:themeColor="text1"/>
        </w:rPr>
        <w:t xml:space="preserve">A new data construction has been made for the illustration purpose of the METABRIC data. Three hypothetical patients have been created with the same characteristics apart from age variable. </w:t>
      </w:r>
    </w:p>
    <w:p w14:paraId="48031FF0" w14:textId="77777777" w:rsidR="001D7412" w:rsidRPr="001D7412" w:rsidRDefault="001D7412" w:rsidP="001D7412">
      <w:pPr>
        <w:rPr>
          <w:rFonts w:ascii="Times New Roman" w:hAnsi="Times New Roman" w:cs="Times New Roman"/>
          <w:iCs/>
          <w:color w:val="000000" w:themeColor="text1"/>
        </w:rPr>
      </w:pPr>
    </w:p>
    <w:p w14:paraId="3AED14B4" w14:textId="77777777" w:rsidR="001D7412" w:rsidRPr="001D7412" w:rsidRDefault="001D7412" w:rsidP="001D7412">
      <w:pPr>
        <w:pStyle w:val="Caption"/>
        <w:keepNext/>
        <w:rPr>
          <w:rFonts w:ascii="Times New Roman" w:hAnsi="Times New Roman" w:cs="Times New Roman"/>
          <w:i w:val="0"/>
          <w:color w:val="000000" w:themeColor="text1"/>
          <w:sz w:val="24"/>
          <w:szCs w:val="24"/>
        </w:rPr>
      </w:pPr>
      <w:r w:rsidRPr="001D7412">
        <w:rPr>
          <w:rFonts w:ascii="Times New Roman" w:hAnsi="Times New Roman" w:cs="Times New Roman"/>
          <w:i w:val="0"/>
          <w:noProof/>
          <w:color w:val="000000" w:themeColor="text1"/>
          <w:sz w:val="24"/>
          <w:szCs w:val="24"/>
        </w:rPr>
        <w:lastRenderedPageBreak/>
        <w:drawing>
          <wp:inline distT="0" distB="0" distL="0" distR="0" wp14:anchorId="5C9D6E51" wp14:editId="1E9E0F71">
            <wp:extent cx="5473700" cy="547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73700" cy="5473700"/>
                    </a:xfrm>
                    <a:prstGeom prst="rect">
                      <a:avLst/>
                    </a:prstGeom>
                  </pic:spPr>
                </pic:pic>
              </a:graphicData>
            </a:graphic>
          </wp:inline>
        </w:drawing>
      </w:r>
    </w:p>
    <w:p w14:paraId="3440010D" w14:textId="2DA66D70" w:rsidR="001D7412" w:rsidRPr="001D7412" w:rsidRDefault="001D7412" w:rsidP="001D7412">
      <w:pPr>
        <w:pStyle w:val="Caption"/>
        <w:rPr>
          <w:rFonts w:ascii="Times New Roman" w:hAnsi="Times New Roman" w:cs="Times New Roman"/>
          <w:i w:val="0"/>
          <w:color w:val="000000" w:themeColor="text1"/>
          <w:sz w:val="24"/>
          <w:szCs w:val="24"/>
        </w:rPr>
      </w:pPr>
      <w:r w:rsidRPr="001D7412">
        <w:rPr>
          <w:rFonts w:ascii="Times New Roman" w:hAnsi="Times New Roman" w:cs="Times New Roman"/>
          <w:b/>
          <w:i w:val="0"/>
          <w:color w:val="000000" w:themeColor="text1"/>
          <w:sz w:val="24"/>
          <w:szCs w:val="24"/>
        </w:rPr>
        <w:t>Figure 3</w:t>
      </w:r>
      <w:r w:rsidRPr="001D7412">
        <w:rPr>
          <w:rFonts w:ascii="Times New Roman" w:hAnsi="Times New Roman" w:cs="Times New Roman"/>
          <w:i w:val="0"/>
          <w:color w:val="000000" w:themeColor="text1"/>
          <w:sz w:val="24"/>
          <w:szCs w:val="24"/>
        </w:rPr>
        <w:t xml:space="preserve"> Survival curve predictions based on GSSG2 dataset for hypothetic Aged 24 patient left panel, Aged 53 patient middle panel, and Aged 73 patient right panel</w:t>
      </w:r>
    </w:p>
    <w:p w14:paraId="16752A64" w14:textId="26643645" w:rsidR="001D7412" w:rsidRPr="001D7412" w:rsidRDefault="001D7412" w:rsidP="001D7412">
      <w:pPr>
        <w:jc w:val="both"/>
        <w:rPr>
          <w:rFonts w:ascii="Times New Roman" w:hAnsi="Times New Roman" w:cs="Times New Roman"/>
          <w:iCs/>
          <w:color w:val="000000" w:themeColor="text1"/>
        </w:rPr>
      </w:pPr>
      <w:r w:rsidRPr="001D7412">
        <w:rPr>
          <w:rFonts w:ascii="Times New Roman" w:hAnsi="Times New Roman" w:cs="Times New Roman"/>
          <w:iCs/>
          <w:color w:val="000000" w:themeColor="text1"/>
        </w:rPr>
        <w:t xml:space="preserve">Figure </w:t>
      </w:r>
      <w:r>
        <w:rPr>
          <w:rFonts w:ascii="Times New Roman" w:hAnsi="Times New Roman" w:cs="Times New Roman"/>
          <w:iCs/>
          <w:color w:val="000000" w:themeColor="text1"/>
        </w:rPr>
        <w:t>2</w:t>
      </w:r>
      <w:r w:rsidRPr="001D7412">
        <w:rPr>
          <w:rFonts w:ascii="Times New Roman" w:hAnsi="Times New Roman" w:cs="Times New Roman"/>
          <w:iCs/>
          <w:color w:val="000000" w:themeColor="text1"/>
        </w:rPr>
        <w:t xml:space="preserve"> and Figure </w:t>
      </w:r>
      <w:r>
        <w:rPr>
          <w:rFonts w:ascii="Times New Roman" w:hAnsi="Times New Roman" w:cs="Times New Roman"/>
          <w:iCs/>
          <w:color w:val="000000" w:themeColor="text1"/>
        </w:rPr>
        <w:t>3</w:t>
      </w:r>
      <w:r w:rsidRPr="001D7412">
        <w:rPr>
          <w:rFonts w:ascii="Times New Roman" w:hAnsi="Times New Roman" w:cs="Times New Roman"/>
          <w:iCs/>
          <w:color w:val="000000" w:themeColor="text1"/>
        </w:rPr>
        <w:t xml:space="preserve"> present the survival curves prediction for the patients for a given modelling strategy. The prediction is made through the all event times. The models yield nearly the same results for the old patients. The survival predictions of the RSF and Cforest models for the middle age do not differ much in GBSG2 study. For this patient the Cox PH model is more extreme. For the METABRIC study, the survival predictions of the patients based on the ensemble learning models nearly the same, whereas the Cox PH model has the highest survival probability predictions for all the subjects. </w:t>
      </w:r>
    </w:p>
    <w:p w14:paraId="27E7E990" w14:textId="77777777" w:rsidR="001D7412" w:rsidRPr="001D7412" w:rsidRDefault="001D7412" w:rsidP="001D7412">
      <w:pPr>
        <w:rPr>
          <w:rFonts w:ascii="Times New Roman" w:hAnsi="Times New Roman" w:cs="Times New Roman"/>
          <w:iCs/>
          <w:color w:val="000000" w:themeColor="text1"/>
        </w:rPr>
      </w:pPr>
    </w:p>
    <w:p w14:paraId="3323C57C" w14:textId="77777777" w:rsidR="001D7412" w:rsidRPr="00614DBA" w:rsidRDefault="001D7412" w:rsidP="00614DBA">
      <w:pPr>
        <w:jc w:val="both"/>
        <w:rPr>
          <w:rFonts w:ascii="Times New Roman" w:hAnsi="Times New Roman" w:cs="Times New Roman"/>
          <w:iCs/>
          <w:color w:val="000000" w:themeColor="text1"/>
        </w:rPr>
      </w:pPr>
    </w:p>
    <w:p w14:paraId="0538FE23" w14:textId="767A479F" w:rsidR="00614DBA" w:rsidRPr="001D7412" w:rsidRDefault="00614DBA">
      <w:pPr>
        <w:rPr>
          <w:rFonts w:ascii="Times New Roman" w:hAnsi="Times New Roman" w:cs="Times New Roman"/>
          <w:iCs/>
          <w:color w:val="000000" w:themeColor="text1"/>
        </w:rPr>
      </w:pPr>
    </w:p>
    <w:sdt>
      <w:sdtPr>
        <w:rPr>
          <w:rFonts w:ascii="Times New Roman" w:hAnsi="Times New Roman" w:cs="Times New Roman"/>
          <w:iCs/>
          <w:color w:val="000000" w:themeColor="text1"/>
        </w:rPr>
        <w:tag w:val="MENDELEY_BIBLIOGRAPHY"/>
        <w:id w:val="505643856"/>
        <w:placeholder>
          <w:docPart w:val="DefaultPlaceholder_-1854013440"/>
        </w:placeholder>
      </w:sdtPr>
      <w:sdtEndPr/>
      <w:sdtContent>
        <w:p w14:paraId="344372D1" w14:textId="77777777" w:rsidR="00614DBA" w:rsidRPr="001D7412" w:rsidRDefault="00614DBA">
          <w:pPr>
            <w:autoSpaceDE w:val="0"/>
            <w:autoSpaceDN w:val="0"/>
            <w:ind w:hanging="640"/>
            <w:divId w:val="288514796"/>
            <w:rPr>
              <w:rFonts w:ascii="Times New Roman" w:hAnsi="Times New Roman" w:cs="Times New Roman"/>
              <w:iCs/>
              <w:color w:val="000000" w:themeColor="text1"/>
            </w:rPr>
          </w:pPr>
          <w:r w:rsidRPr="001D7412">
            <w:rPr>
              <w:rFonts w:ascii="Times New Roman" w:hAnsi="Times New Roman" w:cs="Times New Roman"/>
              <w:iCs/>
              <w:color w:val="000000" w:themeColor="text1"/>
            </w:rPr>
            <w:t>[1]</w:t>
          </w:r>
          <w:r w:rsidRPr="001D7412">
            <w:rPr>
              <w:rFonts w:ascii="Times New Roman" w:hAnsi="Times New Roman" w:cs="Times New Roman"/>
              <w:iCs/>
              <w:color w:val="000000" w:themeColor="text1"/>
            </w:rPr>
            <w:tab/>
            <w:t>E. Carrasquinha, A. Veríssimo, and S. Vinga, “Consensus outlier detection in survival analysis using the rank product test Survival Analysis Cox regression model,” PLoS One, 2018, doi: 10.1101/421917.</w:t>
          </w:r>
        </w:p>
        <w:p w14:paraId="1A989DEF" w14:textId="77777777" w:rsidR="00614DBA" w:rsidRPr="001D7412" w:rsidRDefault="00614DBA">
          <w:pPr>
            <w:autoSpaceDE w:val="0"/>
            <w:autoSpaceDN w:val="0"/>
            <w:ind w:hanging="640"/>
            <w:divId w:val="226377690"/>
            <w:rPr>
              <w:rFonts w:ascii="Times New Roman" w:hAnsi="Times New Roman" w:cs="Times New Roman"/>
              <w:iCs/>
              <w:color w:val="000000" w:themeColor="text1"/>
            </w:rPr>
          </w:pPr>
          <w:r w:rsidRPr="001D7412">
            <w:rPr>
              <w:rFonts w:ascii="Times New Roman" w:hAnsi="Times New Roman" w:cs="Times New Roman"/>
              <w:iCs/>
              <w:color w:val="000000" w:themeColor="text1"/>
            </w:rPr>
            <w:t>[2]</w:t>
          </w:r>
          <w:r w:rsidRPr="001D7412">
            <w:rPr>
              <w:rFonts w:ascii="Times New Roman" w:hAnsi="Times New Roman" w:cs="Times New Roman"/>
              <w:iCs/>
              <w:color w:val="000000" w:themeColor="text1"/>
            </w:rPr>
            <w:tab/>
            <w:t>Y. Xue and E. D. Schifano, “Diagnostics for the Cox model,” Commun Stat Appl Methods, vol. 24, no. 6, 2017, doi: 10.29220/CSAM.2017.24.6.583.</w:t>
          </w:r>
        </w:p>
        <w:p w14:paraId="4C1AA6D5" w14:textId="6BEFA3C7" w:rsidR="00614DBA" w:rsidRPr="001D7412" w:rsidRDefault="00614DBA">
          <w:pPr>
            <w:rPr>
              <w:rFonts w:ascii="Times New Roman" w:hAnsi="Times New Roman" w:cs="Times New Roman"/>
              <w:iCs/>
              <w:color w:val="000000" w:themeColor="text1"/>
            </w:rPr>
          </w:pPr>
          <w:r w:rsidRPr="001D7412">
            <w:rPr>
              <w:rFonts w:ascii="Times New Roman" w:hAnsi="Times New Roman" w:cs="Times New Roman"/>
              <w:iCs/>
              <w:color w:val="000000" w:themeColor="text1"/>
            </w:rPr>
            <w:lastRenderedPageBreak/>
            <w:t> </w:t>
          </w:r>
        </w:p>
      </w:sdtContent>
    </w:sdt>
    <w:sectPr w:rsidR="00614DBA" w:rsidRPr="001D7412" w:rsidSect="00E31397">
      <w:footerReference w:type="even" r:id="rId10"/>
      <w:footerReference w:type="defaul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311B2" w14:textId="77777777" w:rsidR="00157138" w:rsidRDefault="00157138"/>
  </w:endnote>
  <w:endnote w:type="continuationSeparator" w:id="0">
    <w:p w14:paraId="6EC750B6" w14:textId="77777777" w:rsidR="00157138" w:rsidRDefault="00157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78A4" w14:textId="77777777" w:rsidR="003E7F4F" w:rsidRDefault="003E7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D9F21" w14:textId="77777777" w:rsidR="003E7F4F" w:rsidRDefault="003E7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542B" w14:textId="77777777" w:rsidR="003E7F4F" w:rsidRDefault="003E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6F183" w14:textId="77777777" w:rsidR="00157138" w:rsidRDefault="00157138"/>
  </w:footnote>
  <w:footnote w:type="continuationSeparator" w:id="0">
    <w:p w14:paraId="46C2B838" w14:textId="77777777" w:rsidR="00157138" w:rsidRDefault="00157138"/>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ONCA BUYRUKOGLU">
    <w15:presenceInfo w15:providerId="AD" w15:userId="S::goncabuyrukoglu@karatekin.edu.tr::bc965e25-96e2-437b-983a-f07a1cc770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BA"/>
    <w:rsid w:val="00010FE2"/>
    <w:rsid w:val="00157138"/>
    <w:rsid w:val="001D3270"/>
    <w:rsid w:val="001D7412"/>
    <w:rsid w:val="002645E4"/>
    <w:rsid w:val="003A6407"/>
    <w:rsid w:val="003E7F4F"/>
    <w:rsid w:val="004643E9"/>
    <w:rsid w:val="00614DBA"/>
    <w:rsid w:val="006B145C"/>
    <w:rsid w:val="007130E0"/>
    <w:rsid w:val="008B6E02"/>
    <w:rsid w:val="00C65F52"/>
    <w:rsid w:val="00D501A8"/>
    <w:rsid w:val="00E31397"/>
    <w:rsid w:val="00F67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68FA"/>
  <w15:chartTrackingRefBased/>
  <w15:docId w15:val="{251C51BA-0A42-3945-B456-9A9D3BF8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DBA"/>
    <w:rPr>
      <w:color w:val="808080"/>
    </w:rPr>
  </w:style>
  <w:style w:type="paragraph" w:styleId="Caption">
    <w:name w:val="caption"/>
    <w:basedOn w:val="Normal"/>
    <w:next w:val="Normal"/>
    <w:uiPriority w:val="35"/>
    <w:unhideWhenUsed/>
    <w:qFormat/>
    <w:rsid w:val="00614DBA"/>
    <w:pPr>
      <w:spacing w:after="200"/>
    </w:pPr>
    <w:rPr>
      <w:i/>
      <w:iCs/>
      <w:color w:val="44546A" w:themeColor="text2"/>
      <w:sz w:val="18"/>
      <w:szCs w:val="18"/>
    </w:rPr>
  </w:style>
  <w:style w:type="paragraph" w:styleId="Footer">
    <w:name w:val="footer"/>
    <w:basedOn w:val="Normal"/>
    <w:link w:val="FooterChar"/>
    <w:uiPriority w:val="99"/>
    <w:unhideWhenUsed/>
    <w:rsid w:val="003E7F4F"/>
    <w:pPr>
      <w:tabs>
        <w:tab w:val="center" w:pos="4680"/>
        <w:tab w:val="right" w:pos="9360"/>
      </w:tabs>
    </w:pPr>
  </w:style>
  <w:style w:type="character" w:customStyle="1" w:styleId="FooterChar">
    <w:name w:val="Footer Char"/>
    <w:basedOn w:val="DefaultParagraphFont"/>
    <w:link w:val="Footer"/>
    <w:uiPriority w:val="99"/>
    <w:rsid w:val="003E7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13123">
      <w:bodyDiv w:val="1"/>
      <w:marLeft w:val="0"/>
      <w:marRight w:val="0"/>
      <w:marTop w:val="0"/>
      <w:marBottom w:val="0"/>
      <w:divBdr>
        <w:top w:val="none" w:sz="0" w:space="0" w:color="auto"/>
        <w:left w:val="none" w:sz="0" w:space="0" w:color="auto"/>
        <w:bottom w:val="none" w:sz="0" w:space="0" w:color="auto"/>
        <w:right w:val="none" w:sz="0" w:space="0" w:color="auto"/>
      </w:divBdr>
      <w:divsChild>
        <w:div w:id="288514796">
          <w:marLeft w:val="640"/>
          <w:marRight w:val="0"/>
          <w:marTop w:val="0"/>
          <w:marBottom w:val="0"/>
          <w:divBdr>
            <w:top w:val="none" w:sz="0" w:space="0" w:color="auto"/>
            <w:left w:val="none" w:sz="0" w:space="0" w:color="auto"/>
            <w:bottom w:val="none" w:sz="0" w:space="0" w:color="auto"/>
            <w:right w:val="none" w:sz="0" w:space="0" w:color="auto"/>
          </w:divBdr>
        </w:div>
        <w:div w:id="22637769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5990E59163FF47AD9ECA567BABA966"/>
        <w:category>
          <w:name w:val="General"/>
          <w:gallery w:val="placeholder"/>
        </w:category>
        <w:types>
          <w:type w:val="bbPlcHdr"/>
        </w:types>
        <w:behaviors>
          <w:behavior w:val="content"/>
        </w:behaviors>
        <w:guid w:val="{E8FA2C89-1208-B846-BA67-35ECE42C3FAF}"/>
      </w:docPartPr>
      <w:docPartBody>
        <w:p w:rsidR="00274CFF" w:rsidRDefault="007977B3" w:rsidP="007977B3">
          <w:pPr>
            <w:pStyle w:val="E15990E59163FF47AD9ECA567BABA966"/>
          </w:pPr>
          <w:r w:rsidRPr="00C84E1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066C9A5-70CB-4048-8222-635774C7F179}"/>
      </w:docPartPr>
      <w:docPartBody>
        <w:p w:rsidR="00274CFF" w:rsidRDefault="007977B3">
          <w:r w:rsidRPr="003346E8">
            <w:rPr>
              <w:rStyle w:val="PlaceholderText"/>
              <w:rPrChange w:id="0" w:author="GONCA BUYRUKOGLU" w:date="2024-05-05T13:27:00Z">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3"/>
    <w:rsid w:val="001C6247"/>
    <w:rsid w:val="00274CFF"/>
    <w:rsid w:val="006B145C"/>
    <w:rsid w:val="007977B3"/>
    <w:rsid w:val="00C65F52"/>
    <w:rsid w:val="00D3023A"/>
    <w:rsid w:val="00F04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7B3"/>
    <w:rPr>
      <w:color w:val="808080"/>
    </w:rPr>
  </w:style>
  <w:style w:type="paragraph" w:customStyle="1" w:styleId="E15990E59163FF47AD9ECA567BABA966">
    <w:name w:val="E15990E59163FF47AD9ECA567BABA966"/>
    <w:rsid w:val="00797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2CCBA7C-7043-7142-B1C8-763AAE9C6937}">
  <we:reference id="wa104382081" version="1.55.1.0" store="en-GB" storeType="OMEX"/>
  <we:alternateReferences>
    <we:reference id="WA104382081" version="1.55.1.0" store="" storeType="OMEX"/>
  </we:alternateReferences>
  <we:properties>
    <we:property name="MENDELEY_CITATIONS" value="[{&quot;citationID&quot;:&quot;MENDELEY_CITATION_e16576c8-e4a7-4eda-89d9-5f28080d314d&quot;,&quot;isEdited&quot;:false,&quot;properties&quot;:{&quot;noteIndex&quot;:0},&quot;manualOverride&quot;:{&quot;isManuallyOverridden&quot;:false,&quot;manualOverrideText&quot;:&quot;&quot;,&quot;citeprocText&quot;:&quot;[1]&quot;},&quot;citationTag&quot;:&quot;MENDELEY_CITATION_v3_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&quot;,&quot;citationItems&quot;:[{&quot;id&quot;:&quot;181d7a6e-f0bd-394d-820c-fdfdb4a3a97e&quot;,&quot;isTemporary&quot;:false,&quot;itemData&quot;:{&quot;type&quot;:&quot;article-journal&quot;,&quot;id&quot;:&quot;181d7a6e-f0bd-394d-820c-fdfdb4a3a97e&quot;,&quot;title&quot;:&quot;Consensus outlier detection in survival analysis using the rank product test Survival Analysis Cox regression model&quot;,&quot;author&quot;:[{&quot;family&quot;:&quot;Carrasquinha&quot;,&quot;given&quot;:&quot;Eunice&quot;,&quot;parse-names&quot;:false,&quot;dropping-particle&quot;:&quot;&quot;,&quot;non-dropping-particle&quot;:&quot;&quot;},{&quot;family&quot;:&quot;Veríssimo&quot;,&quot;given&quot;:&quot;André&quot;,&quot;parse-names&quot;:false,&quot;dropping-particle&quot;:&quot;&quot;,&quot;non-dropping-particle&quot;:&quot;&quot;},{&quot;family&quot;:&quot;Vinga&quot;,&quot;given&quot;:&quot;Susana&quot;,&quot;parse-names&quot;:false,&quot;dropping-particle&quot;:&quot;&quot;,&quot;non-dropping-particle&quot;:&quot;&quot;}],&quot;container-title&quot;:&quot;PLoS one&quot;,&quot;DOI&quot;:&quot;10.1101/421917&quot;,&quot;issued&quot;:{&quot;date-parts&quot;:[[2018]]},&quot;abstract&quot;:&quot;Survival analysis is a well known technique in the medical field. The identification of individuals whose survival time is too short or to long given their profile, assumes great importance for the detection of new prognostic factors. The study of these outlying observations have gained increasing rel-evancy with the availability of high-throughput molecular and clinical data for large cohorts of patients. Several methods for outlier detection in survival data have been proposed, which include the analysis of the residuals, the measurement of the concordance c-index, and methods based on quan-tile regression for censored data. However, different results are obtained depending on the type of method used. In order to solve the disparity of results we proposed to apply the Rank Product test. A simulated dataset, and two clinical datasets were used to illustrate our proposed consensus out-lier detection method, one from myeloma disease and the other from The Cancer Genome Atlas (TCGA) ovarian cancer. Finally, the Rank Product with multiple testing corrections was performed in order to identify which observations have the highest rank amongst the methods considered. Our results illustrate the potential of this consensus approach for the automated retrieval of outliers and also the identification of biomarkers associated with survival in large datasets.&quot;,&quot;container-title-short&quot;:&quot;PLoS One&quot;}}]},{&quot;citationID&quot;:&quot;MENDELEY_CITATION_72c4f744-33ca-4df3-ba74-cfab9eda128a&quot;,&quot;isEdited&quot;:false,&quot;properties&quot;:{&quot;noteIndex&quot;:0},&quot;manualOverride&quot;:{&quot;isManuallyOverridden&quot;:false,&quot;manualOverrideText&quot;:&quot;&quot;,&quot;citeprocText&quot;:&quot;[2]&quot;},&quot;citationTag&quot;:&quot;MENDELEY_CITATION_v3_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&quot;,&quot;citationItems&quot;:[{&quot;id&quot;:&quot;d0f55abc-42b0-3242-882b-82599d8f400f&quot;,&quot;isTemporary&quot;:false,&quot;itemData&quot;:{&quot;type&quot;:&quot;article-journal&quot;,&quot;id&quot;:&quot;d0f55abc-42b0-3242-882b-82599d8f400f&quot;,&quot;title&quot;:&quot;Diagnostics for the Cox model&quot;,&quot;author&quot;:[{&quot;family&quot;:&quot;Xue&quot;,&quot;given&quot;:&quot;Yishu&quot;,&quot;parse-names&quot;:false,&quot;dropping-particle&quot;:&quot;&quot;,&quot;non-dropping-particle&quot;:&quot;&quot;},{&quot;family&quot;:&quot;Schifano&quot;,&quot;given&quot;:&quot;Elizabeth D.&quot;,&quot;parse-names&quot;:false,&quot;dropping-particle&quot;:&quot;&quot;,&quot;non-dropping-particle&quot;:&quot;&quot;}],&quot;container-title&quot;:&quot;Communications for Statistical Applications and Methods&quot;,&quot;DOI&quot;:&quot;10.29220/CSAM.2017.24.6.583&quot;,&quot;ISSN&quot;:&quot;23834757&quot;,&quot;issued&quot;:{&quot;date-parts&quot;:[[2017]]},&quot;abstract&quot;:&quot;The most popular regression model for the analysis of time-to-event data is the Cox proportional hazards model. While the model specifies a parametric relationship between the hazard function and the predictor variables, there is no specification regarding the form of the baseline hazard function. A critical assumption of the Cox model, however, is the proportional hazards assumption: when the predictor variables do not vary over time, the hazard ratio comparing any two observations is constant with respect to time. Therefore, to perform credible estimation and inference, one must first assess whether the proportional hazards assumption is reasonable. As with other regression techniques, it is also essential to examine whether appropriate functional forms of the predictor variables have been used, and whether there are any outlying or influential observations. This article reviews diagnostic methods for assessing goodness-of-fit for the Cox proportional hazards model. We illustrate these methods with a case-study using available R functions, and provide complete R code for a simulated example as a supplement.&quot;,&quot;issue&quot;:&quot;6&quot;,&quot;volume&quot;:&quot;24&quot;,&quot;container-title-short&quot;:&quot;Commun Stat Appl Method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8366-664E-FA41-ADF6-6BE1ED9FB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502</Words>
  <Characters>2864</Characters>
  <Application>Microsoft Office Word</Application>
  <DocSecurity>4</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BUYRUKOGLU</dc:creator>
  <cp:keywords/>
  <dc:description/>
  <cp:lastModifiedBy>Langshaw, Rebecca</cp:lastModifiedBy>
  <cp:revision>2</cp:revision>
  <dcterms:created xsi:type="dcterms:W3CDTF">2024-07-02T18:29:00Z</dcterms:created>
  <dcterms:modified xsi:type="dcterms:W3CDTF">2024-07-02T18:29:00Z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2024-06-28T21:00:50Z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56992926-1eee-45e4-be56-59ecc7b45bfe</vt:lpwstr>
  </property>
  <property fmtid="{D5CDD505-2E9C-101B-9397-08002B2CF9AE}" pid="8" name="MSIP_Label_2bbab825-a111-45e4-86a1-18cee0005896_ContentBits">
    <vt:lpwstr>2</vt:lpwstr>
  </property>
</Properties>
</file>