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14C39" w14:textId="77777777" w:rsidR="006E38BF" w:rsidRDefault="006E38BF"/>
    <w:p w14:paraId="703330D4" w14:textId="4AB67D26" w:rsidR="00A87666" w:rsidRDefault="00DA36F1" w:rsidP="00A87666">
      <w:pPr>
        <w:pStyle w:val="HeadingSection"/>
        <w:numPr>
          <w:ilvl w:val="0"/>
          <w:numId w:val="0"/>
        </w:numPr>
        <w:ind w:left="331" w:hanging="331"/>
        <w:jc w:val="center"/>
        <w:rPr>
          <w:rFonts w:ascii="Times" w:hAnsi="Times" w:cs="Times"/>
          <w:b w:val="0"/>
          <w:noProof/>
          <w:snapToGrid w:val="0"/>
          <w:spacing w:val="0"/>
          <w:sz w:val="24"/>
          <w:szCs w:val="24"/>
          <w:lang w:eastAsia="de-DE" w:bidi="en-US"/>
        </w:rPr>
      </w:pPr>
      <w:r>
        <w:rPr>
          <w:rFonts w:ascii="Times" w:hAnsi="Times" w:cs="Times"/>
          <w:b w:val="0"/>
          <w:noProof/>
          <w:snapToGrid w:val="0"/>
          <w:spacing w:val="0"/>
          <w:sz w:val="24"/>
          <w:szCs w:val="24"/>
          <w:lang w:eastAsia="de-DE" w:bidi="en-US"/>
        </w:rPr>
        <w:t>Annexure 1</w:t>
      </w:r>
      <w:r w:rsidR="00A87666" w:rsidRPr="00A87666">
        <w:rPr>
          <w:rFonts w:ascii="Times" w:hAnsi="Times" w:cs="Times"/>
          <w:b w:val="0"/>
          <w:noProof/>
          <w:snapToGrid w:val="0"/>
          <w:spacing w:val="0"/>
          <w:sz w:val="24"/>
          <w:szCs w:val="24"/>
          <w:lang w:eastAsia="de-DE" w:bidi="en-US"/>
        </w:rPr>
        <w:t xml:space="preserve"> Categorization of literature based on </w:t>
      </w:r>
      <w:r w:rsidR="00A87666">
        <w:rPr>
          <w:rFonts w:ascii="Times" w:hAnsi="Times" w:cs="Times"/>
          <w:b w:val="0"/>
          <w:noProof/>
          <w:snapToGrid w:val="0"/>
          <w:spacing w:val="0"/>
          <w:sz w:val="24"/>
          <w:szCs w:val="24"/>
          <w:lang w:eastAsia="de-DE" w:bidi="en-US"/>
        </w:rPr>
        <w:t xml:space="preserve">a </w:t>
      </w:r>
      <w:r w:rsidR="00A87666" w:rsidRPr="00A87666">
        <w:rPr>
          <w:rFonts w:ascii="Times" w:hAnsi="Times" w:cs="Times"/>
          <w:b w:val="0"/>
          <w:noProof/>
          <w:snapToGrid w:val="0"/>
          <w:spacing w:val="0"/>
          <w:sz w:val="24"/>
          <w:szCs w:val="24"/>
          <w:lang w:eastAsia="de-DE" w:bidi="en-US"/>
        </w:rPr>
        <w:t>classification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489"/>
        <w:gridCol w:w="1866"/>
        <w:gridCol w:w="3604"/>
      </w:tblGrid>
      <w:tr w:rsidR="00A87666" w:rsidRPr="00A87666" w14:paraId="02D4FD84" w14:textId="77777777" w:rsidTr="00FE4223">
        <w:tc>
          <w:tcPr>
            <w:tcW w:w="208" w:type="pct"/>
            <w:shd w:val="clear" w:color="auto" w:fill="auto"/>
          </w:tcPr>
          <w:p w14:paraId="46128A50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505103C4" w14:textId="77777777" w:rsidR="00A87666" w:rsidRPr="00A87666" w:rsidRDefault="00A87666" w:rsidP="00FE4223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963" w:type="pct"/>
            <w:shd w:val="clear" w:color="auto" w:fill="auto"/>
          </w:tcPr>
          <w:p w14:paraId="4F0A54D6" w14:textId="77777777" w:rsidR="00A87666" w:rsidRPr="00A87666" w:rsidRDefault="00A87666" w:rsidP="00FE4223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Category &amp; Type</w:t>
            </w:r>
          </w:p>
        </w:tc>
        <w:tc>
          <w:tcPr>
            <w:tcW w:w="1945" w:type="pct"/>
            <w:shd w:val="clear" w:color="auto" w:fill="auto"/>
          </w:tcPr>
          <w:p w14:paraId="5A657F64" w14:textId="77777777" w:rsidR="00A87666" w:rsidRPr="00A87666" w:rsidRDefault="00A87666" w:rsidP="00FE4223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Observations</w:t>
            </w:r>
          </w:p>
        </w:tc>
      </w:tr>
      <w:tr w:rsidR="00A87666" w:rsidRPr="00A87666" w14:paraId="14D90D06" w14:textId="77777777" w:rsidTr="00FE4223">
        <w:tc>
          <w:tcPr>
            <w:tcW w:w="208" w:type="pct"/>
            <w:vMerge w:val="restart"/>
            <w:shd w:val="clear" w:color="auto" w:fill="auto"/>
            <w:textDirection w:val="btLr"/>
          </w:tcPr>
          <w:p w14:paraId="400E70CB" w14:textId="77777777" w:rsidR="00A87666" w:rsidRPr="00A87666" w:rsidRDefault="00A87666" w:rsidP="00FE4223">
            <w:pPr>
              <w:ind w:left="113" w:right="113"/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Advantages</w:t>
            </w:r>
          </w:p>
        </w:tc>
        <w:tc>
          <w:tcPr>
            <w:tcW w:w="1884" w:type="pct"/>
            <w:shd w:val="clear" w:color="auto" w:fill="auto"/>
          </w:tcPr>
          <w:p w14:paraId="0509EC4D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Kaplan &amp; Haenlein (2020), Farhud &amp; Zokaei (2021), Carayon et al. (2018), Pee et al. (2018), Gandomi et al. (2022), Tobore et al. (2019), Khater et al. (2023), Priyadharshini et al. (2023), Kumar K et al. (2023), Abbas et al. (2023), Kumar et al. (2022), Meena &amp; Hasija (2022), Patel et al. (2021), Hossain et al. (2020), Hekler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(2019), Yehia et al. (2019), Jin et al. (2019),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Mobiny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(2019</w:t>
            </w:r>
          </w:p>
        </w:tc>
        <w:tc>
          <w:tcPr>
            <w:tcW w:w="963" w:type="pct"/>
            <w:shd w:val="clear" w:color="auto" w:fill="auto"/>
          </w:tcPr>
          <w:p w14:paraId="68BAF434" w14:textId="77777777" w:rsidR="00A87666" w:rsidRPr="00A87666" w:rsidRDefault="00A87666" w:rsidP="00FE4223">
            <w:pPr>
              <w:widowControl w:val="0"/>
              <w:adjustRightInd w:val="0"/>
              <w:snapToGrid w:val="0"/>
              <w:jc w:val="both"/>
              <w:rPr>
                <w:rFonts w:ascii="Times" w:eastAsia="SimSun" w:hAnsi="Times" w:cs="Times"/>
                <w:snapToGrid w:val="0"/>
                <w:sz w:val="18"/>
                <w:szCs w:val="18"/>
                <w:lang w:eastAsia="de-DE" w:bidi="en-US"/>
              </w:rPr>
            </w:pPr>
            <w:r w:rsidRPr="00A87666">
              <w:rPr>
                <w:rFonts w:ascii="Times" w:eastAsia="SimSun" w:hAnsi="Times" w:cs="Times"/>
                <w:snapToGrid w:val="0"/>
                <w:sz w:val="18"/>
                <w:szCs w:val="18"/>
                <w:lang w:eastAsia="de-DE" w:bidi="en-US"/>
              </w:rPr>
              <w:t xml:space="preserve">Medical Sector </w:t>
            </w:r>
          </w:p>
          <w:p w14:paraId="67374B80" w14:textId="77777777" w:rsidR="00A87666" w:rsidRPr="00A87666" w:rsidRDefault="00A87666" w:rsidP="00FE4223">
            <w:pPr>
              <w:widowControl w:val="0"/>
              <w:adjustRightInd w:val="0"/>
              <w:snapToGrid w:val="0"/>
              <w:ind w:left="720"/>
              <w:jc w:val="both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945" w:type="pct"/>
            <w:shd w:val="clear" w:color="auto" w:fill="auto"/>
          </w:tcPr>
          <w:p w14:paraId="4F585AD2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Database sharing: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Early diagnosis, Process ease, Patient monitoring, Automated decision making. </w:t>
            </w:r>
          </w:p>
          <w:p w14:paraId="0BA104A8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Professional Training: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Organizational workflow assistance, Improved performance, Professional training, Data sharing, and availability. </w:t>
            </w:r>
          </w:p>
          <w:p w14:paraId="3B3C56C1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Resource Utilization: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The medical sector consumes fewer resources, provides basic training, saves time, and has data availability. - </w:t>
            </w: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Insurance and Claim management: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Improved management and efficiency in handling claims and insurance processes.</w:t>
            </w:r>
          </w:p>
        </w:tc>
      </w:tr>
      <w:tr w:rsidR="00A87666" w:rsidRPr="00A87666" w14:paraId="32CD7DD7" w14:textId="77777777" w:rsidTr="00FE4223">
        <w:tc>
          <w:tcPr>
            <w:tcW w:w="208" w:type="pct"/>
            <w:vMerge/>
            <w:shd w:val="clear" w:color="auto" w:fill="auto"/>
          </w:tcPr>
          <w:p w14:paraId="65D549A9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4277D839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Carayon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(2018), Pee et al. </w:t>
            </w: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(2018), Gandomi et al. (2022), Khater et al. (2023), Maqsood &amp; Damaševičius (2023), Shahin et al. (2023), Kumar K et al. (2023), Magdy et al. (2023), Abbas et al. (2023), Kumar et al. (2022), Meena &amp; Hasija (2022), Patel et al. (2021), Carvalho et al. (2021), Hossain et al. (2020), Yehia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>(2019)</w:t>
            </w:r>
          </w:p>
        </w:tc>
        <w:tc>
          <w:tcPr>
            <w:tcW w:w="963" w:type="pct"/>
            <w:shd w:val="clear" w:color="auto" w:fill="auto"/>
          </w:tcPr>
          <w:p w14:paraId="0AAED7E7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eastAsia="SimSun" w:hAnsi="Times" w:cs="Times"/>
                <w:snapToGrid w:val="0"/>
                <w:sz w:val="18"/>
                <w:szCs w:val="18"/>
                <w:lang w:bidi="en-US"/>
              </w:rPr>
              <w:t xml:space="preserve">Clinical Specific/Organizations </w:t>
            </w:r>
          </w:p>
        </w:tc>
        <w:tc>
          <w:tcPr>
            <w:tcW w:w="1945" w:type="pct"/>
            <w:shd w:val="clear" w:color="auto" w:fill="auto"/>
          </w:tcPr>
          <w:p w14:paraId="709D808C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Work order management, KPIs: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Organizational workflow assistance, Improved performance, Professional training, Data sharing, and availability. </w:t>
            </w:r>
          </w:p>
          <w:p w14:paraId="65596D93" w14:textId="3AC00E42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Cost</w:t>
            </w:r>
            <w:r>
              <w:rPr>
                <w:rStyle w:val="Strong"/>
                <w:rFonts w:ascii="Times" w:hAnsi="Times" w:cs="Times"/>
                <w:sz w:val="18"/>
                <w:szCs w:val="18"/>
              </w:rPr>
              <w:t>-</w:t>
            </w: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saving models: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Improved efficiency and reduced costs in clinical settings.</w:t>
            </w:r>
          </w:p>
        </w:tc>
      </w:tr>
      <w:tr w:rsidR="00A87666" w:rsidRPr="00A87666" w14:paraId="53620BB6" w14:textId="77777777" w:rsidTr="00FE4223">
        <w:trPr>
          <w:trHeight w:val="1413"/>
        </w:trPr>
        <w:tc>
          <w:tcPr>
            <w:tcW w:w="208" w:type="pct"/>
            <w:vMerge/>
            <w:shd w:val="clear" w:color="auto" w:fill="auto"/>
          </w:tcPr>
          <w:p w14:paraId="106167FE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03DF284F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Kaplan &amp; Haenlein (2020), Farhud &amp; Zokaei (2021), Sturmberg &amp; Bircher (2019), Strachna &amp; Asan (2020), Istepanian &amp; Al-Anzi (2018), Priyadharshini et al. (2023), Mridha et al. (2023), Abbas et al. (2023), Kumar et al. (2022), Biasi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(2022), Patel et al. (2021), Hossain et al. (2020), Hekler et al. (2019), Yehia et al. (2019), Jin et al. (2019),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Mobiny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(2019)</w:t>
            </w:r>
          </w:p>
        </w:tc>
        <w:tc>
          <w:tcPr>
            <w:tcW w:w="963" w:type="pct"/>
            <w:shd w:val="clear" w:color="auto" w:fill="auto"/>
          </w:tcPr>
          <w:p w14:paraId="231A188C" w14:textId="77777777" w:rsidR="00A87666" w:rsidRPr="00A87666" w:rsidRDefault="00A87666" w:rsidP="00FE4223">
            <w:pPr>
              <w:rPr>
                <w:rFonts w:ascii="Times" w:eastAsia="SimSun" w:hAnsi="Times" w:cs="Times"/>
                <w:snapToGrid w:val="0"/>
                <w:sz w:val="18"/>
                <w:szCs w:val="18"/>
                <w:lang w:bidi="en-US"/>
              </w:rPr>
            </w:pPr>
            <w:r w:rsidRPr="00A87666">
              <w:rPr>
                <w:rFonts w:ascii="Times" w:eastAsia="SimSun" w:hAnsi="Times" w:cs="Times"/>
                <w:snapToGrid w:val="0"/>
                <w:sz w:val="18"/>
                <w:szCs w:val="18"/>
                <w:lang w:bidi="en-US"/>
              </w:rPr>
              <w:t>Patient</w:t>
            </w:r>
          </w:p>
        </w:tc>
        <w:tc>
          <w:tcPr>
            <w:tcW w:w="1945" w:type="pct"/>
            <w:shd w:val="clear" w:color="auto" w:fill="auto"/>
          </w:tcPr>
          <w:p w14:paraId="3B2C6F07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Automated decision-making: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Enhanced decision-making processes for patient treatment and monitoring. </w:t>
            </w:r>
          </w:p>
          <w:p w14:paraId="32AC33EA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Patient treatment &amp; monitoring: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Simplified Process &amp; Early Detection, Increased efficiency in terms of cost &amp; time. </w:t>
            </w:r>
          </w:p>
          <w:p w14:paraId="13505FB8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Simplified Process &amp; Early Detection: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Improved early detection of conditions, leading to better patient outcomes. </w:t>
            </w:r>
          </w:p>
          <w:p w14:paraId="0D74C2CE" w14:textId="3366EAE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Style w:val="Strong"/>
                <w:rFonts w:ascii="Times" w:hAnsi="Times" w:cs="Times"/>
                <w:sz w:val="18"/>
                <w:szCs w:val="18"/>
              </w:rPr>
              <w:t>Increased efficiency in cost &amp; time: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Reduction in costs and time required for treatment and monitoring.</w:t>
            </w:r>
          </w:p>
        </w:tc>
      </w:tr>
      <w:tr w:rsidR="00A87666" w:rsidRPr="00A87666" w14:paraId="69A34D93" w14:textId="77777777" w:rsidTr="00FE4223">
        <w:trPr>
          <w:trHeight w:val="1364"/>
        </w:trPr>
        <w:tc>
          <w:tcPr>
            <w:tcW w:w="208" w:type="pct"/>
            <w:vMerge w:val="restart"/>
            <w:shd w:val="clear" w:color="auto" w:fill="auto"/>
            <w:textDirection w:val="btLr"/>
          </w:tcPr>
          <w:p w14:paraId="73682BC4" w14:textId="77777777" w:rsidR="00A87666" w:rsidRPr="00A87666" w:rsidRDefault="00A87666" w:rsidP="00FE42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Challenges</w:t>
            </w:r>
          </w:p>
        </w:tc>
        <w:tc>
          <w:tcPr>
            <w:tcW w:w="1884" w:type="pct"/>
            <w:shd w:val="clear" w:color="auto" w:fill="auto"/>
          </w:tcPr>
          <w:p w14:paraId="7E63F88F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Kaplan &amp; Haenlein (2020), Carayon et al. (2018), Pee et al. (2018), Istepanian &amp; Al-Anzi (2018), Gandomi et al. (2022), Tobore et al. (2019), Khater et al. (2023), Mbunge &amp; Batani (2023), Maqsood &amp; Damaševičius (2023), Shahin et al. (2023), Kumar K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(2023), Meena &amp; Hasija (2022),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Moloud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Abdar et al. (2021), Patel et al. (2021), Hossain et al. (2020), Hekler et al. (2019), Yehia et al. (2019), Jin et al. (2019),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Mobiny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(2019)</w:t>
            </w:r>
          </w:p>
        </w:tc>
        <w:tc>
          <w:tcPr>
            <w:tcW w:w="963" w:type="pct"/>
            <w:shd w:val="clear" w:color="auto" w:fill="auto"/>
          </w:tcPr>
          <w:p w14:paraId="5C43779D" w14:textId="77777777" w:rsidR="00A87666" w:rsidRPr="00A87666" w:rsidRDefault="00A87666" w:rsidP="00FE4223">
            <w:pPr>
              <w:rPr>
                <w:rFonts w:ascii="Times" w:eastAsia="SimSun" w:hAnsi="Times" w:cs="Times"/>
                <w:snapToGrid w:val="0"/>
                <w:sz w:val="18"/>
                <w:szCs w:val="18"/>
                <w:lang w:bidi="en-US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Safety of the patient</w:t>
            </w:r>
          </w:p>
        </w:tc>
        <w:tc>
          <w:tcPr>
            <w:tcW w:w="1945" w:type="pct"/>
            <w:shd w:val="clear" w:color="auto" w:fill="auto"/>
          </w:tcPr>
          <w:p w14:paraId="2350B102" w14:textId="33EEE0B4" w:rsidR="00A87666" w:rsidRPr="00A87666" w:rsidRDefault="00A87666" w:rsidP="00FE4223">
            <w:pPr>
              <w:jc w:val="both"/>
              <w:rPr>
                <w:rStyle w:val="Strong"/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Privacy, Legal, and Compliance with 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Government Regulations I</w:t>
            </w: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ssues</w:t>
            </w:r>
            <w:r w:rsidRPr="00A87666">
              <w:rPr>
                <w:rFonts w:ascii="Times" w:hAnsi="Times" w:cs="Times"/>
                <w:sz w:val="18"/>
                <w:szCs w:val="18"/>
              </w:rPr>
              <w:t>: Concerns about patient privacy, legal implications, and compliance with government regulations when using AI in healthcare.</w:t>
            </w:r>
          </w:p>
        </w:tc>
      </w:tr>
      <w:tr w:rsidR="00A87666" w:rsidRPr="00A87666" w14:paraId="1EEB9319" w14:textId="77777777" w:rsidTr="00FE4223">
        <w:trPr>
          <w:trHeight w:val="1277"/>
        </w:trPr>
        <w:tc>
          <w:tcPr>
            <w:tcW w:w="208" w:type="pct"/>
            <w:vMerge/>
            <w:shd w:val="clear" w:color="auto" w:fill="auto"/>
          </w:tcPr>
          <w:p w14:paraId="38E3F4EB" w14:textId="77777777" w:rsidR="00A87666" w:rsidRPr="00A87666" w:rsidRDefault="00A87666" w:rsidP="00FE4223">
            <w:pPr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1C37A028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Carayon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(2018), Pee et al. </w:t>
            </w: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(2018), Istepanian &amp; Al-Anzi (2018), Gandomi et al. (2022), Tobore et al. (2019), Khater et al. (2023), Mbunge &amp; Batani (2023), Maqsood &amp; Damaševičius (2023), Shahin et al. (2023), Kumar K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(2023), Meena &amp; Hasija (2022),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Moloud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Abdar et al. (2021), Patel et al. (2021), Hossain et al. (2020), Hekler et al. (2019), Yehia et al. (2019), Jin et al. (2019),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Mobiny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(2019)</w:t>
            </w:r>
          </w:p>
        </w:tc>
        <w:tc>
          <w:tcPr>
            <w:tcW w:w="963" w:type="pct"/>
            <w:shd w:val="clear" w:color="auto" w:fill="auto"/>
          </w:tcPr>
          <w:p w14:paraId="1D07EEA2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Human Interventions</w:t>
            </w:r>
          </w:p>
        </w:tc>
        <w:tc>
          <w:tcPr>
            <w:tcW w:w="1945" w:type="pct"/>
            <w:shd w:val="clear" w:color="auto" w:fill="auto"/>
          </w:tcPr>
          <w:p w14:paraId="545A76FF" w14:textId="1F9D1D0B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Data availability, digitalization, and consolidation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: Challenges related to </w:t>
            </w:r>
            <w:r>
              <w:rPr>
                <w:rFonts w:ascii="Times" w:hAnsi="Times" w:cs="Times"/>
                <w:sz w:val="18"/>
                <w:szCs w:val="18"/>
              </w:rPr>
              <w:t>data availability, digitization, and consolidation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for AI applications. </w:t>
            </w:r>
          </w:p>
          <w:p w14:paraId="2D93ECAE" w14:textId="77777777" w:rsidR="00A87666" w:rsidRPr="00A87666" w:rsidRDefault="00A87666" w:rsidP="00FE4223">
            <w:pPr>
              <w:jc w:val="both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Patient treatment errors, data errors, decision errors, and human intervention</w:t>
            </w:r>
            <w:r w:rsidRPr="00A87666">
              <w:rPr>
                <w:rFonts w:ascii="Times" w:hAnsi="Times" w:cs="Times"/>
                <w:sz w:val="18"/>
                <w:szCs w:val="18"/>
              </w:rPr>
              <w:t>: Potential for errors in patient treatment, data processing, and decision-making due to human intervention.</w:t>
            </w:r>
          </w:p>
        </w:tc>
      </w:tr>
      <w:tr w:rsidR="00A87666" w:rsidRPr="00A87666" w14:paraId="7B322D55" w14:textId="77777777" w:rsidTr="00FE4223">
        <w:trPr>
          <w:trHeight w:val="1536"/>
        </w:trPr>
        <w:tc>
          <w:tcPr>
            <w:tcW w:w="208" w:type="pct"/>
            <w:vMerge/>
            <w:shd w:val="clear" w:color="auto" w:fill="auto"/>
          </w:tcPr>
          <w:p w14:paraId="4E76EF49" w14:textId="77777777" w:rsidR="00A87666" w:rsidRPr="00A87666" w:rsidRDefault="00A87666" w:rsidP="00FE4223">
            <w:pPr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43C6AF1E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Kaplan &amp; Haenlein (2020), Carayon et al. (2018), Lohachab et al. (2020), Pee et al. (2018), Istepanian &amp; Al-Anzi (2018), Gandomi et al. (2022), Tobore et al. (2019), Khater et al. (2023), Mbunge &amp; Batani (2023), Maqsood &amp; Damaševičius (2023), Shahin et al. (2023), Kumar K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(2023),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Munappy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(2022), Meena &amp; Hasija (2022),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Moloud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Abdar et al. (2021), Patel et al. </w:t>
            </w: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(2021), Jiang et al. (2021), González-Cruz et al. (2020), Hekler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(2019), Yehia et al. (2019), Jin et al. (2019),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Mobiny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(2019)</w:t>
            </w:r>
          </w:p>
        </w:tc>
        <w:tc>
          <w:tcPr>
            <w:tcW w:w="963" w:type="pct"/>
            <w:shd w:val="clear" w:color="auto" w:fill="auto"/>
          </w:tcPr>
          <w:p w14:paraId="3838E572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Legal Issues and Privacy</w:t>
            </w:r>
          </w:p>
        </w:tc>
        <w:tc>
          <w:tcPr>
            <w:tcW w:w="1945" w:type="pct"/>
            <w:shd w:val="clear" w:color="auto" w:fill="auto"/>
          </w:tcPr>
          <w:p w14:paraId="79C70E31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Legal and Privacy issues: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Concerns about the legal implications and privacy issues related to the use of AI in healthcare. </w:t>
            </w:r>
          </w:p>
          <w:p w14:paraId="64786E73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Compliance with Govt regulations: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Need to comply with government regulations regarding the use of AI in medical applications.</w:t>
            </w:r>
          </w:p>
        </w:tc>
      </w:tr>
      <w:tr w:rsidR="00A87666" w:rsidRPr="00A87666" w14:paraId="28B6502F" w14:textId="77777777" w:rsidTr="00FE4223">
        <w:trPr>
          <w:trHeight w:val="565"/>
        </w:trPr>
        <w:tc>
          <w:tcPr>
            <w:tcW w:w="208" w:type="pct"/>
            <w:vMerge/>
            <w:shd w:val="clear" w:color="auto" w:fill="auto"/>
          </w:tcPr>
          <w:p w14:paraId="4F0203DF" w14:textId="77777777" w:rsidR="00A87666" w:rsidRPr="00A87666" w:rsidRDefault="00A87666" w:rsidP="00FE4223">
            <w:pPr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1B5B74BB" w14:textId="3F8E4925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Istepanian &amp; Al-Anzi (2018), Gandomi et al. (2022), Tobore et al. (2019), Hwang et al. (2016), Khater et al. (2023), Mbunge &amp; Batani (2023), Maqsood &amp; Damaševičius (2023), Shahin et al. (2023), Kumar K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(2023),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Munappy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(2022), Meena &amp; Hasija (2022),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Moloud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Abdar et al. (2021), Patel et al. </w:t>
            </w: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(2021), Jiang et al. (2021), González-Cruz et al. (2020), Hekler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(2019), Yehia et al. (2019), Jin et al. (2019),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Mobiny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(2019)</w:t>
            </w:r>
          </w:p>
        </w:tc>
        <w:tc>
          <w:tcPr>
            <w:tcW w:w="963" w:type="pct"/>
            <w:shd w:val="clear" w:color="auto" w:fill="auto"/>
          </w:tcPr>
          <w:p w14:paraId="1E99E0EF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Database Integration</w:t>
            </w:r>
          </w:p>
        </w:tc>
        <w:tc>
          <w:tcPr>
            <w:tcW w:w="1945" w:type="pct"/>
            <w:shd w:val="clear" w:color="auto" w:fill="auto"/>
          </w:tcPr>
          <w:p w14:paraId="1056F0BE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Database Availability</w:t>
            </w:r>
            <w:r w:rsidRPr="00A87666">
              <w:rPr>
                <w:rFonts w:ascii="Times" w:hAnsi="Times" w:cs="Times"/>
                <w:sz w:val="18"/>
                <w:szCs w:val="18"/>
              </w:rPr>
              <w:t>: Challenges in ensuring the availability of comprehensive and accurate databases for AI training.</w:t>
            </w:r>
          </w:p>
          <w:p w14:paraId="725E5A2C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Database consolidation</w:t>
            </w:r>
            <w:r w:rsidRPr="00A87666">
              <w:rPr>
                <w:rFonts w:ascii="Times" w:hAnsi="Times" w:cs="Times"/>
                <w:sz w:val="18"/>
                <w:szCs w:val="18"/>
              </w:rPr>
              <w:t>: Issues related to consolidating databases from different sources for effective AI application.</w:t>
            </w:r>
          </w:p>
        </w:tc>
      </w:tr>
      <w:tr w:rsidR="00A87666" w:rsidRPr="00A87666" w14:paraId="0C5C771C" w14:textId="77777777" w:rsidTr="005D75D3">
        <w:trPr>
          <w:trHeight w:val="1744"/>
        </w:trPr>
        <w:tc>
          <w:tcPr>
            <w:tcW w:w="208" w:type="pct"/>
            <w:vMerge w:val="restart"/>
            <w:shd w:val="clear" w:color="auto" w:fill="auto"/>
            <w:textDirection w:val="btLr"/>
          </w:tcPr>
          <w:p w14:paraId="752EDAD6" w14:textId="77777777" w:rsidR="00A87666" w:rsidRPr="00A87666" w:rsidRDefault="00A87666" w:rsidP="00FE4223">
            <w:pPr>
              <w:ind w:left="113" w:right="113"/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Methodologies</w:t>
            </w:r>
          </w:p>
        </w:tc>
        <w:tc>
          <w:tcPr>
            <w:tcW w:w="1884" w:type="pct"/>
            <w:shd w:val="clear" w:color="auto" w:fill="auto"/>
          </w:tcPr>
          <w:p w14:paraId="218E33B0" w14:textId="209F83A6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Zhou et al. (2017), Shinde et al. (2022), Kanchana Sethanan et al. (2023), Priyadharshini et al. (2023), Çağrı Suiçmez et al. (2023), Venugopal et al. </w:t>
            </w:r>
            <w:r w:rsidRPr="00DA36F1">
              <w:rPr>
                <w:rFonts w:ascii="Times" w:hAnsi="Times" w:cs="Times"/>
                <w:sz w:val="18"/>
                <w:szCs w:val="18"/>
                <w:lang w:val="en-ZA"/>
              </w:rPr>
              <w:t xml:space="preserve">(2023), Kumar K et al. (2023), </w:t>
            </w:r>
            <w:proofErr w:type="spellStart"/>
            <w:r w:rsidRPr="00DA36F1">
              <w:rPr>
                <w:rFonts w:ascii="Times" w:hAnsi="Times" w:cs="Times"/>
                <w:sz w:val="18"/>
                <w:szCs w:val="18"/>
                <w:lang w:val="en-ZA"/>
              </w:rPr>
              <w:t>Mridha</w:t>
            </w:r>
            <w:proofErr w:type="spellEnd"/>
            <w:r w:rsidRPr="00DA36F1">
              <w:rPr>
                <w:rFonts w:ascii="Times" w:hAnsi="Times" w:cs="Times"/>
                <w:sz w:val="18"/>
                <w:szCs w:val="18"/>
                <w:lang w:val="en-ZA"/>
              </w:rPr>
              <w:t xml:space="preserve">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(2023), Gururaj et al. (2023), Magdy et al. (2023), Lee &amp; You (2023), Zhou et al. (2023), Manar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Elshahawy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(2023),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Ogundokun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(2023)</w:t>
            </w:r>
          </w:p>
        </w:tc>
        <w:tc>
          <w:tcPr>
            <w:tcW w:w="963" w:type="pct"/>
            <w:shd w:val="clear" w:color="auto" w:fill="auto"/>
          </w:tcPr>
          <w:p w14:paraId="6761A8CC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Database Processing</w:t>
            </w:r>
          </w:p>
        </w:tc>
        <w:tc>
          <w:tcPr>
            <w:tcW w:w="1945" w:type="pct"/>
            <w:shd w:val="clear" w:color="auto" w:fill="auto"/>
          </w:tcPr>
          <w:p w14:paraId="28958D5A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Machine Learning and Data processing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: Techniques and methods for processing and analyzing large datasets using machine learning algorithms. </w:t>
            </w: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Expert Systems</w:t>
            </w:r>
            <w:r w:rsidRPr="00A87666">
              <w:rPr>
                <w:rFonts w:ascii="Times" w:hAnsi="Times" w:cs="Times"/>
                <w:sz w:val="18"/>
                <w:szCs w:val="18"/>
              </w:rPr>
              <w:t>: Use of AI-based expert systems for decision-making and diagnostics.</w:t>
            </w:r>
          </w:p>
        </w:tc>
      </w:tr>
      <w:tr w:rsidR="00A87666" w:rsidRPr="00A87666" w14:paraId="6E5A3F69" w14:textId="77777777" w:rsidTr="005D75D3">
        <w:trPr>
          <w:trHeight w:val="1605"/>
        </w:trPr>
        <w:tc>
          <w:tcPr>
            <w:tcW w:w="208" w:type="pct"/>
            <w:vMerge/>
            <w:shd w:val="clear" w:color="auto" w:fill="auto"/>
          </w:tcPr>
          <w:p w14:paraId="5252369A" w14:textId="77777777" w:rsidR="00A87666" w:rsidRPr="00A87666" w:rsidRDefault="00A87666" w:rsidP="00FE4223">
            <w:pPr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37058C16" w14:textId="067807D0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Rahman et al. (2020), Weng &amp; Zhu (2021), Yousef Alsahafi et al. (2023), Wan et al. (2023), Zhou et al. </w:t>
            </w:r>
            <w:r w:rsidRPr="00DA36F1">
              <w:rPr>
                <w:rFonts w:ascii="Times" w:hAnsi="Times" w:cs="Times"/>
                <w:sz w:val="18"/>
                <w:szCs w:val="18"/>
                <w:lang w:val="en-ZA"/>
              </w:rPr>
              <w:t xml:space="preserve">(2017), Shinde et al. (2022), </w:t>
            </w:r>
            <w:proofErr w:type="spellStart"/>
            <w:r w:rsidRPr="00DA36F1">
              <w:rPr>
                <w:rFonts w:ascii="Times" w:hAnsi="Times" w:cs="Times"/>
                <w:sz w:val="18"/>
                <w:szCs w:val="18"/>
                <w:lang w:val="en-ZA"/>
              </w:rPr>
              <w:t>Mridha</w:t>
            </w:r>
            <w:proofErr w:type="spellEnd"/>
            <w:r w:rsidRPr="00DA36F1">
              <w:rPr>
                <w:rFonts w:ascii="Times" w:hAnsi="Times" w:cs="Times"/>
                <w:sz w:val="18"/>
                <w:szCs w:val="18"/>
                <w:lang w:val="en-ZA"/>
              </w:rPr>
              <w:t xml:space="preserve">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(2023), Gururaj et al. (2023), Magdy et al. (2023), Lee &amp; You (2023), Zhou et al. (2023), Manar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Elshahawy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(2023),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Ogundokun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(2023)</w:t>
            </w:r>
          </w:p>
        </w:tc>
        <w:tc>
          <w:tcPr>
            <w:tcW w:w="963" w:type="pct"/>
            <w:shd w:val="clear" w:color="auto" w:fill="auto"/>
          </w:tcPr>
          <w:p w14:paraId="6ADBEF2C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Multimedia Processing</w:t>
            </w:r>
          </w:p>
        </w:tc>
        <w:tc>
          <w:tcPr>
            <w:tcW w:w="1945" w:type="pct"/>
            <w:shd w:val="clear" w:color="auto" w:fill="auto"/>
          </w:tcPr>
          <w:p w14:paraId="12735A42" w14:textId="2FF225B6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Image and Video Processing, Virtual Reality</w:t>
            </w:r>
            <w:r w:rsidRPr="00A87666">
              <w:rPr>
                <w:rFonts w:ascii="Times" w:hAnsi="Times" w:cs="Times"/>
                <w:sz w:val="18"/>
                <w:szCs w:val="18"/>
              </w:rPr>
              <w:t>: Application of AI in processing medical images and videos</w:t>
            </w:r>
            <w:r>
              <w:rPr>
                <w:rFonts w:ascii="Times" w:hAnsi="Times" w:cs="Times"/>
                <w:sz w:val="18"/>
                <w:szCs w:val="18"/>
              </w:rPr>
              <w:t xml:space="preserve"> and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virtual reality technologies for enhanced diagnostics and treatment.</w:t>
            </w:r>
          </w:p>
        </w:tc>
      </w:tr>
      <w:tr w:rsidR="00A87666" w:rsidRPr="00A87666" w14:paraId="5746B3A8" w14:textId="77777777" w:rsidTr="00FE4223">
        <w:trPr>
          <w:cantSplit/>
          <w:trHeight w:val="841"/>
        </w:trPr>
        <w:tc>
          <w:tcPr>
            <w:tcW w:w="208" w:type="pct"/>
            <w:vMerge w:val="restart"/>
            <w:shd w:val="clear" w:color="auto" w:fill="auto"/>
            <w:textDirection w:val="btLr"/>
          </w:tcPr>
          <w:p w14:paraId="173F8A25" w14:textId="77777777" w:rsidR="00A87666" w:rsidRPr="00A87666" w:rsidRDefault="00A87666" w:rsidP="00FE4223">
            <w:pPr>
              <w:ind w:left="113" w:right="113"/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Functionality</w:t>
            </w:r>
          </w:p>
        </w:tc>
        <w:tc>
          <w:tcPr>
            <w:tcW w:w="1884" w:type="pct"/>
            <w:shd w:val="clear" w:color="auto" w:fill="auto"/>
          </w:tcPr>
          <w:p w14:paraId="7BA36F9A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Khan et al. (2022), Gershenwald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(2017),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</w:rPr>
              <w:t>Combalia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</w:rPr>
              <w:t xml:space="preserve"> et al. (2022), Meena &amp; Hasija (2022), Carvalho et al. (2021), Hekler et al. (2019)</w:t>
            </w:r>
          </w:p>
        </w:tc>
        <w:tc>
          <w:tcPr>
            <w:tcW w:w="963" w:type="pct"/>
            <w:shd w:val="clear" w:color="auto" w:fill="auto"/>
          </w:tcPr>
          <w:p w14:paraId="47FD4FB2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Medical Sector</w:t>
            </w:r>
          </w:p>
        </w:tc>
        <w:tc>
          <w:tcPr>
            <w:tcW w:w="1945" w:type="pct"/>
            <w:shd w:val="clear" w:color="auto" w:fill="auto"/>
          </w:tcPr>
          <w:p w14:paraId="5BE7371B" w14:textId="44582396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Medical Imaging: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Utilization of AI </w:t>
            </w:r>
            <w:r>
              <w:rPr>
                <w:rFonts w:ascii="Times" w:hAnsi="Times" w:cs="Times"/>
                <w:sz w:val="18"/>
                <w:szCs w:val="18"/>
              </w:rPr>
              <w:t>to enhance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medical imaging techniques. </w:t>
            </w:r>
          </w:p>
          <w:p w14:paraId="5039DFAC" w14:textId="1129FADC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Database 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C</w:t>
            </w: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ollection Research: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 Efficient data collection and research methodologies to improve medical data handling.</w:t>
            </w:r>
          </w:p>
        </w:tc>
      </w:tr>
      <w:tr w:rsidR="00A87666" w:rsidRPr="00A87666" w14:paraId="46311673" w14:textId="77777777" w:rsidTr="00FE4223">
        <w:trPr>
          <w:cantSplit/>
          <w:trHeight w:val="841"/>
        </w:trPr>
        <w:tc>
          <w:tcPr>
            <w:tcW w:w="208" w:type="pct"/>
            <w:vMerge/>
            <w:shd w:val="clear" w:color="auto" w:fill="auto"/>
            <w:textDirection w:val="btLr"/>
          </w:tcPr>
          <w:p w14:paraId="4E671CA1" w14:textId="77777777" w:rsidR="00A87666" w:rsidRPr="00A87666" w:rsidRDefault="00A87666" w:rsidP="00FE4223">
            <w:pPr>
              <w:ind w:left="113" w:right="113"/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64C23C34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de-DE"/>
              </w:rPr>
            </w:pP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 xml:space="preserve">Kumar K et al. (2023), Mridha et al. (2023), Ogundokun et al. (2023), Behara et al. (2023), Frederico &amp; Krohling (2022), Combalia et al. (2022), Kumar et al. </w:t>
            </w:r>
            <w:r w:rsidRPr="00A87666">
              <w:rPr>
                <w:rFonts w:ascii="Times" w:hAnsi="Times" w:cs="Times"/>
                <w:sz w:val="18"/>
                <w:szCs w:val="18"/>
              </w:rPr>
              <w:t xml:space="preserve">(2022), Han et al. (2022), </w:t>
            </w:r>
          </w:p>
        </w:tc>
        <w:tc>
          <w:tcPr>
            <w:tcW w:w="963" w:type="pct"/>
            <w:shd w:val="clear" w:color="auto" w:fill="auto"/>
          </w:tcPr>
          <w:p w14:paraId="0A8C906E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Patient</w:t>
            </w:r>
          </w:p>
        </w:tc>
        <w:tc>
          <w:tcPr>
            <w:tcW w:w="1945" w:type="pct"/>
            <w:shd w:val="clear" w:color="auto" w:fill="auto"/>
          </w:tcPr>
          <w:p w14:paraId="4D8D70E6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Consultancy Research, Diagnosis, Procedure Monitoring</w:t>
            </w:r>
            <w:r w:rsidRPr="00A87666">
              <w:rPr>
                <w:rFonts w:ascii="Times" w:hAnsi="Times" w:cs="Times"/>
                <w:sz w:val="18"/>
                <w:szCs w:val="18"/>
              </w:rPr>
              <w:t>: AI's role in patient consultation, diagnosis, and monitoring.</w:t>
            </w:r>
          </w:p>
        </w:tc>
      </w:tr>
      <w:tr w:rsidR="00A87666" w:rsidRPr="00A87666" w14:paraId="65A5DC37" w14:textId="77777777" w:rsidTr="005D75D3">
        <w:trPr>
          <w:cantSplit/>
          <w:trHeight w:val="1550"/>
        </w:trPr>
        <w:tc>
          <w:tcPr>
            <w:tcW w:w="208" w:type="pct"/>
            <w:vMerge/>
            <w:shd w:val="clear" w:color="auto" w:fill="auto"/>
            <w:textDirection w:val="btLr"/>
          </w:tcPr>
          <w:p w14:paraId="64370D05" w14:textId="77777777" w:rsidR="00A87666" w:rsidRPr="00A87666" w:rsidRDefault="00A87666" w:rsidP="00FE4223">
            <w:pPr>
              <w:ind w:left="113" w:right="113"/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1884" w:type="pct"/>
            <w:shd w:val="clear" w:color="auto" w:fill="auto"/>
          </w:tcPr>
          <w:p w14:paraId="2EFB7174" w14:textId="3438EA0F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  <w:lang w:val="en-ZA"/>
              </w:rPr>
            </w:pPr>
            <w:proofErr w:type="spellStart"/>
            <w:r w:rsidRPr="00A87666">
              <w:rPr>
                <w:rFonts w:ascii="Times" w:hAnsi="Times" w:cs="Times"/>
                <w:sz w:val="18"/>
                <w:szCs w:val="18"/>
                <w:lang w:val="en-ZA"/>
              </w:rPr>
              <w:t>Mbunge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  <w:lang w:val="en-ZA"/>
              </w:rPr>
              <w:t xml:space="preserve"> &amp; Batani (2023), Kanchana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  <w:lang w:val="en-ZA"/>
              </w:rPr>
              <w:t>Sethanan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  <w:lang w:val="en-ZA"/>
              </w:rPr>
              <w:t xml:space="preserve"> et al. (2023), Maqsood &amp; </w:t>
            </w:r>
            <w:proofErr w:type="spellStart"/>
            <w:r w:rsidRPr="00A87666">
              <w:rPr>
                <w:rFonts w:ascii="Times" w:hAnsi="Times" w:cs="Times"/>
                <w:sz w:val="18"/>
                <w:szCs w:val="18"/>
                <w:lang w:val="en-ZA"/>
              </w:rPr>
              <w:t>Damaševičius</w:t>
            </w:r>
            <w:proofErr w:type="spellEnd"/>
            <w:r w:rsidRPr="00A87666">
              <w:rPr>
                <w:rFonts w:ascii="Times" w:hAnsi="Times" w:cs="Times"/>
                <w:sz w:val="18"/>
                <w:szCs w:val="18"/>
                <w:lang w:val="en-ZA"/>
              </w:rPr>
              <w:t xml:space="preserve"> (2023), Shahin et al. </w:t>
            </w:r>
            <w:r w:rsidRPr="00A87666">
              <w:rPr>
                <w:rFonts w:ascii="Times" w:hAnsi="Times" w:cs="Times"/>
                <w:sz w:val="18"/>
                <w:szCs w:val="18"/>
                <w:lang w:val="de-DE"/>
              </w:rPr>
              <w:t>(2023), Kumar K et al. (2023), Mridha et al. (2023), Ogundokun et al. (2023), Behara et al. (2023), Frederico &amp; Krohling (2022), Combalia et al. (2022)</w:t>
            </w:r>
          </w:p>
        </w:tc>
        <w:tc>
          <w:tcPr>
            <w:tcW w:w="963" w:type="pct"/>
            <w:shd w:val="clear" w:color="auto" w:fill="auto"/>
          </w:tcPr>
          <w:p w14:paraId="7F3C338C" w14:textId="77777777" w:rsidR="00A87666" w:rsidRPr="00A87666" w:rsidRDefault="00A87666" w:rsidP="00FE4223">
            <w:pPr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sz w:val="18"/>
                <w:szCs w:val="18"/>
              </w:rPr>
              <w:t>Clinic Specific</w:t>
            </w:r>
          </w:p>
        </w:tc>
        <w:tc>
          <w:tcPr>
            <w:tcW w:w="1945" w:type="pct"/>
            <w:shd w:val="clear" w:color="auto" w:fill="auto"/>
          </w:tcPr>
          <w:p w14:paraId="43927BD8" w14:textId="77777777" w:rsidR="00A87666" w:rsidRPr="00A87666" w:rsidRDefault="00A87666" w:rsidP="00FE4223">
            <w:pPr>
              <w:jc w:val="both"/>
              <w:rPr>
                <w:rFonts w:ascii="Times" w:hAnsi="Times" w:cs="Times"/>
                <w:sz w:val="18"/>
                <w:szCs w:val="18"/>
              </w:rPr>
            </w:pPr>
            <w:r w:rsidRPr="00A87666">
              <w:rPr>
                <w:rFonts w:ascii="Times" w:hAnsi="Times" w:cs="Times"/>
                <w:b/>
                <w:bCs/>
                <w:sz w:val="18"/>
                <w:szCs w:val="18"/>
              </w:rPr>
              <w:t>Decision-Making and Information Sharing</w:t>
            </w:r>
            <w:r w:rsidRPr="00A87666">
              <w:rPr>
                <w:rFonts w:ascii="Times" w:hAnsi="Times" w:cs="Times"/>
                <w:sz w:val="18"/>
                <w:szCs w:val="18"/>
              </w:rPr>
              <w:t>: Enhancing clinical decision-making processes and information sharing among clinics.</w:t>
            </w:r>
          </w:p>
        </w:tc>
      </w:tr>
    </w:tbl>
    <w:p w14:paraId="1A15DB92" w14:textId="77777777" w:rsidR="00A87666" w:rsidRPr="00A87666" w:rsidRDefault="00A87666" w:rsidP="005D75D3">
      <w:pPr>
        <w:pStyle w:val="HeadingSection"/>
        <w:numPr>
          <w:ilvl w:val="0"/>
          <w:numId w:val="0"/>
        </w:numPr>
        <w:rPr>
          <w:rFonts w:ascii="Times" w:hAnsi="Times" w:cs="Times"/>
          <w:b w:val="0"/>
          <w:noProof/>
          <w:snapToGrid w:val="0"/>
          <w:spacing w:val="0"/>
          <w:sz w:val="24"/>
          <w:szCs w:val="24"/>
          <w:lang w:eastAsia="de-DE" w:bidi="en-US"/>
        </w:rPr>
      </w:pPr>
    </w:p>
    <w:p w14:paraId="24CFD166" w14:textId="33AF894D" w:rsidR="006057EF" w:rsidRPr="006057EF" w:rsidRDefault="006057EF" w:rsidP="00A87666">
      <w:pPr>
        <w:pStyle w:val="H3"/>
        <w:widowControl w:val="0"/>
        <w:jc w:val="center"/>
        <w:rPr>
          <w:rFonts w:ascii="Times" w:hAnsi="Times" w:cs="Times"/>
          <w:caps w:val="0"/>
          <w:noProof/>
          <w:snapToGrid w:val="0"/>
          <w:color w:val="auto"/>
          <w:sz w:val="24"/>
          <w:szCs w:val="24"/>
          <w:lang w:eastAsia="de-DE" w:bidi="en-US"/>
        </w:rPr>
      </w:pPr>
    </w:p>
    <w:sectPr w:rsidR="006057EF" w:rsidRPr="006057EF" w:rsidSect="00A87666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OTF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53513"/>
    <w:multiLevelType w:val="multilevel"/>
    <w:tmpl w:val="9DBC9E72"/>
    <w:lvl w:ilvl="0">
      <w:start w:val="1"/>
      <w:numFmt w:val="decimal"/>
      <w:pStyle w:val="HeadingSection"/>
      <w:lvlText w:val="%1."/>
      <w:lvlJc w:val="left"/>
      <w:pPr>
        <w:tabs>
          <w:tab w:val="num" w:pos="331"/>
        </w:tabs>
        <w:ind w:left="331" w:hanging="3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0902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0ILE0NTA1MzEwMzQyUdpeDU4uLM/DyQAuNaAK2b3CYsAAAA"/>
  </w:docVars>
  <w:rsids>
    <w:rsidRoot w:val="006057EF"/>
    <w:rsid w:val="00117E75"/>
    <w:rsid w:val="001F2BE3"/>
    <w:rsid w:val="00245402"/>
    <w:rsid w:val="00331AC6"/>
    <w:rsid w:val="0054443A"/>
    <w:rsid w:val="00585D5F"/>
    <w:rsid w:val="005D75D3"/>
    <w:rsid w:val="005D76C5"/>
    <w:rsid w:val="006057EF"/>
    <w:rsid w:val="006E38BF"/>
    <w:rsid w:val="009D64BC"/>
    <w:rsid w:val="00A87666"/>
    <w:rsid w:val="00B72243"/>
    <w:rsid w:val="00BD0F6F"/>
    <w:rsid w:val="00C62F34"/>
    <w:rsid w:val="00CA5805"/>
    <w:rsid w:val="00D947CF"/>
    <w:rsid w:val="00DA36F1"/>
    <w:rsid w:val="00EE786D"/>
    <w:rsid w:val="00F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EE71B"/>
  <w15:chartTrackingRefBased/>
  <w15:docId w15:val="{C75C02AB-85B5-41B1-9830-FEFDF09C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gorithms"/>
    <w:qFormat/>
    <w:rsid w:val="006057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7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7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7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7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7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7E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7E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7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7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7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7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7EF"/>
    <w:rPr>
      <w:b/>
      <w:bCs/>
      <w:smallCaps/>
      <w:color w:val="365F91" w:themeColor="accent1" w:themeShade="BF"/>
      <w:spacing w:val="5"/>
    </w:rPr>
  </w:style>
  <w:style w:type="paragraph" w:customStyle="1" w:styleId="H3">
    <w:name w:val="H3"/>
    <w:basedOn w:val="Normal"/>
    <w:rsid w:val="006057EF"/>
    <w:pPr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HeadingSection">
    <w:name w:val="Heading: Section"/>
    <w:basedOn w:val="Normal"/>
    <w:rsid w:val="00A87666"/>
    <w:pPr>
      <w:keepNext/>
      <w:numPr>
        <w:numId w:val="1"/>
      </w:numPr>
      <w:spacing w:before="240" w:after="180" w:line="300" w:lineRule="atLeast"/>
    </w:pPr>
    <w:rPr>
      <w:b/>
      <w:spacing w:val="16"/>
      <w:sz w:val="22"/>
      <w:szCs w:val="22"/>
      <w14:ligatures w14:val="none"/>
    </w:rPr>
  </w:style>
  <w:style w:type="character" w:styleId="Strong">
    <w:name w:val="Strong"/>
    <w:uiPriority w:val="22"/>
    <w:qFormat/>
    <w:rsid w:val="00A87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Shriya Behara</dc:creator>
  <cp:keywords/>
  <dc:description/>
  <cp:lastModifiedBy>Shriya Behara</cp:lastModifiedBy>
  <cp:revision>6</cp:revision>
  <dcterms:created xsi:type="dcterms:W3CDTF">2024-06-23T17:54:00Z</dcterms:created>
  <dcterms:modified xsi:type="dcterms:W3CDTF">2024-07-03T07:06:00Z</dcterms:modified>
</cp:coreProperties>
</file>