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F5F" w:rsidRPr="001307FE" w:rsidRDefault="00752F5F" w:rsidP="00752F5F">
      <w:pPr>
        <w:spacing w:line="480" w:lineRule="auto"/>
        <w:jc w:val="both"/>
        <w:rPr>
          <w:color w:val="FF0000"/>
          <w:lang w:val="en-US"/>
        </w:rPr>
      </w:pPr>
      <w:r w:rsidRPr="001307FE">
        <w:rPr>
          <w:b/>
          <w:bCs/>
          <w:lang w:val="en-US"/>
        </w:rPr>
        <w:t xml:space="preserve">S2 </w:t>
      </w:r>
      <w:r w:rsidRPr="001307FE">
        <w:rPr>
          <w:lang w:val="en-US"/>
        </w:rPr>
        <w:t xml:space="preserve">Results of all models generated by the overall POPAN analysis in Malbato and San Rafael across the entire study period. Models are ranked by their </w:t>
      </w:r>
      <w:proofErr w:type="spellStart"/>
      <w:r w:rsidRPr="001307FE">
        <w:rPr>
          <w:lang w:val="en-US"/>
        </w:rPr>
        <w:t>AICc</w:t>
      </w:r>
      <w:proofErr w:type="spellEnd"/>
      <w:r w:rsidRPr="001307FE">
        <w:rPr>
          <w:lang w:val="en-US"/>
        </w:rPr>
        <w:t xml:space="preserve"> value. Apparent survival of individuals is coded as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 xml:space="preserve">, </w:t>
      </w:r>
      <w:r w:rsidRPr="001307FE">
        <w:rPr>
          <w:i/>
          <w:iCs/>
          <w:lang w:val="en-US"/>
        </w:rPr>
        <w:t>p</w:t>
      </w:r>
      <w:r w:rsidRPr="001307FE">
        <w:rPr>
          <w:lang w:val="en-US"/>
        </w:rPr>
        <w:t xml:space="preserve"> is </w:t>
      </w:r>
      <w:r w:rsidRPr="001307FE">
        <w:rPr>
          <w:color w:val="000000" w:themeColor="text1"/>
          <w:lang w:val="en-US"/>
        </w:rPr>
        <w:t xml:space="preserve">the probability of capture, and </w:t>
      </w:r>
      <w:r w:rsidRPr="001307FE">
        <w:rPr>
          <w:i/>
          <w:color w:val="000000" w:themeColor="text1"/>
          <w:lang w:val="en-US"/>
        </w:rPr>
        <w:t>pent</w:t>
      </w:r>
      <w:r w:rsidRPr="001307FE">
        <w:rPr>
          <w:color w:val="000000" w:themeColor="text1"/>
          <w:lang w:val="en-US"/>
        </w:rPr>
        <w:t xml:space="preserve"> is the rate of entrance of new individuals into the study area. A period (.) is </w:t>
      </w:r>
      <w:r w:rsidRPr="001307FE">
        <w:rPr>
          <w:lang w:val="en-US"/>
        </w:rPr>
        <w:t xml:space="preserve">used to represent the parameters that are kept constant in the model, and a (t) for parameters that were modelled as time-dependent. </w:t>
      </w:r>
    </w:p>
    <w:p w:rsidR="00752F5F" w:rsidRPr="001307FE" w:rsidRDefault="00752F5F" w:rsidP="00752F5F">
      <w:pPr>
        <w:rPr>
          <w:rFonts w:ascii="Helvetica" w:hAnsi="Helvetica"/>
          <w:lang w:val="en-US"/>
        </w:rPr>
      </w:pPr>
    </w:p>
    <w:tbl>
      <w:tblPr>
        <w:tblStyle w:val="Tablaconcuadrcul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2267"/>
        <w:gridCol w:w="992"/>
        <w:gridCol w:w="1417"/>
        <w:gridCol w:w="1306"/>
        <w:gridCol w:w="1491"/>
      </w:tblGrid>
      <w:tr w:rsidR="00752F5F" w:rsidRPr="007156A9" w:rsidTr="00F12197">
        <w:tc>
          <w:tcPr>
            <w:tcW w:w="2267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Model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156A9">
              <w:rPr>
                <w:b/>
                <w:bCs/>
                <w:sz w:val="20"/>
                <w:szCs w:val="20"/>
                <w:lang w:val="en-US"/>
              </w:rPr>
              <w:t>AICc</w:t>
            </w:r>
            <w:proofErr w:type="spellEnd"/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156A9">
              <w:rPr>
                <w:b/>
                <w:bCs/>
                <w:sz w:val="20"/>
                <w:szCs w:val="20"/>
                <w:lang w:val="en-US"/>
              </w:rPr>
              <w:t>AICc</w:t>
            </w:r>
            <w:proofErr w:type="spellEnd"/>
            <w:r w:rsidRPr="007156A9">
              <w:rPr>
                <w:b/>
                <w:bCs/>
                <w:sz w:val="20"/>
                <w:szCs w:val="20"/>
                <w:lang w:val="en-US"/>
              </w:rPr>
              <w:t xml:space="preserve"> weight</w:t>
            </w:r>
          </w:p>
        </w:tc>
        <w:tc>
          <w:tcPr>
            <w:tcW w:w="1306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1491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Deviance</w:t>
            </w:r>
          </w:p>
        </w:tc>
      </w:tr>
      <w:tr w:rsidR="00752F5F" w:rsidRPr="007156A9" w:rsidTr="00F12197">
        <w:tc>
          <w:tcPr>
            <w:tcW w:w="226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Malbato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52F5F" w:rsidRPr="007156A9" w:rsidTr="00F12197">
        <w:tc>
          <w:tcPr>
            <w:tcW w:w="226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52F5F" w:rsidRPr="007156A9" w:rsidRDefault="00752F5F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Φ(.), p(.), pent(t)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2155.49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0.999</w:t>
            </w:r>
          </w:p>
        </w:tc>
        <w:tc>
          <w:tcPr>
            <w:tcW w:w="130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49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215</w:t>
            </w:r>
          </w:p>
        </w:tc>
      </w:tr>
      <w:tr w:rsidR="00752F5F" w:rsidRPr="007156A9" w:rsidTr="00F12197">
        <w:tc>
          <w:tcPr>
            <w:tcW w:w="226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52F5F" w:rsidRPr="007156A9" w:rsidRDefault="00752F5F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Φ(.), p(t), pent(t)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2169.31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0.001</w:t>
            </w:r>
          </w:p>
        </w:tc>
        <w:tc>
          <w:tcPr>
            <w:tcW w:w="130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49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126</w:t>
            </w:r>
          </w:p>
        </w:tc>
      </w:tr>
      <w:tr w:rsidR="00752F5F" w:rsidRPr="007156A9" w:rsidTr="00F12197">
        <w:tc>
          <w:tcPr>
            <w:tcW w:w="226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San Rafael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2F5F" w:rsidRPr="007156A9" w:rsidTr="00F12197">
        <w:tc>
          <w:tcPr>
            <w:tcW w:w="226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Φ(.), p(t), pent(t)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511.79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0.754</w:t>
            </w:r>
          </w:p>
        </w:tc>
        <w:tc>
          <w:tcPr>
            <w:tcW w:w="130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49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-422.1</w:t>
            </w:r>
          </w:p>
        </w:tc>
      </w:tr>
      <w:tr w:rsidR="00752F5F" w:rsidRPr="007156A9" w:rsidTr="00F12197">
        <w:tc>
          <w:tcPr>
            <w:tcW w:w="226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Φ(.), p(t), pent(.)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514.12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0.235</w:t>
            </w:r>
          </w:p>
        </w:tc>
        <w:tc>
          <w:tcPr>
            <w:tcW w:w="130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9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-402.8</w:t>
            </w:r>
          </w:p>
        </w:tc>
      </w:tr>
      <w:tr w:rsidR="00752F5F" w:rsidRPr="007156A9" w:rsidTr="00F12197">
        <w:tc>
          <w:tcPr>
            <w:tcW w:w="2267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Φ(t), p(t), pent(t)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520.44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1306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491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52F5F" w:rsidRPr="007156A9" w:rsidRDefault="00752F5F" w:rsidP="00F12197">
            <w:pPr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-425.6</w:t>
            </w:r>
          </w:p>
        </w:tc>
      </w:tr>
    </w:tbl>
    <w:p w:rsidR="00752F5F" w:rsidRPr="001307FE" w:rsidRDefault="00752F5F" w:rsidP="00752F5F">
      <w:pPr>
        <w:rPr>
          <w:rFonts w:ascii="Helvetica" w:hAnsi="Helvetica"/>
          <w:b/>
          <w:bCs/>
          <w:lang w:val="en-US"/>
        </w:rPr>
      </w:pPr>
    </w:p>
    <w:p w:rsidR="00752F5F" w:rsidRPr="001307FE" w:rsidRDefault="00752F5F" w:rsidP="00752F5F">
      <w:pPr>
        <w:rPr>
          <w:rFonts w:ascii="Helvetica" w:hAnsi="Helvetica"/>
          <w:b/>
          <w:bCs/>
          <w:lang w:val="en-US"/>
        </w:rPr>
      </w:pPr>
    </w:p>
    <w:p w:rsidR="00752F5F" w:rsidRPr="001307FE" w:rsidRDefault="00752F5F" w:rsidP="00752F5F">
      <w:pPr>
        <w:rPr>
          <w:rFonts w:ascii="Helvetica" w:hAnsi="Helvetica"/>
          <w:b/>
          <w:bCs/>
          <w:lang w:val="en-US"/>
        </w:rPr>
      </w:pPr>
    </w:p>
    <w:p w:rsidR="00752F5F" w:rsidRPr="001307FE" w:rsidRDefault="00752F5F" w:rsidP="00752F5F">
      <w:pPr>
        <w:rPr>
          <w:rFonts w:ascii="Helvetica" w:hAnsi="Helvetica"/>
          <w:b/>
          <w:bCs/>
          <w:lang w:val="en-US"/>
        </w:rPr>
      </w:pPr>
    </w:p>
    <w:p w:rsidR="00752F5F" w:rsidRPr="001307FE" w:rsidRDefault="00752F5F" w:rsidP="00752F5F">
      <w:pPr>
        <w:rPr>
          <w:rFonts w:ascii="Helvetica" w:hAnsi="Helvetica"/>
          <w:b/>
          <w:bCs/>
          <w:lang w:val="en-US"/>
        </w:rPr>
      </w:pPr>
    </w:p>
    <w:p w:rsidR="00752F5F" w:rsidRPr="001307FE" w:rsidRDefault="00752F5F" w:rsidP="00752F5F">
      <w:pPr>
        <w:rPr>
          <w:rFonts w:ascii="Helvetica" w:hAnsi="Helvetica"/>
          <w:b/>
          <w:bCs/>
          <w:lang w:val="en-US"/>
        </w:rPr>
      </w:pPr>
    </w:p>
    <w:p w:rsidR="00752F5F" w:rsidRPr="001307FE" w:rsidRDefault="00752F5F" w:rsidP="00752F5F">
      <w:pPr>
        <w:rPr>
          <w:rFonts w:ascii="Helvetica" w:hAnsi="Helvetica"/>
          <w:b/>
          <w:bCs/>
          <w:lang w:val="en-US"/>
        </w:rPr>
      </w:pPr>
    </w:p>
    <w:p w:rsidR="00752F5F" w:rsidRPr="001307FE" w:rsidRDefault="00752F5F" w:rsidP="00752F5F">
      <w:pPr>
        <w:rPr>
          <w:rFonts w:ascii="Helvetica" w:hAnsi="Helvetica"/>
          <w:b/>
          <w:bCs/>
          <w:lang w:val="en-US"/>
        </w:rPr>
      </w:pPr>
    </w:p>
    <w:p w:rsidR="00560B02" w:rsidRDefault="00560B02"/>
    <w:sectPr w:rsidR="00560B02" w:rsidSect="00B35B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5F"/>
    <w:rsid w:val="00021A1E"/>
    <w:rsid w:val="0014043A"/>
    <w:rsid w:val="002B3208"/>
    <w:rsid w:val="003B77A6"/>
    <w:rsid w:val="00560B02"/>
    <w:rsid w:val="00663682"/>
    <w:rsid w:val="00752F5F"/>
    <w:rsid w:val="00A043AE"/>
    <w:rsid w:val="00A100E5"/>
    <w:rsid w:val="00AE023A"/>
    <w:rsid w:val="00B35BAB"/>
    <w:rsid w:val="00D94149"/>
    <w:rsid w:val="00E15462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00DF603-66D2-084D-8F9D-48F7C4C3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5F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2024-11-09T09:42:00Z</dcterms:created>
  <dcterms:modified xsi:type="dcterms:W3CDTF">2024-11-09T09:42:00Z</dcterms:modified>
</cp:coreProperties>
</file>