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907" w:tblpY="239"/>
        <w:tblOverlap w:val="never"/>
        <w:tblW w:w="85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055"/>
        <w:gridCol w:w="1043"/>
        <w:gridCol w:w="1047"/>
        <w:gridCol w:w="1056"/>
        <w:gridCol w:w="1044"/>
        <w:gridCol w:w="1040"/>
        <w:gridCol w:w="1059"/>
      </w:tblGrid>
      <w:tr w14:paraId="0257D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8520" w:type="dxa"/>
            <w:gridSpan w:val="8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BFE33C5">
            <w:pPr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Table S2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Above-ground biomass (Agb), plant litter and coverage under different grazing intensities</w:t>
            </w:r>
            <w:bookmarkEnd w:id="0"/>
          </w:p>
        </w:tc>
      </w:tr>
      <w:tr w14:paraId="72A70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7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1F850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Treatment</w:t>
            </w:r>
          </w:p>
        </w:tc>
        <w:tc>
          <w:tcPr>
            <w:tcW w:w="105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48DC9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NG</w:t>
            </w:r>
          </w:p>
        </w:tc>
        <w:tc>
          <w:tcPr>
            <w:tcW w:w="104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96C49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LG</w:t>
            </w:r>
          </w:p>
        </w:tc>
        <w:tc>
          <w:tcPr>
            <w:tcW w:w="104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9BCA2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MG</w:t>
            </w:r>
          </w:p>
        </w:tc>
        <w:tc>
          <w:tcPr>
            <w:tcW w:w="105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547A27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HG</w:t>
            </w:r>
          </w:p>
        </w:tc>
        <w:tc>
          <w:tcPr>
            <w:tcW w:w="104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5CEF2E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OG</w:t>
            </w:r>
          </w:p>
        </w:tc>
        <w:tc>
          <w:tcPr>
            <w:tcW w:w="104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3EAF05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05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CE9D41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P</w:t>
            </w:r>
          </w:p>
        </w:tc>
      </w:tr>
      <w:tr w14:paraId="45C02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76" w:type="dxa"/>
            <w:tcBorders>
              <w:top w:val="single" w:color="auto" w:sz="12" w:space="0"/>
            </w:tcBorders>
            <w:noWrap w:val="0"/>
            <w:vAlign w:val="center"/>
          </w:tcPr>
          <w:p w14:paraId="781A10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Agb (g)</w:t>
            </w:r>
          </w:p>
        </w:tc>
        <w:tc>
          <w:tcPr>
            <w:tcW w:w="1055" w:type="dxa"/>
            <w:tcBorders>
              <w:top w:val="single" w:color="auto" w:sz="12" w:space="0"/>
            </w:tcBorders>
            <w:noWrap w:val="0"/>
            <w:vAlign w:val="center"/>
          </w:tcPr>
          <w:p w14:paraId="188DCA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131.65b</w:t>
            </w:r>
          </w:p>
        </w:tc>
        <w:tc>
          <w:tcPr>
            <w:tcW w:w="1043" w:type="dxa"/>
            <w:tcBorders>
              <w:top w:val="single" w:color="auto" w:sz="12" w:space="0"/>
            </w:tcBorders>
            <w:noWrap w:val="0"/>
            <w:vAlign w:val="center"/>
          </w:tcPr>
          <w:p w14:paraId="2223F587">
            <w:pPr>
              <w:jc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37.57a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1047" w:type="dxa"/>
            <w:tcBorders>
              <w:top w:val="single" w:color="auto" w:sz="12" w:space="0"/>
            </w:tcBorders>
            <w:noWrap w:val="0"/>
            <w:vAlign w:val="center"/>
          </w:tcPr>
          <w:p w14:paraId="73BFA3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36.50a</w:t>
            </w:r>
            <w:r>
              <w:rPr>
                <w:rFonts w:hint="eastAsia"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056" w:type="dxa"/>
            <w:tcBorders>
              <w:top w:val="single" w:color="auto" w:sz="12" w:space="0"/>
            </w:tcBorders>
            <w:noWrap w:val="0"/>
            <w:vAlign w:val="center"/>
          </w:tcPr>
          <w:p w14:paraId="0A0599F8">
            <w:pPr>
              <w:jc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35.40a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1044" w:type="dxa"/>
            <w:tcBorders>
              <w:top w:val="single" w:color="auto" w:sz="12" w:space="0"/>
            </w:tcBorders>
            <w:noWrap w:val="0"/>
            <w:vAlign w:val="center"/>
          </w:tcPr>
          <w:p w14:paraId="63D316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28.59a</w:t>
            </w:r>
          </w:p>
        </w:tc>
        <w:tc>
          <w:tcPr>
            <w:tcW w:w="1040" w:type="dxa"/>
            <w:tcBorders>
              <w:top w:val="single" w:color="auto" w:sz="12" w:space="0"/>
            </w:tcBorders>
            <w:noWrap w:val="0"/>
            <w:vAlign w:val="center"/>
          </w:tcPr>
          <w:p w14:paraId="58D0E6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17.302</w:t>
            </w:r>
          </w:p>
        </w:tc>
        <w:tc>
          <w:tcPr>
            <w:tcW w:w="1059" w:type="dxa"/>
            <w:tcBorders>
              <w:top w:val="single" w:color="auto" w:sz="12" w:space="0"/>
            </w:tcBorders>
            <w:noWrap w:val="0"/>
            <w:vAlign w:val="center"/>
          </w:tcPr>
          <w:p w14:paraId="604DFC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0.002</w:t>
            </w:r>
          </w:p>
        </w:tc>
      </w:tr>
      <w:tr w14:paraId="0E167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76" w:type="dxa"/>
            <w:tcBorders>
              <w:bottom w:val="nil"/>
            </w:tcBorders>
            <w:noWrap w:val="0"/>
            <w:vAlign w:val="center"/>
          </w:tcPr>
          <w:p w14:paraId="703951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Litter (g)</w:t>
            </w:r>
          </w:p>
        </w:tc>
        <w:tc>
          <w:tcPr>
            <w:tcW w:w="1055" w:type="dxa"/>
            <w:tcBorders>
              <w:bottom w:val="nil"/>
            </w:tcBorders>
            <w:noWrap w:val="0"/>
            <w:vAlign w:val="center"/>
          </w:tcPr>
          <w:p w14:paraId="0A725A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29.37b</w:t>
            </w:r>
          </w:p>
        </w:tc>
        <w:tc>
          <w:tcPr>
            <w:tcW w:w="1043" w:type="dxa"/>
            <w:tcBorders>
              <w:bottom w:val="nil"/>
            </w:tcBorders>
            <w:noWrap w:val="0"/>
            <w:vAlign w:val="center"/>
          </w:tcPr>
          <w:p w14:paraId="4482BE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2.22a</w:t>
            </w:r>
          </w:p>
        </w:tc>
        <w:tc>
          <w:tcPr>
            <w:tcW w:w="1047" w:type="dxa"/>
            <w:tcBorders>
              <w:bottom w:val="nil"/>
            </w:tcBorders>
            <w:noWrap w:val="0"/>
            <w:vAlign w:val="center"/>
          </w:tcPr>
          <w:p w14:paraId="2796A3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3.89a</w:t>
            </w:r>
            <w:r>
              <w:rPr>
                <w:rFonts w:hint="eastAsia"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056" w:type="dxa"/>
            <w:tcBorders>
              <w:bottom w:val="nil"/>
            </w:tcBorders>
            <w:noWrap w:val="0"/>
            <w:vAlign w:val="center"/>
          </w:tcPr>
          <w:p w14:paraId="481B07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2.56a</w:t>
            </w:r>
          </w:p>
        </w:tc>
        <w:tc>
          <w:tcPr>
            <w:tcW w:w="1044" w:type="dxa"/>
            <w:tcBorders>
              <w:bottom w:val="nil"/>
            </w:tcBorders>
            <w:noWrap w:val="0"/>
            <w:vAlign w:val="center"/>
          </w:tcPr>
          <w:p w14:paraId="0FE67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2.05a</w:t>
            </w:r>
          </w:p>
        </w:tc>
        <w:tc>
          <w:tcPr>
            <w:tcW w:w="1040" w:type="dxa"/>
            <w:tcBorders>
              <w:bottom w:val="nil"/>
            </w:tcBorders>
            <w:noWrap w:val="0"/>
            <w:vAlign w:val="center"/>
          </w:tcPr>
          <w:p w14:paraId="5DE860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15.418</w:t>
            </w:r>
          </w:p>
        </w:tc>
        <w:tc>
          <w:tcPr>
            <w:tcW w:w="1059" w:type="dxa"/>
            <w:tcBorders>
              <w:bottom w:val="nil"/>
            </w:tcBorders>
            <w:noWrap w:val="0"/>
            <w:vAlign w:val="center"/>
          </w:tcPr>
          <w:p w14:paraId="01626A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</w:t>
            </w: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</w:p>
        </w:tc>
      </w:tr>
      <w:tr w14:paraId="39A1C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76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 w14:paraId="6394BA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Coverage(%)</w:t>
            </w:r>
          </w:p>
        </w:tc>
        <w:tc>
          <w:tcPr>
            <w:tcW w:w="1055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 w14:paraId="3E6EDE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53.60c</w:t>
            </w:r>
          </w:p>
        </w:tc>
        <w:tc>
          <w:tcPr>
            <w:tcW w:w="1043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 w14:paraId="154A4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39.80bc</w:t>
            </w:r>
          </w:p>
        </w:tc>
        <w:tc>
          <w:tcPr>
            <w:tcW w:w="1047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 w14:paraId="310996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31.20abc</w:t>
            </w:r>
          </w:p>
        </w:tc>
        <w:tc>
          <w:tcPr>
            <w:tcW w:w="1056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 w14:paraId="6334F4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25.80ab</w:t>
            </w:r>
          </w:p>
        </w:tc>
        <w:tc>
          <w:tcPr>
            <w:tcW w:w="1044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 w14:paraId="040DEE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23.40a</w:t>
            </w:r>
          </w:p>
        </w:tc>
        <w:tc>
          <w:tcPr>
            <w:tcW w:w="1040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 w14:paraId="553393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21.815</w:t>
            </w:r>
          </w:p>
        </w:tc>
        <w:tc>
          <w:tcPr>
            <w:tcW w:w="1059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 w14:paraId="03541F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&lt;0.001</w:t>
            </w:r>
          </w:p>
        </w:tc>
      </w:tr>
      <w:tr w14:paraId="04957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520" w:type="dxa"/>
            <w:gridSpan w:val="8"/>
            <w:tcBorders>
              <w:top w:val="single" w:color="auto" w:sz="12" w:space="0"/>
            </w:tcBorders>
            <w:noWrap w:val="0"/>
            <w:vAlign w:val="top"/>
          </w:tcPr>
          <w:p w14:paraId="2E50F882">
            <w:pPr>
              <w:rPr>
                <w:rFonts w:hint="eastAsia" w:ascii="Times New Roman" w:hAnsi="Times New Roman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sz w:val="18"/>
                <w:szCs w:val="18"/>
                <w:lang w:bidi="ar"/>
              </w:rPr>
              <w:t>For each parameter, a different lowercase letter indicates a significant difference at the 0.05 probability level (</w:t>
            </w:r>
            <w:r>
              <w:rPr>
                <w:rFonts w:ascii="Times New Roman" w:hAnsi="Times New Roman"/>
                <w:i/>
                <w:sz w:val="18"/>
                <w:szCs w:val="18"/>
                <w:lang w:bidi="ar"/>
              </w:rPr>
              <w:t>P</w:t>
            </w:r>
            <w:r>
              <w:rPr>
                <w:rFonts w:ascii="Times New Roman" w:hAnsi="Times New Roman"/>
                <w:sz w:val="18"/>
                <w:szCs w:val="18"/>
                <w:lang w:bidi="ar"/>
              </w:rPr>
              <w:t xml:space="preserve"> &lt; 0.05) based on </w:t>
            </w:r>
            <w:r>
              <w:rPr>
                <w:rFonts w:hint="eastAsia" w:ascii="Times New Roman" w:hAnsi="Times New Roman"/>
                <w:sz w:val="18"/>
                <w:szCs w:val="18"/>
                <w:lang w:bidi="ar"/>
              </w:rPr>
              <w:t>K-W tests</w:t>
            </w:r>
            <w:r>
              <w:rPr>
                <w:rFonts w:ascii="Times New Roman" w:hAnsi="Times New Roman"/>
                <w:sz w:val="18"/>
                <w:szCs w:val="18"/>
                <w:lang w:bidi="ar"/>
              </w:rPr>
              <w:t>.</w:t>
            </w:r>
            <w:r>
              <w:rPr>
                <w:rFonts w:hint="eastAsia" w:ascii="Times New Roman" w:hAnsi="Times New Roman"/>
                <w:sz w:val="18"/>
                <w:szCs w:val="18"/>
                <w:lang w:bidi="ar"/>
              </w:rPr>
              <w:t xml:space="preserve"> The p-values of pairwise comparisons in the K-W test are corrected by the Bonferroni correction.</w:t>
            </w:r>
          </w:p>
          <w:p w14:paraId="31AC11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NG: no grazing; LG: light grazing; MG: moderate grazing; HG: heavy grazing; OG: overgrazing.</w:t>
            </w:r>
          </w:p>
        </w:tc>
      </w:tr>
    </w:tbl>
    <w:p w14:paraId="4E27EA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ZmY1MjU3YzU4NDM4Yjc4MDJmODAyNDA1Nzg0ZjYifQ=="/>
  </w:docVars>
  <w:rsids>
    <w:rsidRoot w:val="00000000"/>
    <w:rsid w:val="3554492D"/>
    <w:rsid w:val="3593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546</Characters>
  <Lines>0</Lines>
  <Paragraphs>0</Paragraphs>
  <TotalTime>0</TotalTime>
  <ScaleCrop>false</ScaleCrop>
  <LinksUpToDate>false</LinksUpToDate>
  <CharactersWithSpaces>610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2024-10-29T02:06:00Z</dcterms:created>
  <dc:creator>DELL</dc:creator>
  <cp:lastModifiedBy>-</cp:lastModifiedBy>
  <dcterms:modified xsi:type="dcterms:W3CDTF">2024-10-29T02:09:01Z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76612BD7F05F4905A4C64DDF2425B206_12</vt:lpwstr>
  </property>
</Properties>
</file>