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820"/>
        <w:gridCol w:w="1043"/>
        <w:gridCol w:w="914"/>
        <w:gridCol w:w="960"/>
        <w:gridCol w:w="960"/>
        <w:gridCol w:w="987"/>
        <w:gridCol w:w="877"/>
        <w:gridCol w:w="757"/>
      </w:tblGrid>
      <w:tr w14:paraId="6AFEE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097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29120D1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Table S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Relative abundance of dominant fungal phylum at different grazing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intensities</w:t>
            </w:r>
          </w:p>
        </w:tc>
      </w:tr>
      <w:tr w14:paraId="4F82D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7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7D931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Soil depth</w:t>
            </w:r>
          </w:p>
        </w:tc>
        <w:tc>
          <w:tcPr>
            <w:tcW w:w="182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2C497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phylum</w:t>
            </w:r>
          </w:p>
        </w:tc>
        <w:tc>
          <w:tcPr>
            <w:tcW w:w="104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A11589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NG</w:t>
            </w:r>
          </w:p>
        </w:tc>
        <w:tc>
          <w:tcPr>
            <w:tcW w:w="91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D6803E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LG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D6403A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MG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E52BC7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HG</w:t>
            </w:r>
          </w:p>
        </w:tc>
        <w:tc>
          <w:tcPr>
            <w:tcW w:w="98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3E696F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OG</w:t>
            </w:r>
          </w:p>
        </w:tc>
        <w:tc>
          <w:tcPr>
            <w:tcW w:w="87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10B676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75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394541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</w:tr>
      <w:tr w14:paraId="52139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9" w:type="dxa"/>
            <w:vMerge w:val="restart"/>
            <w:tcBorders>
              <w:top w:val="single" w:color="auto" w:sz="12" w:space="0"/>
              <w:left w:val="nil"/>
              <w:right w:val="nil"/>
            </w:tcBorders>
            <w:noWrap/>
            <w:vAlign w:val="center"/>
          </w:tcPr>
          <w:p w14:paraId="385DF8C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0-20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cm</w:t>
            </w:r>
          </w:p>
        </w:tc>
        <w:tc>
          <w:tcPr>
            <w:tcW w:w="182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25740E8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Ascomycota</w:t>
            </w:r>
          </w:p>
        </w:tc>
        <w:tc>
          <w:tcPr>
            <w:tcW w:w="1043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2C3E3E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0.530</w:t>
            </w:r>
          </w:p>
        </w:tc>
        <w:tc>
          <w:tcPr>
            <w:tcW w:w="914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27485C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0.405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7C92DFD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0.545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AAE23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0.474</w:t>
            </w:r>
          </w:p>
        </w:tc>
        <w:tc>
          <w:tcPr>
            <w:tcW w:w="987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202911B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0.555</w:t>
            </w:r>
          </w:p>
        </w:tc>
        <w:tc>
          <w:tcPr>
            <w:tcW w:w="877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5214EE6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1.832</w:t>
            </w:r>
          </w:p>
        </w:tc>
        <w:tc>
          <w:tcPr>
            <w:tcW w:w="757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8FE81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0.154</w:t>
            </w:r>
          </w:p>
        </w:tc>
      </w:tr>
      <w:tr w14:paraId="7240A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9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1C0A061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1141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Basidiomycota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2CF8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0.292a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A600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0.322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5FA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0.178a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340F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0.207a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9364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0.203a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3A61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2.813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745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0.047</w:t>
            </w:r>
          </w:p>
        </w:tc>
      </w:tr>
      <w:tr w14:paraId="6CB99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9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1816524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57E0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Mortierellomycota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F7A8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0.034 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A6AC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0.006a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F61B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0.022bc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966B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0.013a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2B76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0.018ab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5D6CB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5.581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8E61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0.002</w:t>
            </w:r>
          </w:p>
        </w:tc>
      </w:tr>
      <w:tr w14:paraId="764C1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79" w:type="dxa"/>
            <w:vMerge w:val="continue"/>
            <w:tcBorders>
              <w:left w:val="nil"/>
              <w:bottom w:val="nil"/>
              <w:right w:val="nil"/>
            </w:tcBorders>
            <w:noWrap/>
            <w:vAlign w:val="center"/>
          </w:tcPr>
          <w:p w14:paraId="207B18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83F7E4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Glomeromycota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0B7CAB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0.030ab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0FE57E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0.021a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555B7E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0.028ab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F29ED1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0.045c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9DFBE3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0.038bc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1FFF0A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4.952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330B28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0.004</w:t>
            </w:r>
          </w:p>
        </w:tc>
      </w:tr>
      <w:tr w14:paraId="29E54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7A0A1C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20-40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cm</w:t>
            </w:r>
          </w:p>
        </w:tc>
        <w:tc>
          <w:tcPr>
            <w:tcW w:w="182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DBA7A3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Ascomycota</w:t>
            </w:r>
          </w:p>
        </w:tc>
        <w:tc>
          <w:tcPr>
            <w:tcW w:w="1043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414A64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0.483</w:t>
            </w:r>
          </w:p>
        </w:tc>
        <w:tc>
          <w:tcPr>
            <w:tcW w:w="914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5423AB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0.455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C7D9A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0.492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4F26E1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0.427</w:t>
            </w:r>
          </w:p>
        </w:tc>
        <w:tc>
          <w:tcPr>
            <w:tcW w:w="987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06C2DC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0.451</w:t>
            </w:r>
          </w:p>
        </w:tc>
        <w:tc>
          <w:tcPr>
            <w:tcW w:w="877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4AB19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0.384</w:t>
            </w:r>
          </w:p>
        </w:tc>
        <w:tc>
          <w:tcPr>
            <w:tcW w:w="757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4CDFFB1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0.818</w:t>
            </w:r>
          </w:p>
        </w:tc>
      </w:tr>
      <w:tr w14:paraId="27AB2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9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2463E4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EB26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Basidiomycota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3CD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0.324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EA57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2B4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DB36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0.271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E4CA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0.245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398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0.860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3DD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0.501</w:t>
            </w:r>
          </w:p>
        </w:tc>
      </w:tr>
      <w:tr w14:paraId="79F02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9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 w14:paraId="6B3BD3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A13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Mortierellomycota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4DF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08BF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AC6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986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5BDE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C29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1.573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C7D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0.212</w:t>
            </w:r>
          </w:p>
        </w:tc>
      </w:tr>
      <w:tr w14:paraId="5601B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9" w:type="dxa"/>
            <w:vMerge w:val="continue"/>
            <w:tcBorders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D13BA5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9C5FC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Glomeromycota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12352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0.046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AF551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4660B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D47E8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0.043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7956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E43C06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0.557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7035E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0.696</w:t>
            </w:r>
          </w:p>
        </w:tc>
      </w:tr>
      <w:tr w14:paraId="17306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97" w:type="dxa"/>
            <w:gridSpan w:val="9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827B1B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For each parameter, a different letter indicates a significant difference at the 0.05 probability level (P &lt; 0.05) based on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bidi="ar"/>
              </w:rPr>
              <w:t>Tukey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’s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bidi="ar"/>
              </w:rPr>
              <w:t xml:space="preserve"> HSD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. F and P values in bold show statistically significant differences.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bidi="ar"/>
              </w:rPr>
              <w:t>L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owercase letters indicate differences between different grazing intensities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bidi="ar"/>
              </w:rPr>
              <w:t>. No letter indicates no significant difference.</w:t>
            </w:r>
          </w:p>
        </w:tc>
      </w:tr>
    </w:tbl>
    <w:p w14:paraId="67D0B3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mY1MjU3YzU4NDM4Yjc4MDJmODAyNDA1Nzg0ZjYifQ=="/>
  </w:docVars>
  <w:rsids>
    <w:rsidRoot w:val="00000000"/>
    <w:rsid w:val="03D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2024-10-29T02:07:16Z</dcterms:created>
  <dc:creator>DELL</dc:creator>
  <cp:lastModifiedBy>-</cp:lastModifiedBy>
  <dcterms:modified xsi:type="dcterms:W3CDTF">2024-10-29T02:08:22Z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4906601472574D1A95EAE21D6BAB42AF_12</vt:lpwstr>
  </property>
</Properties>
</file>