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F3" w:rsidRPr="004472F3" w:rsidRDefault="004472F3" w:rsidP="004472F3">
      <w:pPr>
        <w:spacing w:after="0" w:line="480" w:lineRule="auto"/>
        <w:rPr>
          <w:rFonts w:ascii="Times New Roman" w:hAnsi="Times New Roman" w:cs="Times New Roman"/>
        </w:rPr>
      </w:pPr>
      <w:r w:rsidRPr="004472F3">
        <w:rPr>
          <w:rFonts w:ascii="Times New Roman" w:hAnsi="Times New Roman" w:cs="Times New Roman"/>
          <w:color w:val="000000"/>
        </w:rPr>
        <w:t>Table S1: ODM</w:t>
      </w:r>
      <w:bookmarkStart w:id="0" w:name="_GoBack"/>
      <w:bookmarkEnd w:id="0"/>
      <w:r w:rsidRPr="004472F3">
        <w:rPr>
          <w:rFonts w:ascii="Times New Roman" w:hAnsi="Times New Roman" w:cs="Times New Roman"/>
          <w:color w:val="000000"/>
        </w:rPr>
        <w:t xml:space="preserve">AP protocol for reporting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xml:space="preserve"> distribution models following </w:t>
      </w:r>
      <w:proofErr w:type="spellStart"/>
      <w:r w:rsidRPr="004472F3">
        <w:rPr>
          <w:rFonts w:ascii="Times New Roman" w:hAnsi="Times New Roman" w:cs="Times New Roman"/>
          <w:color w:val="000000"/>
        </w:rPr>
        <w:t>Zurell</w:t>
      </w:r>
      <w:proofErr w:type="spellEnd"/>
      <w:r w:rsidRPr="004472F3">
        <w:rPr>
          <w:rFonts w:ascii="Times New Roman" w:hAnsi="Times New Roman" w:cs="Times New Roman"/>
          <w:color w:val="000000"/>
        </w:rPr>
        <w:t xml:space="preserve"> et al. (2020).</w:t>
      </w:r>
    </w:p>
    <w:tbl>
      <w:tblPr>
        <w:tblW w:w="8828" w:type="dxa"/>
        <w:tblLayout w:type="fixed"/>
        <w:tblLook w:val="0400" w:firstRow="0" w:lastRow="0" w:firstColumn="0" w:lastColumn="0" w:noHBand="0" w:noVBand="1"/>
      </w:tblPr>
      <w:tblGrid>
        <w:gridCol w:w="2262"/>
        <w:gridCol w:w="6566"/>
      </w:tblGrid>
      <w:tr w:rsidR="004472F3" w:rsidRPr="004472F3" w:rsidTr="009F272D">
        <w:trPr>
          <w:trHeight w:val="312"/>
        </w:trPr>
        <w:tc>
          <w:tcPr>
            <w:tcW w:w="2262" w:type="dxa"/>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 ODMAP elements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Contents</w:t>
            </w:r>
          </w:p>
        </w:tc>
      </w:tr>
      <w:tr w:rsidR="004472F3" w:rsidRPr="004472F3" w:rsidTr="009F272D">
        <w:trPr>
          <w:trHeight w:val="312"/>
        </w:trPr>
        <w:tc>
          <w:tcPr>
            <w:tcW w:w="8828" w:type="dxa"/>
            <w:gridSpan w:val="2"/>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OVERVIEW</w:t>
            </w:r>
          </w:p>
        </w:tc>
      </w:tr>
      <w:tr w:rsidR="004472F3" w:rsidRPr="004472F3" w:rsidTr="009F272D">
        <w:trPr>
          <w:trHeight w:val="300"/>
        </w:trPr>
        <w:tc>
          <w:tcPr>
            <w:tcW w:w="2262" w:type="dxa"/>
            <w:tcBorders>
              <w:top w:val="single" w:sz="12" w:space="0" w:color="000000"/>
              <w:left w:val="single" w:sz="8" w:space="0" w:color="D9D9D9"/>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Authorship</w:t>
            </w:r>
          </w:p>
        </w:tc>
        <w:tc>
          <w:tcPr>
            <w:tcW w:w="6566" w:type="dxa"/>
            <w:tcBorders>
              <w:top w:val="single" w:sz="12" w:space="0" w:color="000000"/>
              <w:left w:val="single" w:sz="8" w:space="0" w:color="D9D9D9"/>
              <w:bottom w:val="single" w:sz="8" w:space="0" w:color="000000"/>
              <w:right w:val="single" w:sz="8" w:space="0" w:color="D9D9D9"/>
            </w:tcBorders>
            <w:tcMar>
              <w:top w:w="15" w:type="dxa"/>
              <w:left w:w="115" w:type="dxa"/>
              <w:bottom w:w="15" w:type="dxa"/>
              <w:right w:w="115" w:type="dxa"/>
            </w:tcMar>
          </w:tcPr>
          <w:p w:rsidR="004472F3" w:rsidRPr="004472F3" w:rsidRDefault="004472F3" w:rsidP="007C2871">
            <w:pPr>
              <w:numPr>
                <w:ilvl w:val="0"/>
                <w:numId w:val="18"/>
              </w:numPr>
              <w:spacing w:after="0" w:line="240" w:lineRule="auto"/>
              <w:ind w:left="176" w:hanging="176"/>
              <w:rPr>
                <w:rFonts w:ascii="Times New Roman" w:hAnsi="Times New Roman" w:cs="Times New Roman"/>
                <w:color w:val="000000"/>
                <w:lang w:val="es-ES"/>
              </w:rPr>
            </w:pPr>
            <w:r w:rsidRPr="004472F3">
              <w:rPr>
                <w:rFonts w:ascii="Times New Roman" w:hAnsi="Times New Roman" w:cs="Times New Roman"/>
                <w:color w:val="000000"/>
                <w:lang w:val="es-ES"/>
              </w:rPr>
              <w:t xml:space="preserve">Authors: </w:t>
            </w:r>
            <w:proofErr w:type="spellStart"/>
            <w:r w:rsidRPr="004472F3">
              <w:rPr>
                <w:rFonts w:ascii="Times New Roman" w:hAnsi="Times New Roman" w:cs="Times New Roman"/>
                <w:color w:val="000000"/>
                <w:lang w:val="es-ES"/>
              </w:rPr>
              <w:t>Fressia</w:t>
            </w:r>
            <w:proofErr w:type="spellEnd"/>
            <w:r w:rsidRPr="004472F3">
              <w:rPr>
                <w:rFonts w:ascii="Times New Roman" w:hAnsi="Times New Roman" w:cs="Times New Roman"/>
                <w:color w:val="000000"/>
                <w:lang w:val="es-ES"/>
              </w:rPr>
              <w:t xml:space="preserve"> N. Ames-Martínez, Iván </w:t>
            </w:r>
            <w:proofErr w:type="spellStart"/>
            <w:r w:rsidRPr="004472F3">
              <w:rPr>
                <w:rFonts w:ascii="Times New Roman" w:hAnsi="Times New Roman" w:cs="Times New Roman"/>
                <w:color w:val="000000"/>
                <w:lang w:val="es-ES"/>
              </w:rPr>
              <w:t>Capcha</w:t>
            </w:r>
            <w:proofErr w:type="spellEnd"/>
            <w:r w:rsidRPr="004472F3">
              <w:rPr>
                <w:rFonts w:ascii="Times New Roman" w:hAnsi="Times New Roman" w:cs="Times New Roman"/>
                <w:color w:val="000000"/>
                <w:lang w:val="es-ES"/>
              </w:rPr>
              <w:t>, Anthony Guerra, Janet Inga, Harold R. Quispe-Melgar, Esteban Galeano, Ernesto C. Rodríguez-Ramírez.</w:t>
            </w:r>
          </w:p>
          <w:p w:rsidR="004472F3" w:rsidRPr="004472F3" w:rsidRDefault="004472F3" w:rsidP="007C2871">
            <w:pPr>
              <w:numPr>
                <w:ilvl w:val="0"/>
                <w:numId w:val="18"/>
              </w:numPr>
              <w:spacing w:after="0" w:line="240" w:lineRule="auto"/>
              <w:ind w:left="318" w:hanging="282"/>
              <w:rPr>
                <w:rFonts w:ascii="Times New Roman" w:hAnsi="Times New Roman" w:cs="Times New Roman"/>
                <w:color w:val="000000"/>
              </w:rPr>
            </w:pPr>
            <w:r w:rsidRPr="004472F3">
              <w:rPr>
                <w:rFonts w:ascii="Times New Roman" w:hAnsi="Times New Roman" w:cs="Times New Roman"/>
                <w:color w:val="000000"/>
              </w:rPr>
              <w:t xml:space="preserve">Contact email: </w:t>
            </w:r>
            <w:hyperlink r:id="rId5">
              <w:r w:rsidRPr="004472F3">
                <w:rPr>
                  <w:rFonts w:ascii="Times New Roman" w:hAnsi="Times New Roman" w:cs="Times New Roman"/>
                  <w:color w:val="0563C1"/>
                  <w:u w:val="single"/>
                </w:rPr>
                <w:t>fressiames@gmail.com</w:t>
              </w:r>
            </w:hyperlink>
          </w:p>
          <w:p w:rsidR="004472F3" w:rsidRPr="004472F3" w:rsidRDefault="004472F3" w:rsidP="007C2871">
            <w:pPr>
              <w:spacing w:after="0" w:line="240" w:lineRule="auto"/>
              <w:rPr>
                <w:rFonts w:ascii="Times New Roman" w:hAnsi="Times New Roman" w:cs="Times New Roman"/>
                <w:b/>
                <w:color w:val="000000"/>
                <w:sz w:val="28"/>
                <w:szCs w:val="28"/>
              </w:rPr>
            </w:pPr>
            <w:r w:rsidRPr="004472F3">
              <w:rPr>
                <w:rFonts w:ascii="Times New Roman" w:hAnsi="Times New Roman" w:cs="Times New Roman"/>
                <w:color w:val="000000"/>
              </w:rPr>
              <w:t xml:space="preserve">Title: </w:t>
            </w:r>
            <w:r w:rsidR="007C2871" w:rsidRPr="007C2871">
              <w:rPr>
                <w:rFonts w:ascii="Times New Roman" w:hAnsi="Times New Roman" w:cs="Times New Roman"/>
                <w:color w:val="000000"/>
              </w:rPr>
              <w:t xml:space="preserve">How do climate change and tree cover loss affect the habitat suitability of </w:t>
            </w:r>
            <w:proofErr w:type="spellStart"/>
            <w:r w:rsidR="007C2871" w:rsidRPr="007C2871">
              <w:rPr>
                <w:rFonts w:ascii="Times New Roman" w:hAnsi="Times New Roman" w:cs="Times New Roman"/>
                <w:i/>
                <w:color w:val="000000"/>
              </w:rPr>
              <w:t>Cedrela</w:t>
            </w:r>
            <w:proofErr w:type="spellEnd"/>
            <w:r w:rsidR="007C2871" w:rsidRPr="007C2871">
              <w:rPr>
                <w:rFonts w:ascii="Times New Roman" w:hAnsi="Times New Roman" w:cs="Times New Roman"/>
                <w:i/>
                <w:color w:val="000000"/>
              </w:rPr>
              <w:t xml:space="preserve"> </w:t>
            </w:r>
            <w:proofErr w:type="spellStart"/>
            <w:r w:rsidR="007C2871" w:rsidRPr="007C2871">
              <w:rPr>
                <w:rFonts w:ascii="Times New Roman" w:hAnsi="Times New Roman" w:cs="Times New Roman"/>
                <w:i/>
                <w:color w:val="000000"/>
              </w:rPr>
              <w:t>angustifolia</w:t>
            </w:r>
            <w:proofErr w:type="spellEnd"/>
            <w:r w:rsidR="007C2871" w:rsidRPr="007C2871">
              <w:rPr>
                <w:rFonts w:ascii="Times New Roman" w:hAnsi="Times New Roman" w:cs="Times New Roman"/>
                <w:color w:val="000000"/>
              </w:rPr>
              <w:t>? Evaluating climate vulnerability and conservation in Andean Montane Forests</w:t>
            </w:r>
          </w:p>
        </w:tc>
      </w:tr>
      <w:tr w:rsidR="004472F3" w:rsidRPr="004472F3" w:rsidTr="009F272D">
        <w:trPr>
          <w:trHeight w:val="300"/>
        </w:trPr>
        <w:tc>
          <w:tcPr>
            <w:tcW w:w="2262" w:type="dxa"/>
            <w:tcBorders>
              <w:top w:val="single" w:sz="8"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objective</w:t>
            </w:r>
          </w:p>
        </w:tc>
        <w:tc>
          <w:tcPr>
            <w:tcW w:w="6566" w:type="dxa"/>
            <w:tcBorders>
              <w:top w:val="single" w:sz="8"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objective: Mapping and interpolation.</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Target output: Suitability habitat index (probability of species presence).</w:t>
            </w:r>
          </w:p>
        </w:tc>
      </w:tr>
      <w:tr w:rsidR="004472F3" w:rsidRPr="004472F3" w:rsidTr="009F272D">
        <w:trPr>
          <w:trHeight w:val="312"/>
        </w:trPr>
        <w:tc>
          <w:tcPr>
            <w:tcW w:w="2262" w:type="dxa"/>
            <w:tcBorders>
              <w:top w:val="single" w:sz="12" w:space="0" w:color="000000"/>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Taxon </w:t>
            </w:r>
          </w:p>
        </w:tc>
        <w:tc>
          <w:tcPr>
            <w:tcW w:w="6566" w:type="dxa"/>
            <w:tcBorders>
              <w:top w:val="single" w:sz="12" w:space="0" w:color="000000"/>
              <w:left w:val="single" w:sz="8" w:space="0" w:color="D9D9D9"/>
              <w:bottom w:val="single" w:sz="8"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plants.</w:t>
            </w:r>
          </w:p>
        </w:tc>
      </w:tr>
      <w:tr w:rsidR="004472F3" w:rsidRPr="007C2871" w:rsidTr="009F272D">
        <w:trPr>
          <w:trHeight w:val="300"/>
        </w:trPr>
        <w:tc>
          <w:tcPr>
            <w:tcW w:w="2262" w:type="dxa"/>
            <w:tcBorders>
              <w:top w:val="single" w:sz="8"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Location</w:t>
            </w:r>
          </w:p>
        </w:tc>
        <w:tc>
          <w:tcPr>
            <w:tcW w:w="6566" w:type="dxa"/>
            <w:tcBorders>
              <w:top w:val="single" w:sz="8"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lang w:val="es-ES"/>
              </w:rPr>
            </w:pPr>
            <w:r w:rsidRPr="004472F3">
              <w:rPr>
                <w:rFonts w:ascii="Times New Roman" w:hAnsi="Times New Roman" w:cs="Times New Roman"/>
                <w:color w:val="000000"/>
                <w:lang w:val="es-ES"/>
              </w:rPr>
              <w:t xml:space="preserve">Ecuador, </w:t>
            </w:r>
            <w:proofErr w:type="spellStart"/>
            <w:r w:rsidRPr="004472F3">
              <w:rPr>
                <w:rFonts w:ascii="Times New Roman" w:hAnsi="Times New Roman" w:cs="Times New Roman"/>
                <w:color w:val="000000"/>
                <w:lang w:val="es-ES"/>
              </w:rPr>
              <w:t>Peru</w:t>
            </w:r>
            <w:proofErr w:type="spellEnd"/>
            <w:r w:rsidRPr="004472F3">
              <w:rPr>
                <w:rFonts w:ascii="Times New Roman" w:hAnsi="Times New Roman" w:cs="Times New Roman"/>
                <w:color w:val="000000"/>
                <w:lang w:val="es-ES"/>
              </w:rPr>
              <w:t xml:space="preserve">, Bolivia, Argentina; South </w:t>
            </w:r>
            <w:proofErr w:type="spellStart"/>
            <w:r w:rsidRPr="004472F3">
              <w:rPr>
                <w:rFonts w:ascii="Times New Roman" w:hAnsi="Times New Roman" w:cs="Times New Roman"/>
                <w:color w:val="000000"/>
                <w:lang w:val="es-ES"/>
              </w:rPr>
              <w:t>America</w:t>
            </w:r>
            <w:proofErr w:type="spellEnd"/>
            <w:r w:rsidRPr="004472F3">
              <w:rPr>
                <w:rFonts w:ascii="Times New Roman" w:hAnsi="Times New Roman" w:cs="Times New Roman"/>
                <w:color w:val="000000"/>
                <w:lang w:val="es-ES"/>
              </w:rPr>
              <w:t>.</w:t>
            </w:r>
          </w:p>
        </w:tc>
      </w:tr>
      <w:tr w:rsidR="004472F3" w:rsidRPr="004472F3" w:rsidTr="009F272D">
        <w:trPr>
          <w:trHeight w:val="300"/>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Scale of analysis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Spatial extent: -28.311835, -78.151898, -65.871586 -0.590849 (</w:t>
            </w:r>
            <w:proofErr w:type="spellStart"/>
            <w:r w:rsidRPr="004472F3">
              <w:rPr>
                <w:rFonts w:ascii="Times New Roman" w:hAnsi="Times New Roman" w:cs="Times New Roman"/>
                <w:color w:val="000000"/>
              </w:rPr>
              <w:t>xmin</w:t>
            </w:r>
            <w:proofErr w:type="spellEnd"/>
            <w:r w:rsidRPr="004472F3">
              <w:rPr>
                <w:rFonts w:ascii="Times New Roman" w:hAnsi="Times New Roman" w:cs="Times New Roman"/>
                <w:color w:val="000000"/>
              </w:rPr>
              <w:t xml:space="preserve">, </w:t>
            </w:r>
            <w:proofErr w:type="spellStart"/>
            <w:r w:rsidRPr="004472F3">
              <w:rPr>
                <w:rFonts w:ascii="Times New Roman" w:hAnsi="Times New Roman" w:cs="Times New Roman"/>
                <w:color w:val="000000"/>
              </w:rPr>
              <w:t>xmax</w:t>
            </w:r>
            <w:proofErr w:type="spellEnd"/>
            <w:r w:rsidRPr="004472F3">
              <w:rPr>
                <w:rFonts w:ascii="Times New Roman" w:hAnsi="Times New Roman" w:cs="Times New Roman"/>
                <w:color w:val="000000"/>
              </w:rPr>
              <w:t xml:space="preserve">, </w:t>
            </w:r>
            <w:proofErr w:type="spellStart"/>
            <w:r w:rsidRPr="004472F3">
              <w:rPr>
                <w:rFonts w:ascii="Times New Roman" w:hAnsi="Times New Roman" w:cs="Times New Roman"/>
                <w:color w:val="000000"/>
              </w:rPr>
              <w:t>ymin</w:t>
            </w:r>
            <w:proofErr w:type="spellEnd"/>
            <w:r w:rsidRPr="004472F3">
              <w:rPr>
                <w:rFonts w:ascii="Times New Roman" w:hAnsi="Times New Roman" w:cs="Times New Roman"/>
                <w:color w:val="000000"/>
              </w:rPr>
              <w:t xml:space="preserve">, </w:t>
            </w:r>
            <w:proofErr w:type="spellStart"/>
            <w:r w:rsidRPr="004472F3">
              <w:rPr>
                <w:rFonts w:ascii="Times New Roman" w:hAnsi="Times New Roman" w:cs="Times New Roman"/>
                <w:color w:val="000000"/>
              </w:rPr>
              <w:t>ymax</w:t>
            </w:r>
            <w:proofErr w:type="spellEnd"/>
            <w:r w:rsidRPr="004472F3">
              <w:rPr>
                <w:rFonts w:ascii="Times New Roman" w:hAnsi="Times New Roman" w:cs="Times New Roman"/>
                <w:color w:val="000000"/>
              </w:rPr>
              <w:t>), covering ~3,900 km.</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Spatial resolution: ~1 km x 1 km.</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Temporal extent: present and future (2040; 2070; 2100</w:t>
            </w:r>
            <w:r w:rsidR="0063204C">
              <w:rPr>
                <w:rFonts w:ascii="Times New Roman" w:hAnsi="Times New Roman" w:cs="Times New Roman"/>
                <w:color w:val="000000"/>
              </w:rPr>
              <w:t xml:space="preserve"> years</w:t>
            </w:r>
            <w:r w:rsidRPr="004472F3">
              <w:rPr>
                <w:rFonts w:ascii="Times New Roman" w:hAnsi="Times New Roman" w:cs="Times New Roman"/>
                <w:color w:val="000000"/>
              </w:rPr>
              <w:t>).</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Boundary: natural, political.</w:t>
            </w:r>
          </w:p>
        </w:tc>
      </w:tr>
      <w:tr w:rsidR="004472F3" w:rsidRPr="004472F3" w:rsidTr="009F272D">
        <w:trPr>
          <w:trHeight w:val="600"/>
        </w:trPr>
        <w:tc>
          <w:tcPr>
            <w:tcW w:w="2262" w:type="dxa"/>
            <w:tcBorders>
              <w:top w:val="single" w:sz="12" w:space="0" w:color="000000"/>
              <w:left w:val="single" w:sz="8" w:space="0" w:color="D9D9D9"/>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Biodiversity data overview</w:t>
            </w:r>
          </w:p>
        </w:tc>
        <w:tc>
          <w:tcPr>
            <w:tcW w:w="6566" w:type="dxa"/>
            <w:tcBorders>
              <w:top w:val="single" w:sz="12" w:space="0" w:color="000000"/>
              <w:left w:val="single" w:sz="8" w:space="0" w:color="D9D9D9"/>
              <w:bottom w:val="single" w:sz="8"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9"/>
              </w:numPr>
              <w:spacing w:after="0" w:line="240" w:lineRule="auto"/>
              <w:ind w:left="396"/>
              <w:rPr>
                <w:rFonts w:ascii="Times New Roman" w:hAnsi="Times New Roman" w:cs="Times New Roman"/>
                <w:color w:val="000000"/>
              </w:rPr>
            </w:pPr>
            <w:r w:rsidRPr="004472F3">
              <w:rPr>
                <w:rFonts w:ascii="Times New Roman" w:hAnsi="Times New Roman" w:cs="Times New Roman"/>
                <w:color w:val="000000"/>
              </w:rPr>
              <w:t>Observation type: standardized monitoring.</w:t>
            </w:r>
          </w:p>
          <w:p w:rsidR="004472F3" w:rsidRPr="004472F3" w:rsidRDefault="004472F3" w:rsidP="004472F3">
            <w:pPr>
              <w:numPr>
                <w:ilvl w:val="0"/>
                <w:numId w:val="19"/>
              </w:numPr>
              <w:spacing w:after="0" w:line="240" w:lineRule="auto"/>
              <w:ind w:left="396"/>
              <w:rPr>
                <w:rFonts w:ascii="Times New Roman" w:hAnsi="Times New Roman" w:cs="Times New Roman"/>
                <w:color w:val="000000"/>
              </w:rPr>
            </w:pPr>
            <w:r w:rsidRPr="004472F3">
              <w:rPr>
                <w:rFonts w:ascii="Times New Roman" w:hAnsi="Times New Roman" w:cs="Times New Roman"/>
                <w:color w:val="000000"/>
              </w:rPr>
              <w:t>Response/Data type: presence-only.</w:t>
            </w:r>
          </w:p>
        </w:tc>
      </w:tr>
      <w:tr w:rsidR="004472F3" w:rsidRPr="004472F3" w:rsidTr="009F272D">
        <w:trPr>
          <w:trHeight w:val="564"/>
        </w:trPr>
        <w:tc>
          <w:tcPr>
            <w:tcW w:w="2262" w:type="dxa"/>
            <w:tcBorders>
              <w:top w:val="single" w:sz="8" w:space="0" w:color="000000"/>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Type of predictors</w:t>
            </w:r>
          </w:p>
        </w:tc>
        <w:tc>
          <w:tcPr>
            <w:tcW w:w="6566" w:type="dxa"/>
            <w:tcBorders>
              <w:top w:val="single" w:sz="8" w:space="0" w:color="000000"/>
              <w:left w:val="single" w:sz="8" w:space="0" w:color="D9D9D9"/>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Climatic, habitat.</w:t>
            </w:r>
          </w:p>
        </w:tc>
      </w:tr>
      <w:tr w:rsidR="004472F3" w:rsidRPr="004472F3" w:rsidTr="009F272D">
        <w:trPr>
          <w:trHeight w:val="564"/>
        </w:trPr>
        <w:tc>
          <w:tcPr>
            <w:tcW w:w="2262" w:type="dxa"/>
            <w:tcBorders>
              <w:top w:val="single" w:sz="8" w:space="0" w:color="000000"/>
              <w:bottom w:val="single" w:sz="8"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Conceptual model/Hypotheses</w:t>
            </w:r>
          </w:p>
        </w:tc>
        <w:tc>
          <w:tcPr>
            <w:tcW w:w="6566" w:type="dxa"/>
            <w:tcBorders>
              <w:top w:val="single" w:sz="8" w:space="0" w:color="000000"/>
              <w:left w:val="single" w:sz="8" w:space="0" w:color="D9D9D9"/>
              <w:bottom w:val="single" w:sz="8" w:space="0" w:color="000000"/>
              <w:right w:val="single" w:sz="8" w:space="0" w:color="D9D9D9"/>
            </w:tcBorders>
            <w:tcMar>
              <w:top w:w="15" w:type="dxa"/>
              <w:left w:w="115" w:type="dxa"/>
              <w:bottom w:w="15" w:type="dxa"/>
              <w:right w:w="115" w:type="dxa"/>
            </w:tcMar>
          </w:tcPr>
          <w:p w:rsidR="004472F3" w:rsidRPr="004472F3" w:rsidRDefault="007C2871" w:rsidP="009F272D">
            <w:pPr>
              <w:spacing w:after="0" w:line="240" w:lineRule="auto"/>
              <w:rPr>
                <w:rFonts w:ascii="Times New Roman" w:hAnsi="Times New Roman" w:cs="Times New Roman"/>
              </w:rPr>
            </w:pPr>
            <w:r>
              <w:rPr>
                <w:rFonts w:ascii="Times New Roman" w:hAnsi="Times New Roman" w:cs="Times New Roman"/>
              </w:rPr>
              <w:t>W</w:t>
            </w:r>
            <w:r w:rsidRPr="007C2871">
              <w:rPr>
                <w:rFonts w:ascii="Times New Roman" w:hAnsi="Times New Roman" w:cs="Times New Roman"/>
              </w:rPr>
              <w:t xml:space="preserve">e hypothesized that the most suitable habitat for </w:t>
            </w:r>
            <w:r w:rsidRPr="007C2871">
              <w:rPr>
                <w:rFonts w:ascii="Times New Roman" w:hAnsi="Times New Roman" w:cs="Times New Roman"/>
                <w:i/>
              </w:rPr>
              <w:t xml:space="preserve">C. </w:t>
            </w:r>
            <w:proofErr w:type="spellStart"/>
            <w:r w:rsidRPr="007C2871">
              <w:rPr>
                <w:rFonts w:ascii="Times New Roman" w:hAnsi="Times New Roman" w:cs="Times New Roman"/>
                <w:i/>
              </w:rPr>
              <w:t>angustifolia</w:t>
            </w:r>
            <w:proofErr w:type="spellEnd"/>
            <w:r w:rsidRPr="007C2871">
              <w:rPr>
                <w:rFonts w:ascii="Times New Roman" w:hAnsi="Times New Roman" w:cs="Times New Roman"/>
              </w:rPr>
              <w:t xml:space="preserve"> would be negatively affected by climate change and tree cover loss by 2100</w:t>
            </w:r>
          </w:p>
        </w:tc>
      </w:tr>
      <w:tr w:rsidR="004472F3" w:rsidRPr="004472F3" w:rsidTr="009F272D">
        <w:trPr>
          <w:trHeight w:val="300"/>
        </w:trPr>
        <w:tc>
          <w:tcPr>
            <w:tcW w:w="2262" w:type="dxa"/>
            <w:tcBorders>
              <w:top w:val="single" w:sz="8"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Assumptions</w:t>
            </w:r>
          </w:p>
        </w:tc>
        <w:tc>
          <w:tcPr>
            <w:tcW w:w="6566" w:type="dxa"/>
            <w:tcBorders>
              <w:top w:val="single" w:sz="8"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 xml:space="preserve">The present and future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xml:space="preserve"> distribution is not at equilibrium with the environment and is mostly driven by climate. There is no sampling bias in the species occurrence data.</w:t>
            </w:r>
          </w:p>
          <w:p w:rsidR="004472F3" w:rsidRPr="004472F3" w:rsidRDefault="004472F3" w:rsidP="004472F3">
            <w:pPr>
              <w:numPr>
                <w:ilvl w:val="0"/>
                <w:numId w:val="20"/>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Relevant ecological drivers (or proxies) of species distributions are comprised.</w:t>
            </w:r>
          </w:p>
          <w:p w:rsidR="004472F3" w:rsidRPr="004472F3" w:rsidRDefault="004472F3" w:rsidP="004472F3">
            <w:pPr>
              <w:numPr>
                <w:ilvl w:val="0"/>
                <w:numId w:val="20"/>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Species are at (pseudo-) equilibrium with their environment.</w:t>
            </w:r>
          </w:p>
          <w:p w:rsidR="004472F3" w:rsidRPr="004472F3" w:rsidRDefault="004472F3" w:rsidP="004472F3">
            <w:pPr>
              <w:numPr>
                <w:ilvl w:val="0"/>
                <w:numId w:val="20"/>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Species show similar responses to the bait and the sampling instrument.</w:t>
            </w:r>
          </w:p>
          <w:p w:rsidR="004472F3" w:rsidRPr="004472F3" w:rsidRDefault="004472F3" w:rsidP="004472F3">
            <w:pPr>
              <w:numPr>
                <w:ilvl w:val="0"/>
                <w:numId w:val="20"/>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Sampling is adequate and representative (and any biases are accounted for/corrected).</w:t>
            </w:r>
          </w:p>
        </w:tc>
      </w:tr>
      <w:tr w:rsidR="004472F3" w:rsidRPr="004472F3" w:rsidTr="009F272D">
        <w:trPr>
          <w:trHeight w:val="300"/>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SDM algorithms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1"/>
              </w:numPr>
              <w:spacing w:after="0" w:line="240" w:lineRule="auto"/>
              <w:ind w:left="360"/>
              <w:rPr>
                <w:rFonts w:ascii="Times New Roman" w:hAnsi="Times New Roman" w:cs="Times New Roman"/>
                <w:color w:val="000000"/>
              </w:rPr>
            </w:pPr>
            <w:r w:rsidRPr="004472F3">
              <w:rPr>
                <w:rFonts w:ascii="Times New Roman" w:hAnsi="Times New Roman" w:cs="Times New Roman"/>
              </w:rPr>
              <w:t>Modeling</w:t>
            </w:r>
            <w:r w:rsidR="007C2871">
              <w:rPr>
                <w:rFonts w:ascii="Times New Roman" w:hAnsi="Times New Roman" w:cs="Times New Roman"/>
                <w:color w:val="000000"/>
              </w:rPr>
              <w:t xml:space="preserve"> techniques: </w:t>
            </w:r>
            <w:proofErr w:type="spellStart"/>
            <w:r w:rsidR="007C2871">
              <w:rPr>
                <w:rFonts w:ascii="Times New Roman" w:hAnsi="Times New Roman" w:cs="Times New Roman"/>
                <w:color w:val="000000"/>
              </w:rPr>
              <w:t>MaxEnt</w:t>
            </w:r>
            <w:proofErr w:type="spellEnd"/>
            <w:r w:rsidR="007C2871">
              <w:rPr>
                <w:rFonts w:ascii="Times New Roman" w:hAnsi="Times New Roman" w:cs="Times New Roman"/>
                <w:color w:val="000000"/>
              </w:rPr>
              <w:t xml:space="preserve"> and Random Forest</w:t>
            </w:r>
          </w:p>
          <w:p w:rsidR="004472F3" w:rsidRPr="004472F3" w:rsidRDefault="004472F3" w:rsidP="004472F3">
            <w:pPr>
              <w:numPr>
                <w:ilvl w:val="0"/>
                <w:numId w:val="11"/>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Model complexity: </w:t>
            </w:r>
            <w:proofErr w:type="spellStart"/>
            <w:r w:rsidRPr="004472F3">
              <w:rPr>
                <w:rFonts w:ascii="Times New Roman" w:hAnsi="Times New Roman" w:cs="Times New Roman"/>
                <w:color w:val="000000"/>
              </w:rPr>
              <w:t>MaxEnt</w:t>
            </w:r>
            <w:proofErr w:type="spellEnd"/>
            <w:r w:rsidRPr="004472F3">
              <w:rPr>
                <w:rFonts w:ascii="Times New Roman" w:hAnsi="Times New Roman" w:cs="Times New Roman"/>
                <w:color w:val="000000"/>
              </w:rPr>
              <w:t xml:space="preserve"> models were built with linear, quadratic, product, threshold, and hinge features.</w:t>
            </w:r>
          </w:p>
          <w:p w:rsidR="004472F3" w:rsidRPr="004472F3" w:rsidRDefault="004472F3" w:rsidP="004472F3">
            <w:pPr>
              <w:numPr>
                <w:ilvl w:val="0"/>
                <w:numId w:val="11"/>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Ensembles: We combined model types to form ensemble predictions, we used KUENM package for model selections.</w:t>
            </w:r>
          </w:p>
        </w:tc>
      </w:tr>
      <w:tr w:rsidR="004472F3" w:rsidRPr="004472F3" w:rsidTr="009F272D">
        <w:trPr>
          <w:trHeight w:val="576"/>
        </w:trPr>
        <w:tc>
          <w:tcPr>
            <w:tcW w:w="2262" w:type="dxa"/>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lastRenderedPageBreak/>
              <w:t>Model workflow</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7C2871" w:rsidP="009F272D">
            <w:pPr>
              <w:spacing w:after="0" w:line="240" w:lineRule="auto"/>
              <w:rPr>
                <w:rFonts w:ascii="Times New Roman" w:hAnsi="Times New Roman" w:cs="Times New Roman"/>
              </w:rPr>
            </w:pPr>
            <w:r>
              <w:rPr>
                <w:rFonts w:ascii="Times New Roman" w:hAnsi="Times New Roman" w:cs="Times New Roman"/>
                <w:color w:val="000000"/>
              </w:rPr>
              <w:t>We got 104</w:t>
            </w:r>
            <w:r w:rsidR="004472F3" w:rsidRPr="004472F3">
              <w:rPr>
                <w:rFonts w:ascii="Times New Roman" w:hAnsi="Times New Roman" w:cs="Times New Roman"/>
                <w:color w:val="000000"/>
              </w:rPr>
              <w:t xml:space="preserve"> </w:t>
            </w:r>
            <w:proofErr w:type="spellStart"/>
            <w:r w:rsidR="004472F3" w:rsidRPr="004472F3">
              <w:rPr>
                <w:rFonts w:ascii="Times New Roman" w:hAnsi="Times New Roman" w:cs="Times New Roman"/>
                <w:i/>
                <w:color w:val="000000"/>
              </w:rPr>
              <w:t>Cedrela</w:t>
            </w:r>
            <w:proofErr w:type="spellEnd"/>
            <w:r w:rsidR="004472F3" w:rsidRPr="004472F3">
              <w:rPr>
                <w:rFonts w:ascii="Times New Roman" w:hAnsi="Times New Roman" w:cs="Times New Roman"/>
                <w:i/>
                <w:color w:val="000000"/>
              </w:rPr>
              <w:t xml:space="preserve"> </w:t>
            </w:r>
            <w:proofErr w:type="spellStart"/>
            <w:r w:rsidR="004472F3" w:rsidRPr="004472F3">
              <w:rPr>
                <w:rFonts w:ascii="Times New Roman" w:hAnsi="Times New Roman" w:cs="Times New Roman"/>
                <w:i/>
                <w:color w:val="000000"/>
              </w:rPr>
              <w:t>angustifolia</w:t>
            </w:r>
            <w:proofErr w:type="spellEnd"/>
            <w:r w:rsidR="004472F3" w:rsidRPr="004472F3">
              <w:rPr>
                <w:rFonts w:ascii="Times New Roman" w:hAnsi="Times New Roman" w:cs="Times New Roman"/>
                <w:i/>
                <w:color w:val="000000"/>
              </w:rPr>
              <w:t xml:space="preserve"> </w:t>
            </w:r>
            <w:r w:rsidR="004472F3" w:rsidRPr="004472F3">
              <w:rPr>
                <w:rFonts w:ascii="Times New Roman" w:hAnsi="Times New Roman" w:cs="Times New Roman"/>
                <w:color w:val="000000"/>
              </w:rPr>
              <w:t>occurrence records from South America, and fitted SDMs using the KUENM package (</w:t>
            </w:r>
            <w:proofErr w:type="spellStart"/>
            <w:r w:rsidR="004472F3" w:rsidRPr="004472F3">
              <w:rPr>
                <w:rFonts w:ascii="Times New Roman" w:hAnsi="Times New Roman" w:cs="Times New Roman"/>
                <w:color w:val="000000"/>
              </w:rPr>
              <w:t>Cobos</w:t>
            </w:r>
            <w:proofErr w:type="spellEnd"/>
            <w:r w:rsidR="004472F3" w:rsidRPr="004472F3">
              <w:rPr>
                <w:rFonts w:ascii="Times New Roman" w:hAnsi="Times New Roman" w:cs="Times New Roman"/>
                <w:color w:val="000000"/>
              </w:rPr>
              <w:t xml:space="preserve"> et al. 2019) with </w:t>
            </w:r>
            <w:proofErr w:type="spellStart"/>
            <w:r w:rsidR="004472F3" w:rsidRPr="004472F3">
              <w:rPr>
                <w:rFonts w:ascii="Times New Roman" w:hAnsi="Times New Roman" w:cs="Times New Roman"/>
                <w:color w:val="000000"/>
              </w:rPr>
              <w:t>MaxEnt</w:t>
            </w:r>
            <w:proofErr w:type="spellEnd"/>
            <w:r w:rsidR="004472F3" w:rsidRPr="004472F3">
              <w:rPr>
                <w:rFonts w:ascii="Times New Roman" w:hAnsi="Times New Roman" w:cs="Times New Roman"/>
                <w:color w:val="000000"/>
              </w:rPr>
              <w:t xml:space="preserve"> algorithm and one candidate predictor set (environmental). </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calibration was done with careful consideration of data limitations, and the effects of various assumptions available were assessed via experimentation.</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We combined model predictions into ensembles using a weighted KUENM algorithm. We evaluated predictive performance using AUC, Partial ROC (Receiver Operating Characteristic), omission rate, and the optimal complexity parameter. We then calculated predicted range sizes from the binary maps and range sizes from the environmental-only, and suitability habitat we calculated with climate, land cover and protected natural areas.</w:t>
            </w:r>
          </w:p>
        </w:tc>
      </w:tr>
      <w:tr w:rsidR="004472F3" w:rsidRPr="004472F3" w:rsidTr="009F272D">
        <w:trPr>
          <w:trHeight w:val="300"/>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Software, codes, and data</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2"/>
              </w:numPr>
              <w:spacing w:after="0" w:line="240" w:lineRule="auto"/>
              <w:ind w:left="389"/>
              <w:rPr>
                <w:rFonts w:ascii="Times New Roman" w:hAnsi="Times New Roman" w:cs="Times New Roman"/>
                <w:color w:val="000000"/>
              </w:rPr>
            </w:pPr>
            <w:r w:rsidRPr="004472F3">
              <w:rPr>
                <w:rFonts w:ascii="Times New Roman" w:hAnsi="Times New Roman" w:cs="Times New Roman"/>
                <w:color w:val="000000"/>
              </w:rPr>
              <w:t xml:space="preserve">Software: </w:t>
            </w:r>
            <w:proofErr w:type="spellStart"/>
            <w:r w:rsidRPr="004472F3">
              <w:rPr>
                <w:rFonts w:ascii="Times New Roman" w:hAnsi="Times New Roman" w:cs="Times New Roman"/>
                <w:color w:val="000000"/>
              </w:rPr>
              <w:t>Maxent</w:t>
            </w:r>
            <w:proofErr w:type="spellEnd"/>
            <w:r w:rsidRPr="004472F3">
              <w:rPr>
                <w:rFonts w:ascii="Times New Roman" w:hAnsi="Times New Roman" w:cs="Times New Roman"/>
                <w:color w:val="000000"/>
              </w:rPr>
              <w:t xml:space="preserve"> 3.4.1 and R version 4.1.3, packages ‘raster’, ‘</w:t>
            </w:r>
            <w:proofErr w:type="spellStart"/>
            <w:r w:rsidRPr="004472F3">
              <w:rPr>
                <w:rFonts w:ascii="Times New Roman" w:hAnsi="Times New Roman" w:cs="Times New Roman"/>
                <w:color w:val="000000"/>
              </w:rPr>
              <w:t>rgdal</w:t>
            </w:r>
            <w:proofErr w:type="spellEnd"/>
            <w:r w:rsidRPr="004472F3">
              <w:rPr>
                <w:rFonts w:ascii="Times New Roman" w:hAnsi="Times New Roman" w:cs="Times New Roman"/>
                <w:color w:val="000000"/>
              </w:rPr>
              <w:t>’, ‘KUENM’, ‘</w:t>
            </w:r>
            <w:proofErr w:type="spellStart"/>
            <w:r w:rsidRPr="004472F3">
              <w:rPr>
                <w:rFonts w:ascii="Times New Roman" w:hAnsi="Times New Roman" w:cs="Times New Roman"/>
                <w:color w:val="000000"/>
              </w:rPr>
              <w:t>fuzzySim</w:t>
            </w:r>
            <w:proofErr w:type="spellEnd"/>
            <w:r w:rsidRPr="004472F3">
              <w:rPr>
                <w:rFonts w:ascii="Times New Roman" w:hAnsi="Times New Roman" w:cs="Times New Roman"/>
                <w:color w:val="000000"/>
              </w:rPr>
              <w:t>’, ‘</w:t>
            </w:r>
            <w:proofErr w:type="spellStart"/>
            <w:r w:rsidRPr="004472F3">
              <w:rPr>
                <w:rFonts w:ascii="Times New Roman" w:hAnsi="Times New Roman" w:cs="Times New Roman"/>
                <w:color w:val="000000"/>
              </w:rPr>
              <w:t>virtualspecies</w:t>
            </w:r>
            <w:proofErr w:type="spellEnd"/>
            <w:r w:rsidRPr="004472F3">
              <w:rPr>
                <w:rFonts w:ascii="Times New Roman" w:hAnsi="Times New Roman" w:cs="Times New Roman"/>
                <w:color w:val="000000"/>
              </w:rPr>
              <w:t>’</w:t>
            </w:r>
            <w:r w:rsidR="007C2871">
              <w:rPr>
                <w:rFonts w:ascii="Times New Roman" w:hAnsi="Times New Roman" w:cs="Times New Roman"/>
                <w:color w:val="000000"/>
              </w:rPr>
              <w:t>,’</w:t>
            </w:r>
            <w:proofErr w:type="spellStart"/>
            <w:r w:rsidR="007C2871">
              <w:rPr>
                <w:rFonts w:ascii="Times New Roman" w:hAnsi="Times New Roman" w:cs="Times New Roman"/>
                <w:color w:val="000000"/>
              </w:rPr>
              <w:t>RandomForest</w:t>
            </w:r>
            <w:proofErr w:type="spellEnd"/>
            <w:r w:rsidR="007C2871">
              <w:rPr>
                <w:rFonts w:ascii="Times New Roman" w:hAnsi="Times New Roman" w:cs="Times New Roman"/>
                <w:color w:val="000000"/>
              </w:rPr>
              <w:t>’</w:t>
            </w:r>
            <w:r w:rsidRPr="004472F3">
              <w:rPr>
                <w:rFonts w:ascii="Times New Roman" w:hAnsi="Times New Roman" w:cs="Times New Roman"/>
                <w:color w:val="000000"/>
              </w:rPr>
              <w:t xml:space="preserve"> and ‘</w:t>
            </w:r>
            <w:proofErr w:type="spellStart"/>
            <w:r w:rsidRPr="004472F3">
              <w:rPr>
                <w:rFonts w:ascii="Times New Roman" w:hAnsi="Times New Roman" w:cs="Times New Roman"/>
                <w:color w:val="000000"/>
              </w:rPr>
              <w:t>sdm</w:t>
            </w:r>
            <w:proofErr w:type="spellEnd"/>
            <w:r w:rsidRPr="004472F3">
              <w:rPr>
                <w:rFonts w:ascii="Times New Roman" w:hAnsi="Times New Roman" w:cs="Times New Roman"/>
                <w:color w:val="000000"/>
              </w:rPr>
              <w:t>’.</w:t>
            </w:r>
          </w:p>
          <w:p w:rsidR="004472F3" w:rsidRPr="004472F3" w:rsidRDefault="004472F3" w:rsidP="004472F3">
            <w:pPr>
              <w:numPr>
                <w:ilvl w:val="0"/>
                <w:numId w:val="12"/>
              </w:numPr>
              <w:spacing w:after="0" w:line="240" w:lineRule="auto"/>
              <w:ind w:left="389"/>
              <w:rPr>
                <w:rFonts w:ascii="Times New Roman" w:hAnsi="Times New Roman" w:cs="Times New Roman"/>
                <w:color w:val="000000"/>
              </w:rPr>
            </w:pPr>
            <w:r w:rsidRPr="004472F3">
              <w:rPr>
                <w:rFonts w:ascii="Times New Roman" w:hAnsi="Times New Roman" w:cs="Times New Roman"/>
                <w:color w:val="000000"/>
              </w:rPr>
              <w:t xml:space="preserve">Data availability: Data is available in GBIF secretariat (2022), Missouri Botanical Garden (2022), Pennington and </w:t>
            </w:r>
            <w:proofErr w:type="spellStart"/>
            <w:r w:rsidRPr="004472F3">
              <w:rPr>
                <w:rFonts w:ascii="Times New Roman" w:hAnsi="Times New Roman" w:cs="Times New Roman"/>
                <w:color w:val="000000"/>
              </w:rPr>
              <w:t>Muellner</w:t>
            </w:r>
            <w:proofErr w:type="spellEnd"/>
            <w:r w:rsidRPr="004472F3">
              <w:rPr>
                <w:rFonts w:ascii="Times New Roman" w:hAnsi="Times New Roman" w:cs="Times New Roman"/>
                <w:color w:val="000000"/>
              </w:rPr>
              <w:t xml:space="preserve"> (2010) and </w:t>
            </w:r>
            <w:proofErr w:type="spellStart"/>
            <w:r w:rsidRPr="004472F3">
              <w:rPr>
                <w:rFonts w:ascii="Times New Roman" w:hAnsi="Times New Roman" w:cs="Times New Roman"/>
                <w:color w:val="000000"/>
              </w:rPr>
              <w:t>Muellner</w:t>
            </w:r>
            <w:proofErr w:type="spellEnd"/>
            <w:r w:rsidRPr="004472F3">
              <w:rPr>
                <w:rFonts w:ascii="Times New Roman" w:hAnsi="Times New Roman" w:cs="Times New Roman"/>
                <w:color w:val="000000"/>
              </w:rPr>
              <w:t xml:space="preserve"> et al. (2012).</w:t>
            </w:r>
          </w:p>
        </w:tc>
      </w:tr>
      <w:tr w:rsidR="004472F3" w:rsidRPr="004472F3" w:rsidTr="009F272D">
        <w:trPr>
          <w:trHeight w:val="312"/>
        </w:trPr>
        <w:tc>
          <w:tcPr>
            <w:tcW w:w="8828" w:type="dxa"/>
            <w:gridSpan w:val="2"/>
            <w:tcBorders>
              <w:top w:val="single" w:sz="12" w:space="0" w:color="000000"/>
              <w:left w:val="single" w:sz="8" w:space="0" w:color="D9D9D9"/>
              <w:bottom w:val="single" w:sz="4"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DATA</w:t>
            </w:r>
          </w:p>
        </w:tc>
      </w:tr>
      <w:tr w:rsidR="004472F3" w:rsidRPr="004472F3" w:rsidTr="009F272D">
        <w:trPr>
          <w:trHeight w:val="312"/>
        </w:trPr>
        <w:tc>
          <w:tcPr>
            <w:tcW w:w="2262" w:type="dxa"/>
            <w:tcBorders>
              <w:top w:val="single" w:sz="4"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Biodiversity data</w:t>
            </w:r>
          </w:p>
        </w:tc>
        <w:tc>
          <w:tcPr>
            <w:tcW w:w="6566" w:type="dxa"/>
            <w:tcBorders>
              <w:top w:val="single" w:sz="4"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Taxon names: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i/>
                <w:color w:val="000000"/>
              </w:rPr>
              <w:t>.</w:t>
            </w:r>
          </w:p>
          <w:p w:rsidR="004472F3" w:rsidRPr="004472F3" w:rsidRDefault="004472F3" w:rsidP="004472F3">
            <w:pPr>
              <w:numPr>
                <w:ilvl w:val="0"/>
                <w:numId w:val="13"/>
              </w:numPr>
              <w:spacing w:after="0" w:line="240" w:lineRule="auto"/>
              <w:ind w:left="462" w:hanging="462"/>
              <w:rPr>
                <w:rFonts w:ascii="Times New Roman" w:hAnsi="Times New Roman" w:cs="Times New Roman"/>
                <w:color w:val="000000"/>
              </w:rPr>
            </w:pPr>
            <w:r w:rsidRPr="004472F3">
              <w:rPr>
                <w:rFonts w:ascii="Times New Roman" w:hAnsi="Times New Roman" w:cs="Times New Roman"/>
                <w:color w:val="000000"/>
              </w:rPr>
              <w:t>Taxonomic reference system: We followed the updated list of the International Plant Name Index (https://www.ipni.org/n/</w:t>
            </w:r>
            <w:r w:rsidRPr="004472F3">
              <w:rPr>
                <w:rFonts w:ascii="Times New Roman" w:hAnsi="Times New Roman" w:cs="Times New Roman"/>
              </w:rPr>
              <w:t xml:space="preserve"> </w:t>
            </w:r>
            <w:r w:rsidRPr="004472F3">
              <w:rPr>
                <w:rFonts w:ascii="Times New Roman" w:hAnsi="Times New Roman" w:cs="Times New Roman"/>
                <w:color w:val="000000"/>
              </w:rPr>
              <w:t xml:space="preserve">577723-1) and </w:t>
            </w:r>
            <w:proofErr w:type="spellStart"/>
            <w:r w:rsidRPr="004472F3">
              <w:rPr>
                <w:rFonts w:ascii="Times New Roman" w:hAnsi="Times New Roman" w:cs="Times New Roman"/>
                <w:color w:val="000000"/>
              </w:rPr>
              <w:t>Tropicos</w:t>
            </w:r>
            <w:proofErr w:type="spellEnd"/>
            <w:r w:rsidRPr="004472F3">
              <w:rPr>
                <w:rFonts w:ascii="Times New Roman" w:hAnsi="Times New Roman" w:cs="Times New Roman"/>
                <w:color w:val="000000"/>
              </w:rPr>
              <w:t xml:space="preserve"> for Missouri Botanical Garden (https://tropicos.org/name/</w:t>
            </w:r>
            <w:r w:rsidRPr="004472F3">
              <w:rPr>
                <w:rFonts w:ascii="Times New Roman" w:hAnsi="Times New Roman" w:cs="Times New Roman"/>
              </w:rPr>
              <w:t xml:space="preserve"> </w:t>
            </w:r>
            <w:r w:rsidRPr="004472F3">
              <w:rPr>
                <w:rFonts w:ascii="Times New Roman" w:hAnsi="Times New Roman" w:cs="Times New Roman"/>
                <w:color w:val="000000"/>
              </w:rPr>
              <w:t>20400040).</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Ecological level: species.</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Biodiversity data source: We derived data from literature sources, including our earlier compilation (Pennington and </w:t>
            </w:r>
            <w:proofErr w:type="spellStart"/>
            <w:r w:rsidRPr="004472F3">
              <w:rPr>
                <w:rFonts w:ascii="Times New Roman" w:hAnsi="Times New Roman" w:cs="Times New Roman"/>
                <w:color w:val="000000"/>
              </w:rPr>
              <w:t>Muellner</w:t>
            </w:r>
            <w:proofErr w:type="spellEnd"/>
            <w:r w:rsidRPr="004472F3">
              <w:rPr>
                <w:rFonts w:ascii="Times New Roman" w:hAnsi="Times New Roman" w:cs="Times New Roman"/>
                <w:color w:val="000000"/>
              </w:rPr>
              <w:t xml:space="preserve">, 2010; and </w:t>
            </w:r>
            <w:proofErr w:type="spellStart"/>
            <w:r w:rsidRPr="004472F3">
              <w:rPr>
                <w:rFonts w:ascii="Times New Roman" w:hAnsi="Times New Roman" w:cs="Times New Roman"/>
                <w:color w:val="000000"/>
              </w:rPr>
              <w:t>Muellner</w:t>
            </w:r>
            <w:proofErr w:type="spellEnd"/>
            <w:r w:rsidRPr="004472F3">
              <w:rPr>
                <w:rFonts w:ascii="Times New Roman" w:hAnsi="Times New Roman" w:cs="Times New Roman"/>
                <w:color w:val="000000"/>
              </w:rPr>
              <w:t xml:space="preserve"> et al., 2012). As an independent source, we conducted fieldwork studies on AMFs from 2019 and we complemented this collected information with satellite imagery observation.</w:t>
            </w:r>
          </w:p>
          <w:p w:rsidR="004472F3" w:rsidRPr="004472F3" w:rsidRDefault="007C2871" w:rsidP="004472F3">
            <w:pPr>
              <w:numPr>
                <w:ilvl w:val="0"/>
                <w:numId w:val="13"/>
              </w:numPr>
              <w:spacing w:after="0" w:line="240" w:lineRule="auto"/>
              <w:ind w:left="360"/>
              <w:rPr>
                <w:rFonts w:ascii="Times New Roman" w:hAnsi="Times New Roman" w:cs="Times New Roman"/>
                <w:color w:val="000000"/>
              </w:rPr>
            </w:pPr>
            <w:r>
              <w:rPr>
                <w:rFonts w:ascii="Times New Roman" w:hAnsi="Times New Roman" w:cs="Times New Roman"/>
                <w:color w:val="000000"/>
              </w:rPr>
              <w:t>Sampling design: 104</w:t>
            </w:r>
            <w:r w:rsidR="004472F3" w:rsidRPr="004472F3">
              <w:rPr>
                <w:rFonts w:ascii="Times New Roman" w:hAnsi="Times New Roman" w:cs="Times New Roman"/>
                <w:color w:val="000000"/>
              </w:rPr>
              <w:t xml:space="preserve"> occurrence points of </w:t>
            </w:r>
            <w:proofErr w:type="spellStart"/>
            <w:r w:rsidR="004472F3" w:rsidRPr="004472F3">
              <w:rPr>
                <w:rFonts w:ascii="Times New Roman" w:hAnsi="Times New Roman" w:cs="Times New Roman"/>
                <w:i/>
                <w:color w:val="000000"/>
              </w:rPr>
              <w:t>Cedrela</w:t>
            </w:r>
            <w:proofErr w:type="spellEnd"/>
            <w:r w:rsidR="004472F3" w:rsidRPr="004472F3">
              <w:rPr>
                <w:rFonts w:ascii="Times New Roman" w:hAnsi="Times New Roman" w:cs="Times New Roman"/>
                <w:i/>
                <w:color w:val="000000"/>
              </w:rPr>
              <w:t xml:space="preserve"> </w:t>
            </w:r>
            <w:proofErr w:type="spellStart"/>
            <w:r w:rsidR="004472F3" w:rsidRPr="004472F3">
              <w:rPr>
                <w:rFonts w:ascii="Times New Roman" w:hAnsi="Times New Roman" w:cs="Times New Roman"/>
                <w:i/>
                <w:color w:val="000000"/>
              </w:rPr>
              <w:t>angustifolia</w:t>
            </w:r>
            <w:proofErr w:type="spellEnd"/>
            <w:r w:rsidR="004472F3" w:rsidRPr="004472F3">
              <w:rPr>
                <w:rFonts w:ascii="Times New Roman" w:hAnsi="Times New Roman" w:cs="Times New Roman"/>
                <w:color w:val="000000"/>
              </w:rPr>
              <w:t>.</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Background data: Random, as no information on the sampling process was available.</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Clipping: Andean Montane Forest from South America.</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Cleaning: We removed from our data: </w:t>
            </w:r>
            <w:proofErr w:type="spellStart"/>
            <w:r w:rsidRPr="004472F3">
              <w:rPr>
                <w:rFonts w:ascii="Times New Roman" w:hAnsi="Times New Roman" w:cs="Times New Roman"/>
                <w:color w:val="000000"/>
              </w:rPr>
              <w:t>i</w:t>
            </w:r>
            <w:proofErr w:type="spellEnd"/>
            <w:r w:rsidRPr="004472F3">
              <w:rPr>
                <w:rFonts w:ascii="Times New Roman" w:hAnsi="Times New Roman" w:cs="Times New Roman"/>
                <w:color w:val="000000"/>
              </w:rPr>
              <w:t>) duplicate occurrence points; and ii) imprecise point occurrences (e.g. coordinates assigned to municipalities).</w:t>
            </w:r>
          </w:p>
          <w:p w:rsidR="004472F3" w:rsidRPr="004472F3" w:rsidRDefault="004472F3" w:rsidP="004472F3">
            <w:pPr>
              <w:numPr>
                <w:ilvl w:val="0"/>
                <w:numId w:val="13"/>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Details on potential errors and biases: 10,000 randomly generated background points for </w:t>
            </w:r>
            <w:proofErr w:type="spellStart"/>
            <w:r w:rsidRPr="004472F3">
              <w:rPr>
                <w:rFonts w:ascii="Times New Roman" w:hAnsi="Times New Roman" w:cs="Times New Roman"/>
                <w:color w:val="000000"/>
              </w:rPr>
              <w:t>MaxEnt</w:t>
            </w:r>
            <w:proofErr w:type="spellEnd"/>
            <w:r w:rsidRPr="004472F3">
              <w:rPr>
                <w:rFonts w:ascii="Times New Roman" w:hAnsi="Times New Roman" w:cs="Times New Roman"/>
                <w:color w:val="000000"/>
              </w:rPr>
              <w:t>. </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Data partitioning</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 xml:space="preserve">We conducted 100 replicate analyses for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xml:space="preserve"> based on a 50% bootstrap of</w:t>
            </w:r>
            <w:r w:rsidRPr="004472F3">
              <w:rPr>
                <w:rFonts w:ascii="Times New Roman" w:hAnsi="Times New Roman" w:cs="Times New Roman"/>
              </w:rPr>
              <w:t xml:space="preserve"> occurrence</w:t>
            </w:r>
            <w:r w:rsidRPr="004472F3">
              <w:rPr>
                <w:rFonts w:ascii="Times New Roman" w:hAnsi="Times New Roman" w:cs="Times New Roman"/>
                <w:color w:val="000000"/>
              </w:rPr>
              <w:t xml:space="preserve"> data.</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Predictor variables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4"/>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Predictor variables:</w:t>
            </w:r>
          </w:p>
          <w:p w:rsidR="004472F3" w:rsidRPr="004472F3" w:rsidRDefault="0063204C" w:rsidP="004472F3">
            <w:pPr>
              <w:numPr>
                <w:ilvl w:val="0"/>
                <w:numId w:val="16"/>
              </w:numPr>
              <w:spacing w:after="0" w:line="240" w:lineRule="auto"/>
              <w:rPr>
                <w:rFonts w:ascii="Times New Roman" w:hAnsi="Times New Roman" w:cs="Times New Roman"/>
                <w:color w:val="000000"/>
              </w:rPr>
            </w:pPr>
            <w:r>
              <w:rPr>
                <w:rFonts w:ascii="Times New Roman" w:hAnsi="Times New Roman" w:cs="Times New Roman"/>
                <w:color w:val="000000"/>
              </w:rPr>
              <w:t>Present: elevation data,</w:t>
            </w:r>
            <w:r w:rsidR="004472F3" w:rsidRPr="004472F3">
              <w:rPr>
                <w:rFonts w:ascii="Times New Roman" w:hAnsi="Times New Roman" w:cs="Times New Roman"/>
                <w:color w:val="000000"/>
              </w:rPr>
              <w:t xml:space="preserve"> 19 bioclimatic variables</w:t>
            </w:r>
            <w:r>
              <w:rPr>
                <w:rFonts w:ascii="Times New Roman" w:hAnsi="Times New Roman" w:cs="Times New Roman"/>
                <w:color w:val="000000"/>
              </w:rPr>
              <w:t>, soil data, tree cover loss data and NDVI</w:t>
            </w:r>
            <w:r w:rsidR="004472F3" w:rsidRPr="004472F3">
              <w:rPr>
                <w:rFonts w:ascii="Times New Roman" w:hAnsi="Times New Roman" w:cs="Times New Roman"/>
                <w:color w:val="000000"/>
              </w:rPr>
              <w:t xml:space="preserve">. </w:t>
            </w:r>
          </w:p>
          <w:p w:rsidR="004472F3" w:rsidRPr="004472F3" w:rsidRDefault="004472F3" w:rsidP="004472F3">
            <w:pPr>
              <w:numPr>
                <w:ilvl w:val="0"/>
                <w:numId w:val="16"/>
              </w:numPr>
              <w:spacing w:after="0" w:line="240" w:lineRule="auto"/>
              <w:rPr>
                <w:rFonts w:ascii="Times New Roman" w:hAnsi="Times New Roman" w:cs="Times New Roman"/>
                <w:color w:val="000000"/>
              </w:rPr>
            </w:pPr>
            <w:r w:rsidRPr="004472F3">
              <w:rPr>
                <w:rFonts w:ascii="Times New Roman" w:hAnsi="Times New Roman" w:cs="Times New Roman"/>
                <w:color w:val="000000"/>
              </w:rPr>
              <w:t>Future: 19 bioclimatic variables for the five models for future climate projections (GFDL-ESM4, IPSL-CM6A-LR, MPI-</w:t>
            </w:r>
            <w:r w:rsidRPr="004472F3">
              <w:rPr>
                <w:rFonts w:ascii="Times New Roman" w:hAnsi="Times New Roman" w:cs="Times New Roman"/>
                <w:color w:val="000000"/>
              </w:rPr>
              <w:lastRenderedPageBreak/>
              <w:t>ESM1-2-HR, MRI-ESM2-0, and UKESM1-0-LL), selected two future climate scenarios (Shared Socioeconomic Pathways; SSP 3-7.0 and 5-8.5).</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Data sources: We downloaded elevation data and bioclimatic variables from CHELSA database (&lt;http://chelsa-climate.org/&gt;; </w:t>
            </w:r>
            <w:proofErr w:type="spellStart"/>
            <w:r w:rsidRPr="004472F3">
              <w:rPr>
                <w:rFonts w:ascii="Times New Roman" w:hAnsi="Times New Roman" w:cs="Times New Roman"/>
                <w:color w:val="000000"/>
              </w:rPr>
              <w:t>Karger</w:t>
            </w:r>
            <w:proofErr w:type="spellEnd"/>
            <w:r w:rsidRPr="004472F3">
              <w:rPr>
                <w:rFonts w:ascii="Times New Roman" w:hAnsi="Times New Roman" w:cs="Times New Roman"/>
                <w:color w:val="000000"/>
              </w:rPr>
              <w:t xml:space="preserve"> et al. 2022)</w:t>
            </w:r>
            <w:r w:rsidR="0063204C">
              <w:rPr>
                <w:rFonts w:ascii="Times New Roman" w:hAnsi="Times New Roman" w:cs="Times New Roman"/>
                <w:color w:val="000000"/>
              </w:rPr>
              <w:t>, soil grids, global forest watch and earth explorer</w:t>
            </w:r>
            <w:r w:rsidRPr="004472F3">
              <w:rPr>
                <w:rFonts w:ascii="Times New Roman" w:hAnsi="Times New Roman" w:cs="Times New Roman"/>
                <w:color w:val="000000"/>
              </w:rPr>
              <w:t>.</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Spatial extent: bioclimatic and elevation(Worldwide).</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Spatial resolution: environmental variables (30 arc-second or ~1 km spatial resolution).</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Temporal extent: present (1980-2010) and future (2040-2070). </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Map projection: WGS 1984 </w:t>
            </w:r>
          </w:p>
          <w:p w:rsidR="004472F3" w:rsidRPr="004472F3" w:rsidRDefault="004472F3" w:rsidP="004472F3">
            <w:pPr>
              <w:numPr>
                <w:ilvl w:val="0"/>
                <w:numId w:val="17"/>
              </w:numPr>
              <w:spacing w:after="0" w:line="240" w:lineRule="auto"/>
              <w:ind w:left="360"/>
              <w:rPr>
                <w:rFonts w:ascii="Times New Roman" w:hAnsi="Times New Roman" w:cs="Times New Roman"/>
                <w:color w:val="000000"/>
              </w:rPr>
            </w:pPr>
            <w:r w:rsidRPr="004472F3">
              <w:rPr>
                <w:rFonts w:ascii="Times New Roman" w:hAnsi="Times New Roman" w:cs="Times New Roman"/>
                <w:color w:val="000000"/>
              </w:rPr>
              <w:t xml:space="preserve">Dimension reduction: We reduced dimension with the False Discovery Rate calculation (FDR), the </w:t>
            </w:r>
            <w:proofErr w:type="spellStart"/>
            <w:r w:rsidRPr="004472F3">
              <w:rPr>
                <w:rFonts w:ascii="Times New Roman" w:hAnsi="Times New Roman" w:cs="Times New Roman"/>
                <w:color w:val="000000"/>
              </w:rPr>
              <w:t>multicollinearity</w:t>
            </w:r>
            <w:proofErr w:type="spellEnd"/>
            <w:r w:rsidRPr="004472F3">
              <w:rPr>
                <w:rFonts w:ascii="Times New Roman" w:hAnsi="Times New Roman" w:cs="Times New Roman"/>
                <w:color w:val="000000"/>
              </w:rPr>
              <w:t xml:space="preserve"> degree (</w:t>
            </w:r>
            <w:r w:rsidRPr="004472F3">
              <w:rPr>
                <w:rFonts w:ascii="Times New Roman" w:hAnsi="Times New Roman" w:cs="Times New Roman"/>
                <w:i/>
                <w:color w:val="000000"/>
              </w:rPr>
              <w:t xml:space="preserve">r </w:t>
            </w:r>
            <w:r w:rsidRPr="004472F3">
              <w:rPr>
                <w:rFonts w:ascii="Times New Roman" w:hAnsi="Times New Roman" w:cs="Times New Roman"/>
                <w:color w:val="000000"/>
              </w:rPr>
              <w:t xml:space="preserve">&lt;0.7), coefficient of determination of linear regression, tolerance, and the variance inflation factor (VIF), the Bayesian information criterion (BIC), </w:t>
            </w:r>
            <w:proofErr w:type="spellStart"/>
            <w:r w:rsidRPr="004472F3">
              <w:rPr>
                <w:rFonts w:ascii="Times New Roman" w:hAnsi="Times New Roman" w:cs="Times New Roman"/>
                <w:color w:val="000000"/>
              </w:rPr>
              <w:t>Akaike</w:t>
            </w:r>
            <w:proofErr w:type="spellEnd"/>
            <w:r w:rsidRPr="004472F3">
              <w:rPr>
                <w:rFonts w:ascii="Times New Roman" w:hAnsi="Times New Roman" w:cs="Times New Roman"/>
                <w:color w:val="000000"/>
              </w:rPr>
              <w:t xml:space="preserve"> (AIC), Jackknife analysis, and our knowledge of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xml:space="preserve"> responses to specific environmental factors.</w:t>
            </w:r>
          </w:p>
        </w:tc>
      </w:tr>
      <w:tr w:rsidR="004472F3" w:rsidRPr="004472F3" w:rsidTr="009F272D">
        <w:trPr>
          <w:trHeight w:val="576"/>
        </w:trPr>
        <w:tc>
          <w:tcPr>
            <w:tcW w:w="8828" w:type="dxa"/>
            <w:gridSpan w:val="2"/>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lastRenderedPageBreak/>
              <w:t>MODEL</w:t>
            </w:r>
          </w:p>
        </w:tc>
      </w:tr>
      <w:tr w:rsidR="004472F3" w:rsidRPr="004472F3" w:rsidTr="009F272D">
        <w:trPr>
          <w:trHeight w:val="576"/>
        </w:trPr>
        <w:tc>
          <w:tcPr>
            <w:tcW w:w="2262" w:type="dxa"/>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proofErr w:type="spellStart"/>
            <w:r w:rsidRPr="004472F3">
              <w:rPr>
                <w:rFonts w:ascii="Times New Roman" w:hAnsi="Times New Roman" w:cs="Times New Roman"/>
                <w:color w:val="000000"/>
              </w:rPr>
              <w:t>Multicollinearity</w:t>
            </w:r>
            <w:proofErr w:type="spellEnd"/>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 xml:space="preserve">We performed a Pearson’s correlation test to check for </w:t>
            </w:r>
            <w:proofErr w:type="spellStart"/>
            <w:r w:rsidRPr="004472F3">
              <w:rPr>
                <w:rFonts w:ascii="Times New Roman" w:hAnsi="Times New Roman" w:cs="Times New Roman"/>
                <w:color w:val="000000"/>
              </w:rPr>
              <w:t>multicollinearity</w:t>
            </w:r>
            <w:proofErr w:type="spellEnd"/>
            <w:r w:rsidRPr="004472F3">
              <w:rPr>
                <w:rFonts w:ascii="Times New Roman" w:hAnsi="Times New Roman" w:cs="Times New Roman"/>
                <w:color w:val="000000"/>
              </w:rPr>
              <w:t xml:space="preserve"> among the environmental variables.</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settings </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proofErr w:type="spellStart"/>
            <w:r w:rsidRPr="004472F3">
              <w:rPr>
                <w:rFonts w:ascii="Times New Roman" w:hAnsi="Times New Roman" w:cs="Times New Roman"/>
                <w:color w:val="000000"/>
              </w:rPr>
              <w:t>Maxent</w:t>
            </w:r>
            <w:proofErr w:type="spellEnd"/>
            <w:r w:rsidRPr="004472F3">
              <w:rPr>
                <w:rFonts w:ascii="Times New Roman" w:hAnsi="Times New Roman" w:cs="Times New Roman"/>
                <w:color w:val="000000"/>
              </w:rPr>
              <w:t>: default from KUENM package (</w:t>
            </w:r>
            <w:proofErr w:type="spellStart"/>
            <w:r w:rsidRPr="004472F3">
              <w:rPr>
                <w:rFonts w:ascii="Times New Roman" w:hAnsi="Times New Roman" w:cs="Times New Roman"/>
                <w:color w:val="000000"/>
              </w:rPr>
              <w:t>Cobos</w:t>
            </w:r>
            <w:proofErr w:type="spellEnd"/>
            <w:r w:rsidRPr="004472F3">
              <w:rPr>
                <w:rFonts w:ascii="Times New Roman" w:hAnsi="Times New Roman" w:cs="Times New Roman"/>
                <w:color w:val="000000"/>
              </w:rPr>
              <w:t xml:space="preserve"> et al. 2019) that uses presence-only data and 10,000 randomly generated background points.</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estimates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 xml:space="preserve">We used the determination coefficient of linear regression, tolerance, and the variance inflation factor (VIF), the Bayesian information criterion (BIC), </w:t>
            </w:r>
            <w:proofErr w:type="spellStart"/>
            <w:r w:rsidRPr="004472F3">
              <w:rPr>
                <w:rFonts w:ascii="Times New Roman" w:hAnsi="Times New Roman" w:cs="Times New Roman"/>
                <w:color w:val="000000"/>
              </w:rPr>
              <w:t>Akaike</w:t>
            </w:r>
            <w:proofErr w:type="spellEnd"/>
            <w:r w:rsidRPr="004472F3">
              <w:rPr>
                <w:rFonts w:ascii="Times New Roman" w:hAnsi="Times New Roman" w:cs="Times New Roman"/>
                <w:color w:val="000000"/>
              </w:rPr>
              <w:t xml:space="preserve"> (AIC), and Jackknife analysis.</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Model selection</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We used the average performance evaluation indicators (AUC), Partial ROC (Receiver Operating Characteristic), omission rate, and the optimal complexity parameter (AIC-</w:t>
            </w:r>
            <w:proofErr w:type="spellStart"/>
            <w:r w:rsidRPr="004472F3">
              <w:rPr>
                <w:rFonts w:ascii="Times New Roman" w:hAnsi="Times New Roman" w:cs="Times New Roman"/>
                <w:color w:val="000000"/>
              </w:rPr>
              <w:t>Akaike</w:t>
            </w:r>
            <w:proofErr w:type="spellEnd"/>
            <w:r w:rsidRPr="004472F3">
              <w:rPr>
                <w:rFonts w:ascii="Times New Roman" w:hAnsi="Times New Roman" w:cs="Times New Roman"/>
                <w:color w:val="000000"/>
              </w:rPr>
              <w:t xml:space="preserve"> Information Criterion).</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Non-independence correction/analysis</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None.</w:t>
            </w:r>
          </w:p>
        </w:tc>
      </w:tr>
      <w:tr w:rsidR="004472F3" w:rsidRPr="004472F3" w:rsidTr="009F272D">
        <w:trPr>
          <w:trHeight w:val="576"/>
        </w:trPr>
        <w:tc>
          <w:tcPr>
            <w:tcW w:w="2262" w:type="dxa"/>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Threshold selection</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We used a logistic threshold of training presence clipping, which corresponds to the 10% of data with the lowest probability value, commonly used in conservation studies (</w:t>
            </w:r>
            <w:proofErr w:type="spellStart"/>
            <w:r w:rsidRPr="004472F3">
              <w:rPr>
                <w:rFonts w:ascii="Times New Roman" w:hAnsi="Times New Roman" w:cs="Times New Roman"/>
                <w:color w:val="000000"/>
              </w:rPr>
              <w:t>Radosavljevic</w:t>
            </w:r>
            <w:proofErr w:type="spellEnd"/>
            <w:r w:rsidRPr="004472F3">
              <w:rPr>
                <w:rFonts w:ascii="Times New Roman" w:hAnsi="Times New Roman" w:cs="Times New Roman"/>
                <w:color w:val="000000"/>
              </w:rPr>
              <w:t xml:space="preserve"> and Anderson, 2014), and we created a probability map from each modeling output.</w:t>
            </w:r>
          </w:p>
        </w:tc>
      </w:tr>
      <w:tr w:rsidR="004472F3" w:rsidRPr="004472F3" w:rsidTr="009F272D">
        <w:trPr>
          <w:trHeight w:val="576"/>
        </w:trPr>
        <w:tc>
          <w:tcPr>
            <w:tcW w:w="8828" w:type="dxa"/>
            <w:gridSpan w:val="2"/>
            <w:tcBorders>
              <w:top w:val="single" w:sz="12" w:space="0" w:color="000000"/>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ASSESSMENT</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Performance statistics </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4472F3">
            <w:pPr>
              <w:numPr>
                <w:ilvl w:val="0"/>
                <w:numId w:val="15"/>
              </w:numPr>
              <w:spacing w:after="0" w:line="240" w:lineRule="auto"/>
              <w:ind w:left="389"/>
              <w:rPr>
                <w:rFonts w:ascii="Times New Roman" w:hAnsi="Times New Roman" w:cs="Times New Roman"/>
                <w:color w:val="000000"/>
              </w:rPr>
            </w:pPr>
            <w:r w:rsidRPr="004472F3">
              <w:rPr>
                <w:rFonts w:ascii="Times New Roman" w:hAnsi="Times New Roman" w:cs="Times New Roman"/>
                <w:color w:val="000000"/>
              </w:rPr>
              <w:t>Model evaluation (AUC with 95%-CI, partial ROC, omission rate, and optimal complexity parameter-ΔAIC).</w:t>
            </w:r>
          </w:p>
          <w:p w:rsidR="004472F3" w:rsidRPr="004472F3" w:rsidRDefault="004472F3" w:rsidP="004472F3">
            <w:pPr>
              <w:numPr>
                <w:ilvl w:val="0"/>
                <w:numId w:val="15"/>
              </w:numPr>
              <w:spacing w:after="0" w:line="240" w:lineRule="auto"/>
              <w:ind w:left="389"/>
              <w:rPr>
                <w:rFonts w:ascii="Times New Roman" w:hAnsi="Times New Roman" w:cs="Times New Roman"/>
                <w:color w:val="000000"/>
              </w:rPr>
            </w:pPr>
            <w:r w:rsidRPr="004472F3">
              <w:rPr>
                <w:rFonts w:ascii="Times New Roman" w:hAnsi="Times New Roman" w:cs="Times New Roman"/>
                <w:color w:val="000000"/>
              </w:rPr>
              <w:t>Model validation by bootstrapping with 10000 iterations (AUC, calibration plot). We checked for spatial autocorrelation (</w:t>
            </w:r>
            <w:proofErr w:type="spellStart"/>
            <w:r w:rsidRPr="004472F3">
              <w:rPr>
                <w:rFonts w:ascii="Times New Roman" w:hAnsi="Times New Roman" w:cs="Times New Roman"/>
                <w:color w:val="000000"/>
              </w:rPr>
              <w:t>correlograms</w:t>
            </w:r>
            <w:proofErr w:type="spellEnd"/>
            <w:r w:rsidRPr="004472F3">
              <w:rPr>
                <w:rFonts w:ascii="Times New Roman" w:hAnsi="Times New Roman" w:cs="Times New Roman"/>
                <w:color w:val="000000"/>
              </w:rPr>
              <w:t>).</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Plausibility check</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We checked model plausibility by assessing partial dependence plots.</w:t>
            </w:r>
          </w:p>
        </w:tc>
      </w:tr>
      <w:tr w:rsidR="004472F3" w:rsidRPr="004472F3" w:rsidTr="009F272D">
        <w:trPr>
          <w:trHeight w:val="312"/>
        </w:trPr>
        <w:tc>
          <w:tcPr>
            <w:tcW w:w="8828" w:type="dxa"/>
            <w:gridSpan w:val="2"/>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b/>
                <w:color w:val="000000"/>
              </w:rPr>
              <w:t>PREDICTION</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lastRenderedPageBreak/>
              <w:t>Prediction output</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 xml:space="preserve">We predicted the present and future potential </w:t>
            </w:r>
            <w:proofErr w:type="spellStart"/>
            <w:r w:rsidRPr="004472F3">
              <w:rPr>
                <w:rFonts w:ascii="Times New Roman" w:hAnsi="Times New Roman" w:cs="Times New Roman"/>
                <w:i/>
                <w:color w:val="000000"/>
              </w:rPr>
              <w:t>Cedrela</w:t>
            </w:r>
            <w:proofErr w:type="spellEnd"/>
            <w:r w:rsidRPr="004472F3">
              <w:rPr>
                <w:rFonts w:ascii="Times New Roman" w:hAnsi="Times New Roman" w:cs="Times New Roman"/>
                <w:i/>
                <w:color w:val="000000"/>
              </w:rPr>
              <w:t xml:space="preserve"> </w:t>
            </w:r>
            <w:proofErr w:type="spellStart"/>
            <w:r w:rsidRPr="004472F3">
              <w:rPr>
                <w:rFonts w:ascii="Times New Roman" w:hAnsi="Times New Roman" w:cs="Times New Roman"/>
                <w:i/>
                <w:color w:val="000000"/>
              </w:rPr>
              <w:t>angustifolia</w:t>
            </w:r>
            <w:proofErr w:type="spellEnd"/>
            <w:r w:rsidRPr="004472F3">
              <w:rPr>
                <w:rFonts w:ascii="Times New Roman" w:hAnsi="Times New Roman" w:cs="Times New Roman"/>
                <w:color w:val="000000"/>
              </w:rPr>
              <w:t xml:space="preserve"> presence. </w:t>
            </w:r>
          </w:p>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We included 10,000 bias files and environmental variables to assess potential habitat suitability analysis. We performed a Gaussian Kernel with QGIS software to avoid the sampling bias effect and identify the highest potential suitability areas, to visualize the areas that are congruent between the predicted models and suitability areas.</w:t>
            </w:r>
          </w:p>
        </w:tc>
      </w:tr>
      <w:tr w:rsidR="004472F3" w:rsidRPr="004472F3" w:rsidTr="009F272D">
        <w:trPr>
          <w:trHeight w:val="312"/>
        </w:trPr>
        <w:tc>
          <w:tcPr>
            <w:tcW w:w="2262"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vAlign w:val="cente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Uncertainty quantification</w:t>
            </w:r>
          </w:p>
        </w:tc>
        <w:tc>
          <w:tcPr>
            <w:tcW w:w="6566" w:type="dxa"/>
            <w:tcBorders>
              <w:top w:val="single" w:sz="12" w:space="0" w:color="000000"/>
              <w:left w:val="single" w:sz="8" w:space="0" w:color="D9D9D9"/>
              <w:bottom w:val="single" w:sz="12" w:space="0" w:color="000000"/>
              <w:right w:val="single" w:sz="8" w:space="0" w:color="D9D9D9"/>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r w:rsidRPr="004472F3">
              <w:rPr>
                <w:rFonts w:ascii="Times New Roman" w:hAnsi="Times New Roman" w:cs="Times New Roman"/>
                <w:color w:val="000000"/>
              </w:rPr>
              <w:t>N/A</w:t>
            </w:r>
          </w:p>
        </w:tc>
      </w:tr>
      <w:tr w:rsidR="004472F3" w:rsidRPr="004472F3" w:rsidTr="009F272D">
        <w:trPr>
          <w:trHeight w:val="300"/>
        </w:trPr>
        <w:tc>
          <w:tcPr>
            <w:tcW w:w="2262" w:type="dxa"/>
            <w:tcBorders>
              <w:top w:val="single" w:sz="12" w:space="0" w:color="000000"/>
            </w:tcBorders>
            <w:tcMar>
              <w:top w:w="15" w:type="dxa"/>
              <w:left w:w="115" w:type="dxa"/>
              <w:bottom w:w="15" w:type="dxa"/>
              <w:right w:w="115" w:type="dxa"/>
            </w:tcMar>
            <w:vAlign w:val="bottom"/>
          </w:tcPr>
          <w:p w:rsidR="004472F3" w:rsidRPr="004472F3" w:rsidRDefault="004472F3" w:rsidP="009F272D">
            <w:pPr>
              <w:spacing w:after="0" w:line="240" w:lineRule="auto"/>
              <w:rPr>
                <w:rFonts w:ascii="Times New Roman" w:hAnsi="Times New Roman" w:cs="Times New Roman"/>
              </w:rPr>
            </w:pPr>
          </w:p>
        </w:tc>
        <w:tc>
          <w:tcPr>
            <w:tcW w:w="6566" w:type="dxa"/>
            <w:tcBorders>
              <w:top w:val="single" w:sz="12" w:space="0" w:color="000000"/>
            </w:tcBorders>
            <w:tcMar>
              <w:top w:w="15" w:type="dxa"/>
              <w:left w:w="115" w:type="dxa"/>
              <w:bottom w:w="15" w:type="dxa"/>
              <w:right w:w="115" w:type="dxa"/>
            </w:tcMar>
          </w:tcPr>
          <w:p w:rsidR="004472F3" w:rsidRPr="004472F3" w:rsidRDefault="004472F3" w:rsidP="009F272D">
            <w:pPr>
              <w:spacing w:after="0" w:line="240" w:lineRule="auto"/>
              <w:rPr>
                <w:rFonts w:ascii="Times New Roman" w:hAnsi="Times New Roman" w:cs="Times New Roman"/>
              </w:rPr>
            </w:pPr>
          </w:p>
        </w:tc>
      </w:tr>
    </w:tbl>
    <w:p w:rsidR="0049700A" w:rsidRPr="0049700A" w:rsidRDefault="0049700A" w:rsidP="007C2871"/>
    <w:sectPr w:rsidR="0049700A" w:rsidRPr="004970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1EF"/>
    <w:multiLevelType w:val="multilevel"/>
    <w:tmpl w:val="A8F89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C042F8"/>
    <w:multiLevelType w:val="multilevel"/>
    <w:tmpl w:val="A70AC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0E289F"/>
    <w:multiLevelType w:val="multilevel"/>
    <w:tmpl w:val="4C4E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970F1"/>
    <w:multiLevelType w:val="multilevel"/>
    <w:tmpl w:val="174E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04227"/>
    <w:multiLevelType w:val="multilevel"/>
    <w:tmpl w:val="410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669A3"/>
    <w:multiLevelType w:val="multilevel"/>
    <w:tmpl w:val="A3B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B12BB"/>
    <w:multiLevelType w:val="multilevel"/>
    <w:tmpl w:val="6D06F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A46122"/>
    <w:multiLevelType w:val="multilevel"/>
    <w:tmpl w:val="24623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B10F37"/>
    <w:multiLevelType w:val="multilevel"/>
    <w:tmpl w:val="DCB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30A30"/>
    <w:multiLevelType w:val="multilevel"/>
    <w:tmpl w:val="E75077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B22C43"/>
    <w:multiLevelType w:val="multilevel"/>
    <w:tmpl w:val="5F3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2796A"/>
    <w:multiLevelType w:val="multilevel"/>
    <w:tmpl w:val="4E209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ED87F0A"/>
    <w:multiLevelType w:val="multilevel"/>
    <w:tmpl w:val="D304E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56E259F"/>
    <w:multiLevelType w:val="multilevel"/>
    <w:tmpl w:val="0D92E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88D70CC"/>
    <w:multiLevelType w:val="multilevel"/>
    <w:tmpl w:val="19D2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F4B04"/>
    <w:multiLevelType w:val="multilevel"/>
    <w:tmpl w:val="40705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D81613"/>
    <w:multiLevelType w:val="multilevel"/>
    <w:tmpl w:val="FC74A7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F364B26"/>
    <w:multiLevelType w:val="multilevel"/>
    <w:tmpl w:val="740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B6B38"/>
    <w:multiLevelType w:val="multilevel"/>
    <w:tmpl w:val="030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B6DDA"/>
    <w:multiLevelType w:val="multilevel"/>
    <w:tmpl w:val="15AE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5"/>
  </w:num>
  <w:num w:numId="4">
    <w:abstractNumId w:val="18"/>
  </w:num>
  <w:num w:numId="5">
    <w:abstractNumId w:val="19"/>
  </w:num>
  <w:num w:numId="6">
    <w:abstractNumId w:val="10"/>
  </w:num>
  <w:num w:numId="7">
    <w:abstractNumId w:val="2"/>
  </w:num>
  <w:num w:numId="8">
    <w:abstractNumId w:val="14"/>
  </w:num>
  <w:num w:numId="9">
    <w:abstractNumId w:val="8"/>
  </w:num>
  <w:num w:numId="10">
    <w:abstractNumId w:val="3"/>
  </w:num>
  <w:num w:numId="11">
    <w:abstractNumId w:val="15"/>
  </w:num>
  <w:num w:numId="12">
    <w:abstractNumId w:val="0"/>
  </w:num>
  <w:num w:numId="13">
    <w:abstractNumId w:val="16"/>
  </w:num>
  <w:num w:numId="14">
    <w:abstractNumId w:val="6"/>
  </w:num>
  <w:num w:numId="15">
    <w:abstractNumId w:val="12"/>
  </w:num>
  <w:num w:numId="16">
    <w:abstractNumId w:val="11"/>
  </w:num>
  <w:num w:numId="17">
    <w:abstractNumId w:val="1"/>
  </w:num>
  <w:num w:numId="18">
    <w:abstractNumId w:val="13"/>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97"/>
    <w:rsid w:val="000E141D"/>
    <w:rsid w:val="000E2D97"/>
    <w:rsid w:val="0014060C"/>
    <w:rsid w:val="00142334"/>
    <w:rsid w:val="001B069C"/>
    <w:rsid w:val="00386715"/>
    <w:rsid w:val="004472F3"/>
    <w:rsid w:val="00490680"/>
    <w:rsid w:val="00491612"/>
    <w:rsid w:val="0049700A"/>
    <w:rsid w:val="004F7F9F"/>
    <w:rsid w:val="00507AEC"/>
    <w:rsid w:val="0063204C"/>
    <w:rsid w:val="00642337"/>
    <w:rsid w:val="00692348"/>
    <w:rsid w:val="00761EA1"/>
    <w:rsid w:val="007A48FE"/>
    <w:rsid w:val="007C2871"/>
    <w:rsid w:val="008D24FD"/>
    <w:rsid w:val="008F518E"/>
    <w:rsid w:val="00955130"/>
    <w:rsid w:val="00B21CD2"/>
    <w:rsid w:val="00B60199"/>
    <w:rsid w:val="00B83F8C"/>
    <w:rsid w:val="00C34B5D"/>
    <w:rsid w:val="00C466D1"/>
    <w:rsid w:val="00CF344D"/>
    <w:rsid w:val="00DA51A4"/>
    <w:rsid w:val="00E9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79A3"/>
  <w15:chartTrackingRefBased/>
  <w15:docId w15:val="{C48DABD2-0783-47F3-A14A-00BF2938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2D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E2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2736">
      <w:bodyDiv w:val="1"/>
      <w:marLeft w:val="0"/>
      <w:marRight w:val="0"/>
      <w:marTop w:val="0"/>
      <w:marBottom w:val="0"/>
      <w:divBdr>
        <w:top w:val="none" w:sz="0" w:space="0" w:color="auto"/>
        <w:left w:val="none" w:sz="0" w:space="0" w:color="auto"/>
        <w:bottom w:val="none" w:sz="0" w:space="0" w:color="auto"/>
        <w:right w:val="none" w:sz="0" w:space="0" w:color="auto"/>
      </w:divBdr>
      <w:divsChild>
        <w:div w:id="196818468">
          <w:marLeft w:val="-108"/>
          <w:marRight w:val="0"/>
          <w:marTop w:val="0"/>
          <w:marBottom w:val="0"/>
          <w:divBdr>
            <w:top w:val="none" w:sz="0" w:space="0" w:color="auto"/>
            <w:left w:val="none" w:sz="0" w:space="0" w:color="auto"/>
            <w:bottom w:val="none" w:sz="0" w:space="0" w:color="auto"/>
            <w:right w:val="none" w:sz="0" w:space="0" w:color="auto"/>
          </w:divBdr>
        </w:div>
      </w:divsChild>
    </w:div>
    <w:div w:id="567690961">
      <w:bodyDiv w:val="1"/>
      <w:marLeft w:val="0"/>
      <w:marRight w:val="0"/>
      <w:marTop w:val="0"/>
      <w:marBottom w:val="0"/>
      <w:divBdr>
        <w:top w:val="none" w:sz="0" w:space="0" w:color="auto"/>
        <w:left w:val="none" w:sz="0" w:space="0" w:color="auto"/>
        <w:bottom w:val="none" w:sz="0" w:space="0" w:color="auto"/>
        <w:right w:val="none" w:sz="0" w:space="0" w:color="auto"/>
      </w:divBdr>
    </w:div>
    <w:div w:id="752513286">
      <w:bodyDiv w:val="1"/>
      <w:marLeft w:val="0"/>
      <w:marRight w:val="0"/>
      <w:marTop w:val="0"/>
      <w:marBottom w:val="0"/>
      <w:divBdr>
        <w:top w:val="none" w:sz="0" w:space="0" w:color="auto"/>
        <w:left w:val="none" w:sz="0" w:space="0" w:color="auto"/>
        <w:bottom w:val="none" w:sz="0" w:space="0" w:color="auto"/>
        <w:right w:val="none" w:sz="0" w:space="0" w:color="auto"/>
      </w:divBdr>
      <w:divsChild>
        <w:div w:id="366755605">
          <w:marLeft w:val="-115"/>
          <w:marRight w:val="0"/>
          <w:marTop w:val="0"/>
          <w:marBottom w:val="0"/>
          <w:divBdr>
            <w:top w:val="none" w:sz="0" w:space="0" w:color="auto"/>
            <w:left w:val="none" w:sz="0" w:space="0" w:color="auto"/>
            <w:bottom w:val="none" w:sz="0" w:space="0" w:color="auto"/>
            <w:right w:val="none" w:sz="0" w:space="0" w:color="auto"/>
          </w:divBdr>
        </w:div>
      </w:divsChild>
    </w:div>
    <w:div w:id="15369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ssiam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1129</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2023-04-18T16:23:00Z</dcterms:created>
  <dcterms:modified xsi:type="dcterms:W3CDTF">2024-10-31T18:08:00Z</dcterms:modified>
</cp:coreProperties>
</file>