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151B" w14:textId="40D3853A" w:rsidR="00F43A6F" w:rsidRPr="0076347D" w:rsidRDefault="007F1776" w:rsidP="00D97917">
      <w:pPr>
        <w:widowControl/>
        <w:spacing w:line="360" w:lineRule="auto"/>
        <w:jc w:val="center"/>
        <w:rPr>
          <w:rFonts w:ascii="Times New Roman" w:eastAsia="SimSun" w:hAnsi="Times New Roman" w:cs="Times New Roman"/>
          <w:b/>
          <w:bCs/>
          <w:color w:val="000000" w:themeColor="text1"/>
          <w:kern w:val="0"/>
          <w:sz w:val="24"/>
          <w:szCs w:val="24"/>
        </w:rPr>
      </w:pPr>
      <w:proofErr w:type="spellStart"/>
      <w:r w:rsidRPr="0076347D">
        <w:rPr>
          <w:rFonts w:ascii="Times New Roman" w:eastAsia="SimSun" w:hAnsi="Times New Roman" w:cs="Times New Roman"/>
          <w:b/>
          <w:bCs/>
          <w:color w:val="000000" w:themeColor="text1"/>
          <w:kern w:val="0"/>
          <w:sz w:val="24"/>
          <w:szCs w:val="24"/>
        </w:rPr>
        <w:t>Miame</w:t>
      </w:r>
      <w:proofErr w:type="spellEnd"/>
      <w:r w:rsidRPr="0076347D">
        <w:rPr>
          <w:rFonts w:ascii="Times New Roman" w:eastAsia="SimSun" w:hAnsi="Times New Roman" w:cs="Times New Roman"/>
          <w:b/>
          <w:bCs/>
          <w:color w:val="000000" w:themeColor="text1"/>
          <w:kern w:val="0"/>
          <w:sz w:val="24"/>
          <w:szCs w:val="24"/>
        </w:rPr>
        <w:t xml:space="preserve"> Checklist</w:t>
      </w:r>
    </w:p>
    <w:p w14:paraId="7083AACF" w14:textId="77777777" w:rsidR="007F1776" w:rsidRPr="0076347D" w:rsidRDefault="007F1776" w:rsidP="0076347D">
      <w:pPr>
        <w:widowControl/>
        <w:spacing w:line="360" w:lineRule="auto"/>
        <w:jc w:val="left"/>
        <w:rPr>
          <w:rFonts w:ascii="Times New Roman" w:eastAsia="SimSun" w:hAnsi="Times New Roman" w:cs="Times New Roman"/>
          <w:b/>
          <w:bCs/>
          <w:color w:val="000000" w:themeColor="text1"/>
          <w:kern w:val="0"/>
          <w:sz w:val="24"/>
          <w:szCs w:val="24"/>
        </w:rPr>
      </w:pPr>
      <w:r w:rsidRPr="0076347D">
        <w:rPr>
          <w:rFonts w:ascii="Times New Roman" w:eastAsia="SimSun" w:hAnsi="Times New Roman" w:cs="Times New Roman"/>
          <w:b/>
          <w:bCs/>
          <w:color w:val="000000" w:themeColor="text1"/>
          <w:kern w:val="0"/>
          <w:sz w:val="24"/>
          <w:szCs w:val="24"/>
        </w:rPr>
        <w:t>Part 1 Experiment description</w:t>
      </w:r>
    </w:p>
    <w:p w14:paraId="063CBB58" w14:textId="7BB87223" w:rsidR="007F1776" w:rsidRPr="0076347D" w:rsidRDefault="007F1776" w:rsidP="0076347D">
      <w:pPr>
        <w:widowControl/>
        <w:spacing w:line="360" w:lineRule="auto"/>
        <w:jc w:val="left"/>
        <w:rPr>
          <w:rFonts w:ascii="Times New Roman" w:eastAsia="SimSun" w:hAnsi="Times New Roman" w:cs="Times New Roman"/>
          <w:color w:val="000000" w:themeColor="text1"/>
          <w:kern w:val="0"/>
          <w:sz w:val="24"/>
          <w:szCs w:val="24"/>
        </w:rPr>
      </w:pPr>
      <w:r w:rsidRPr="0076347D">
        <w:rPr>
          <w:rFonts w:ascii="Times New Roman" w:eastAsia="SimSun" w:hAnsi="Times New Roman" w:cs="Times New Roman"/>
          <w:color w:val="000000" w:themeColor="text1"/>
          <w:kern w:val="0"/>
          <w:sz w:val="24"/>
          <w:szCs w:val="24"/>
        </w:rPr>
        <w:t>-</w:t>
      </w:r>
      <w:r w:rsidR="00A54BCE" w:rsidRPr="0076347D">
        <w:rPr>
          <w:rFonts w:ascii="Times New Roman" w:eastAsia="SimSun" w:hAnsi="Times New Roman" w:cs="Times New Roman"/>
          <w:color w:val="000000" w:themeColor="text1"/>
          <w:kern w:val="0"/>
          <w:sz w:val="24"/>
          <w:szCs w:val="24"/>
        </w:rPr>
        <w:tab/>
      </w:r>
      <w:r w:rsidR="00D6450E" w:rsidRPr="0076347D">
        <w:rPr>
          <w:rFonts w:ascii="Times New Roman" w:eastAsia="SimSun" w:hAnsi="Times New Roman" w:cs="Times New Roman"/>
          <w:color w:val="000000" w:themeColor="text1"/>
          <w:kern w:val="0"/>
          <w:sz w:val="24"/>
          <w:szCs w:val="24"/>
        </w:rPr>
        <w:t>H</w:t>
      </w:r>
      <w:r w:rsidRPr="0076347D">
        <w:rPr>
          <w:rFonts w:ascii="Times New Roman" w:eastAsia="SimSun" w:hAnsi="Times New Roman" w:cs="Times New Roman"/>
          <w:color w:val="000000" w:themeColor="text1"/>
          <w:kern w:val="0"/>
          <w:sz w:val="24"/>
          <w:szCs w:val="24"/>
        </w:rPr>
        <w:t xml:space="preserve">uman </w:t>
      </w:r>
      <w:r w:rsidR="001455E8" w:rsidRPr="0076347D">
        <w:rPr>
          <w:rFonts w:ascii="Times New Roman" w:eastAsia="SimSun" w:hAnsi="Times New Roman" w:cs="Times New Roman"/>
          <w:color w:val="000000" w:themeColor="text1"/>
          <w:kern w:val="0"/>
          <w:sz w:val="24"/>
          <w:szCs w:val="24"/>
        </w:rPr>
        <w:t>peripheral blood mononuclear cells (PBMCs)</w:t>
      </w:r>
    </w:p>
    <w:p w14:paraId="62EBC10F" w14:textId="2BE5EE17" w:rsidR="007F1776" w:rsidRPr="0076347D" w:rsidRDefault="007F1776" w:rsidP="0076347D">
      <w:pPr>
        <w:widowControl/>
        <w:spacing w:line="360" w:lineRule="auto"/>
        <w:jc w:val="left"/>
        <w:rPr>
          <w:rFonts w:ascii="Times New Roman" w:eastAsia="SimSun" w:hAnsi="Times New Roman" w:cs="Times New Roman"/>
          <w:color w:val="000000" w:themeColor="text1"/>
          <w:kern w:val="0"/>
          <w:sz w:val="24"/>
          <w:szCs w:val="24"/>
        </w:rPr>
      </w:pPr>
      <w:r w:rsidRPr="0076347D">
        <w:rPr>
          <w:rFonts w:ascii="Times New Roman" w:eastAsia="SimSun" w:hAnsi="Times New Roman" w:cs="Times New Roman"/>
          <w:color w:val="000000" w:themeColor="text1"/>
          <w:kern w:val="0"/>
          <w:sz w:val="24"/>
          <w:szCs w:val="24"/>
        </w:rPr>
        <w:t>-</w:t>
      </w:r>
      <w:r w:rsidR="00A54BCE" w:rsidRPr="0076347D">
        <w:rPr>
          <w:rFonts w:ascii="Times New Roman" w:eastAsia="SimSun" w:hAnsi="Times New Roman" w:cs="Times New Roman"/>
          <w:color w:val="000000" w:themeColor="text1"/>
          <w:kern w:val="0"/>
          <w:sz w:val="24"/>
          <w:szCs w:val="24"/>
        </w:rPr>
        <w:tab/>
      </w:r>
      <w:r w:rsidR="00C8623A" w:rsidRPr="0076347D">
        <w:rPr>
          <w:rFonts w:ascii="Times New Roman" w:eastAsia="SimSun" w:hAnsi="Times New Roman" w:cs="Times New Roman"/>
          <w:color w:val="000000" w:themeColor="text1"/>
          <w:kern w:val="0"/>
          <w:sz w:val="24"/>
          <w:szCs w:val="24"/>
        </w:rPr>
        <w:t>E</w:t>
      </w:r>
      <w:r w:rsidRPr="0076347D">
        <w:rPr>
          <w:rFonts w:ascii="Times New Roman" w:eastAsia="SimSun" w:hAnsi="Times New Roman" w:cs="Times New Roman"/>
          <w:color w:val="000000" w:themeColor="text1"/>
          <w:kern w:val="0"/>
          <w:sz w:val="24"/>
          <w:szCs w:val="24"/>
        </w:rPr>
        <w:t>xperimental variables (</w:t>
      </w:r>
      <w:r w:rsidR="001455E8" w:rsidRPr="0076347D">
        <w:rPr>
          <w:rFonts w:ascii="Times New Roman" w:eastAsia="SimSun" w:hAnsi="Times New Roman" w:cs="Times New Roman"/>
          <w:color w:val="000000" w:themeColor="text1"/>
          <w:kern w:val="0"/>
          <w:sz w:val="24"/>
          <w:szCs w:val="24"/>
        </w:rPr>
        <w:t xml:space="preserve">Before and after third dose of </w:t>
      </w:r>
      <w:r w:rsidR="001455E8" w:rsidRPr="0076347D">
        <w:rPr>
          <w:rFonts w:ascii="Times New Roman" w:hAnsi="Times New Roman" w:cs="Times New Roman"/>
          <w:color w:val="000000" w:themeColor="text1"/>
          <w:spacing w:val="-2"/>
          <w:sz w:val="24"/>
          <w:szCs w:val="24"/>
        </w:rPr>
        <w:t>inactivated COVID-19 vaccine</w:t>
      </w:r>
      <w:r w:rsidRPr="0076347D">
        <w:rPr>
          <w:rFonts w:ascii="Times New Roman" w:eastAsia="SimSun" w:hAnsi="Times New Roman" w:cs="Times New Roman"/>
          <w:color w:val="000000" w:themeColor="text1"/>
          <w:kern w:val="0"/>
          <w:sz w:val="24"/>
          <w:szCs w:val="24"/>
        </w:rPr>
        <w:t>)</w:t>
      </w:r>
    </w:p>
    <w:p w14:paraId="095A4F18" w14:textId="56596D37" w:rsidR="007F1776" w:rsidRPr="0076347D" w:rsidRDefault="007F1776" w:rsidP="0076347D">
      <w:pPr>
        <w:widowControl/>
        <w:spacing w:line="360" w:lineRule="auto"/>
        <w:jc w:val="left"/>
        <w:rPr>
          <w:rFonts w:ascii="Times New Roman" w:eastAsia="SimSun" w:hAnsi="Times New Roman" w:cs="Times New Roman"/>
          <w:color w:val="000000" w:themeColor="text1"/>
          <w:kern w:val="0"/>
          <w:sz w:val="24"/>
          <w:szCs w:val="24"/>
        </w:rPr>
      </w:pPr>
      <w:r w:rsidRPr="0076347D">
        <w:rPr>
          <w:rFonts w:ascii="Times New Roman" w:eastAsia="SimSun" w:hAnsi="Times New Roman" w:cs="Times New Roman"/>
          <w:color w:val="000000" w:themeColor="text1"/>
          <w:kern w:val="0"/>
          <w:sz w:val="24"/>
          <w:szCs w:val="24"/>
        </w:rPr>
        <w:t>-</w:t>
      </w:r>
      <w:r w:rsidR="00A54BCE" w:rsidRPr="0076347D">
        <w:rPr>
          <w:rFonts w:ascii="Times New Roman" w:eastAsia="SimSun" w:hAnsi="Times New Roman" w:cs="Times New Roman"/>
          <w:color w:val="000000" w:themeColor="text1"/>
          <w:kern w:val="0"/>
          <w:sz w:val="24"/>
          <w:szCs w:val="24"/>
        </w:rPr>
        <w:tab/>
      </w:r>
      <w:r w:rsidRPr="0076347D">
        <w:rPr>
          <w:rFonts w:ascii="Times New Roman" w:eastAsia="SimSun" w:hAnsi="Times New Roman" w:cs="Times New Roman"/>
          <w:color w:val="000000" w:themeColor="text1"/>
          <w:kern w:val="0"/>
          <w:sz w:val="24"/>
          <w:szCs w:val="24"/>
        </w:rPr>
        <w:t xml:space="preserve">n-count for each group is </w:t>
      </w:r>
      <w:r w:rsidR="001455E8" w:rsidRPr="0076347D">
        <w:rPr>
          <w:rFonts w:ascii="Times New Roman" w:eastAsia="SimSun" w:hAnsi="Times New Roman" w:cs="Times New Roman"/>
          <w:color w:val="000000" w:themeColor="text1"/>
          <w:kern w:val="0"/>
          <w:sz w:val="24"/>
          <w:szCs w:val="24"/>
        </w:rPr>
        <w:t>6</w:t>
      </w:r>
    </w:p>
    <w:p w14:paraId="6898FBBF" w14:textId="77777777" w:rsidR="007F1776" w:rsidRPr="0076347D" w:rsidRDefault="007F1776" w:rsidP="0076347D">
      <w:pPr>
        <w:widowControl/>
        <w:spacing w:line="360" w:lineRule="auto"/>
        <w:jc w:val="left"/>
        <w:rPr>
          <w:rFonts w:ascii="Times New Roman" w:eastAsia="SimSun" w:hAnsi="Times New Roman" w:cs="Times New Roman"/>
          <w:color w:val="000000" w:themeColor="text1"/>
          <w:kern w:val="0"/>
          <w:sz w:val="24"/>
          <w:szCs w:val="24"/>
        </w:rPr>
      </w:pPr>
      <w:r w:rsidRPr="0076347D">
        <w:rPr>
          <w:rFonts w:ascii="Times New Roman" w:eastAsia="SimSun" w:hAnsi="Times New Roman" w:cs="Times New Roman"/>
          <w:color w:val="000000" w:themeColor="text1"/>
          <w:kern w:val="0"/>
          <w:sz w:val="24"/>
          <w:szCs w:val="24"/>
        </w:rPr>
        <w:t> </w:t>
      </w:r>
    </w:p>
    <w:p w14:paraId="4FFEB8C9" w14:textId="421EAE77" w:rsidR="007F1776" w:rsidRPr="0076347D" w:rsidRDefault="007F1776" w:rsidP="0076347D">
      <w:pPr>
        <w:widowControl/>
        <w:spacing w:line="360" w:lineRule="auto"/>
        <w:jc w:val="left"/>
        <w:rPr>
          <w:rFonts w:ascii="Times New Roman" w:eastAsia="SimSun" w:hAnsi="Times New Roman" w:cs="Times New Roman"/>
          <w:b/>
          <w:bCs/>
          <w:color w:val="000000" w:themeColor="text1"/>
          <w:kern w:val="0"/>
          <w:sz w:val="24"/>
          <w:szCs w:val="24"/>
        </w:rPr>
      </w:pPr>
      <w:r w:rsidRPr="0076347D">
        <w:rPr>
          <w:rFonts w:ascii="Times New Roman" w:eastAsia="SimSun" w:hAnsi="Times New Roman" w:cs="Times New Roman"/>
          <w:b/>
          <w:bCs/>
          <w:color w:val="000000" w:themeColor="text1"/>
          <w:kern w:val="0"/>
          <w:sz w:val="24"/>
          <w:szCs w:val="24"/>
        </w:rPr>
        <w:t>Part 2 Array design</w:t>
      </w:r>
    </w:p>
    <w:p w14:paraId="7A03CE28" w14:textId="472BF109" w:rsidR="007F1776" w:rsidRPr="0076347D" w:rsidRDefault="007F1776" w:rsidP="0076347D">
      <w:pPr>
        <w:widowControl/>
        <w:spacing w:line="360" w:lineRule="auto"/>
        <w:jc w:val="left"/>
        <w:rPr>
          <w:rFonts w:ascii="Times New Roman" w:eastAsia="SimSun" w:hAnsi="Times New Roman" w:cs="Times New Roman"/>
          <w:color w:val="000000" w:themeColor="text1"/>
          <w:kern w:val="0"/>
          <w:sz w:val="24"/>
          <w:szCs w:val="24"/>
        </w:rPr>
      </w:pPr>
      <w:r w:rsidRPr="0076347D">
        <w:rPr>
          <w:rFonts w:ascii="Times New Roman" w:eastAsia="SimSun" w:hAnsi="Times New Roman" w:cs="Times New Roman"/>
          <w:color w:val="000000" w:themeColor="text1"/>
          <w:kern w:val="0"/>
          <w:sz w:val="24"/>
          <w:szCs w:val="24"/>
        </w:rPr>
        <w:t>-</w:t>
      </w:r>
      <w:r w:rsidR="00A54BCE" w:rsidRPr="0076347D">
        <w:rPr>
          <w:rFonts w:ascii="Times New Roman" w:eastAsia="SimSun" w:hAnsi="Times New Roman" w:cs="Times New Roman"/>
          <w:color w:val="000000" w:themeColor="text1"/>
          <w:kern w:val="0"/>
          <w:sz w:val="24"/>
          <w:szCs w:val="24"/>
        </w:rPr>
        <w:tab/>
      </w:r>
      <w:proofErr w:type="spellStart"/>
      <w:r w:rsidR="008375B0" w:rsidRPr="0076347D">
        <w:rPr>
          <w:rFonts w:ascii="Times New Roman" w:hAnsi="Times New Roman" w:cs="Times New Roman"/>
          <w:color w:val="000000" w:themeColor="text1"/>
          <w:sz w:val="24"/>
          <w:szCs w:val="24"/>
          <w:shd w:val="clear" w:color="auto" w:fill="FFFFFF"/>
        </w:rPr>
        <w:t>SurePrint</w:t>
      </w:r>
      <w:proofErr w:type="spellEnd"/>
      <w:r w:rsidR="008375B0" w:rsidRPr="0076347D">
        <w:rPr>
          <w:rFonts w:ascii="Times New Roman" w:hAnsi="Times New Roman" w:cs="Times New Roman"/>
          <w:color w:val="000000" w:themeColor="text1"/>
          <w:sz w:val="24"/>
          <w:szCs w:val="24"/>
          <w:shd w:val="clear" w:color="auto" w:fill="FFFFFF"/>
        </w:rPr>
        <w:t xml:space="preserve"> Human miRNA Microarray</w:t>
      </w:r>
    </w:p>
    <w:p w14:paraId="7F08DE3F" w14:textId="427FA40A" w:rsidR="007F1776" w:rsidRPr="0076347D" w:rsidRDefault="007F1776" w:rsidP="0076347D">
      <w:pPr>
        <w:widowControl/>
        <w:spacing w:line="360" w:lineRule="auto"/>
        <w:jc w:val="left"/>
        <w:rPr>
          <w:rFonts w:ascii="Times New Roman" w:eastAsia="SimSun" w:hAnsi="Times New Roman" w:cs="Times New Roman"/>
          <w:color w:val="000000" w:themeColor="text1"/>
          <w:kern w:val="0"/>
          <w:sz w:val="24"/>
          <w:szCs w:val="24"/>
        </w:rPr>
      </w:pPr>
      <w:r w:rsidRPr="0076347D">
        <w:rPr>
          <w:rFonts w:ascii="Times New Roman" w:eastAsia="SimSun" w:hAnsi="Times New Roman" w:cs="Times New Roman"/>
          <w:color w:val="000000" w:themeColor="text1"/>
          <w:kern w:val="0"/>
          <w:sz w:val="24"/>
          <w:szCs w:val="24"/>
        </w:rPr>
        <w:t>-</w:t>
      </w:r>
      <w:r w:rsidR="00A54BCE" w:rsidRPr="0076347D">
        <w:rPr>
          <w:rFonts w:ascii="Times New Roman" w:eastAsia="SimSun" w:hAnsi="Times New Roman" w:cs="Times New Roman"/>
          <w:color w:val="000000" w:themeColor="text1"/>
          <w:kern w:val="0"/>
          <w:sz w:val="24"/>
          <w:szCs w:val="24"/>
        </w:rPr>
        <w:tab/>
      </w:r>
      <w:r w:rsidRPr="0076347D">
        <w:rPr>
          <w:rFonts w:ascii="Times New Roman" w:eastAsia="SimSun" w:hAnsi="Times New Roman" w:cs="Times New Roman"/>
          <w:color w:val="000000" w:themeColor="text1"/>
          <w:kern w:val="0"/>
          <w:sz w:val="24"/>
          <w:szCs w:val="24"/>
        </w:rPr>
        <w:t xml:space="preserve">Array type </w:t>
      </w:r>
      <w:r w:rsidR="008231E7" w:rsidRPr="0076347D">
        <w:rPr>
          <w:rFonts w:ascii="Times New Roman" w:eastAsia="SimSun" w:hAnsi="Times New Roman" w:cs="Times New Roman"/>
          <w:color w:val="000000" w:themeColor="text1"/>
          <w:kern w:val="0"/>
          <w:sz w:val="24"/>
          <w:szCs w:val="24"/>
        </w:rPr>
        <w:t>miRNA</w:t>
      </w:r>
    </w:p>
    <w:p w14:paraId="124311B3" w14:textId="1031E303" w:rsidR="007F1776" w:rsidRPr="0076347D" w:rsidRDefault="007F1776" w:rsidP="0076347D">
      <w:pPr>
        <w:widowControl/>
        <w:spacing w:line="360" w:lineRule="auto"/>
        <w:jc w:val="left"/>
        <w:rPr>
          <w:rFonts w:ascii="Times New Roman" w:eastAsia="SimSun" w:hAnsi="Times New Roman" w:cs="Times New Roman"/>
          <w:color w:val="000000" w:themeColor="text1"/>
          <w:kern w:val="0"/>
          <w:sz w:val="24"/>
          <w:szCs w:val="24"/>
        </w:rPr>
      </w:pPr>
      <w:r w:rsidRPr="0076347D">
        <w:rPr>
          <w:rFonts w:ascii="Times New Roman" w:eastAsia="SimSun" w:hAnsi="Times New Roman" w:cs="Times New Roman"/>
          <w:color w:val="000000" w:themeColor="text1"/>
          <w:kern w:val="0"/>
          <w:sz w:val="24"/>
          <w:szCs w:val="24"/>
        </w:rPr>
        <w:t>-</w:t>
      </w:r>
      <w:r w:rsidR="00A54BCE" w:rsidRPr="0076347D">
        <w:rPr>
          <w:rFonts w:ascii="Times New Roman" w:eastAsia="SimSun" w:hAnsi="Times New Roman" w:cs="Times New Roman"/>
          <w:color w:val="000000" w:themeColor="text1"/>
          <w:kern w:val="0"/>
          <w:sz w:val="24"/>
          <w:szCs w:val="24"/>
        </w:rPr>
        <w:tab/>
      </w:r>
      <w:r w:rsidR="004E3DEB" w:rsidRPr="0076347D">
        <w:rPr>
          <w:rFonts w:ascii="Times New Roman" w:eastAsia="SimSun" w:hAnsi="Times New Roman" w:cs="Times New Roman"/>
          <w:color w:val="000000" w:themeColor="text1"/>
          <w:kern w:val="0"/>
          <w:sz w:val="24"/>
          <w:szCs w:val="24"/>
        </w:rPr>
        <w:t>2549 probes for miRNA</w:t>
      </w:r>
    </w:p>
    <w:p w14:paraId="320AA86A" w14:textId="2A200ACE" w:rsidR="0010443A" w:rsidRPr="0076347D" w:rsidRDefault="007F1776" w:rsidP="0076347D">
      <w:pPr>
        <w:widowControl/>
        <w:spacing w:line="360" w:lineRule="auto"/>
        <w:jc w:val="left"/>
        <w:rPr>
          <w:rFonts w:ascii="Times New Roman" w:eastAsia="SimSun" w:hAnsi="Times New Roman" w:cs="Times New Roman"/>
          <w:color w:val="000000" w:themeColor="text1"/>
          <w:kern w:val="0"/>
          <w:sz w:val="24"/>
          <w:szCs w:val="24"/>
        </w:rPr>
      </w:pPr>
      <w:r w:rsidRPr="0076347D">
        <w:rPr>
          <w:rFonts w:ascii="Times New Roman" w:eastAsia="SimSun" w:hAnsi="Times New Roman" w:cs="Times New Roman"/>
          <w:color w:val="000000" w:themeColor="text1"/>
          <w:kern w:val="0"/>
          <w:sz w:val="24"/>
          <w:szCs w:val="24"/>
        </w:rPr>
        <w:t>-</w:t>
      </w:r>
      <w:r w:rsidR="00A54BCE" w:rsidRPr="0076347D">
        <w:rPr>
          <w:rFonts w:ascii="Times New Roman" w:eastAsia="SimSun" w:hAnsi="Times New Roman" w:cs="Times New Roman"/>
          <w:color w:val="000000" w:themeColor="text1"/>
          <w:kern w:val="0"/>
          <w:sz w:val="24"/>
          <w:szCs w:val="24"/>
        </w:rPr>
        <w:tab/>
      </w:r>
      <w:r w:rsidR="00BE1265" w:rsidRPr="0076347D">
        <w:rPr>
          <w:rFonts w:ascii="Times New Roman" w:eastAsia="SimSun" w:hAnsi="Times New Roman" w:cs="Times New Roman"/>
          <w:color w:val="000000" w:themeColor="text1"/>
          <w:kern w:val="0"/>
          <w:sz w:val="24"/>
          <w:szCs w:val="24"/>
        </w:rPr>
        <w:t xml:space="preserve">Each probe was 60 </w:t>
      </w:r>
      <w:proofErr w:type="spellStart"/>
      <w:r w:rsidR="00BE1265" w:rsidRPr="0076347D">
        <w:rPr>
          <w:rFonts w:ascii="Times New Roman" w:eastAsia="SimSun" w:hAnsi="Times New Roman" w:cs="Times New Roman"/>
          <w:color w:val="000000" w:themeColor="text1"/>
          <w:kern w:val="0"/>
          <w:sz w:val="24"/>
          <w:szCs w:val="24"/>
        </w:rPr>
        <w:t>mer</w:t>
      </w:r>
      <w:proofErr w:type="spellEnd"/>
      <w:r w:rsidR="00BE1265" w:rsidRPr="0076347D">
        <w:rPr>
          <w:rFonts w:ascii="Times New Roman" w:eastAsia="SimSun" w:hAnsi="Times New Roman" w:cs="Times New Roman"/>
          <w:color w:val="000000" w:themeColor="text1"/>
          <w:kern w:val="0"/>
          <w:sz w:val="24"/>
          <w:szCs w:val="24"/>
        </w:rPr>
        <w:t xml:space="preserve"> long</w:t>
      </w:r>
    </w:p>
    <w:p w14:paraId="384B8257" w14:textId="3867085D" w:rsidR="007F1776" w:rsidRPr="0076347D" w:rsidRDefault="007F1776" w:rsidP="0076347D">
      <w:pPr>
        <w:widowControl/>
        <w:spacing w:line="360" w:lineRule="auto"/>
        <w:jc w:val="left"/>
        <w:rPr>
          <w:rFonts w:ascii="Times New Roman" w:eastAsia="SimSun" w:hAnsi="Times New Roman" w:cs="Times New Roman"/>
          <w:b/>
          <w:bCs/>
          <w:color w:val="000000" w:themeColor="text1"/>
          <w:kern w:val="0"/>
          <w:sz w:val="24"/>
          <w:szCs w:val="24"/>
        </w:rPr>
      </w:pPr>
    </w:p>
    <w:p w14:paraId="43D4271C" w14:textId="77777777" w:rsidR="007F1776" w:rsidRPr="0076347D" w:rsidRDefault="007F1776" w:rsidP="0076347D">
      <w:pPr>
        <w:widowControl/>
        <w:spacing w:line="360" w:lineRule="auto"/>
        <w:jc w:val="left"/>
        <w:rPr>
          <w:rFonts w:ascii="Times New Roman" w:eastAsia="SimSun" w:hAnsi="Times New Roman" w:cs="Times New Roman"/>
          <w:b/>
          <w:bCs/>
          <w:color w:val="000000" w:themeColor="text1"/>
          <w:kern w:val="0"/>
          <w:sz w:val="24"/>
          <w:szCs w:val="24"/>
        </w:rPr>
      </w:pPr>
      <w:r w:rsidRPr="0076347D">
        <w:rPr>
          <w:rFonts w:ascii="Times New Roman" w:eastAsia="SimSun" w:hAnsi="Times New Roman" w:cs="Times New Roman"/>
          <w:b/>
          <w:bCs/>
          <w:color w:val="000000" w:themeColor="text1"/>
          <w:kern w:val="0"/>
          <w:sz w:val="24"/>
          <w:szCs w:val="24"/>
        </w:rPr>
        <w:t>Part 3 Samples</w:t>
      </w:r>
    </w:p>
    <w:p w14:paraId="0A4C9B03" w14:textId="693361FA" w:rsidR="007C5615" w:rsidRPr="0076347D" w:rsidRDefault="0076347D" w:rsidP="0076347D">
      <w:pPr>
        <w:pStyle w:val="ListParagraph"/>
        <w:widowControl/>
        <w:numPr>
          <w:ilvl w:val="0"/>
          <w:numId w:val="4"/>
        </w:numPr>
        <w:spacing w:line="360" w:lineRule="auto"/>
        <w:jc w:val="left"/>
        <w:rPr>
          <w:rFonts w:ascii="Times New Roman" w:eastAsia="SimSun" w:hAnsi="Times New Roman" w:cs="Times New Roman"/>
          <w:b/>
          <w:bCs/>
          <w:color w:val="000000" w:themeColor="text1"/>
          <w:kern w:val="0"/>
          <w:sz w:val="24"/>
          <w:szCs w:val="24"/>
        </w:rPr>
      </w:pPr>
      <w:r>
        <w:rPr>
          <w:rFonts w:ascii="Times New Roman" w:eastAsia="SimSun" w:hAnsi="Times New Roman" w:cs="Times New Roman"/>
          <w:b/>
          <w:bCs/>
          <w:color w:val="000000" w:themeColor="text1"/>
          <w:kern w:val="0"/>
          <w:sz w:val="24"/>
          <w:szCs w:val="24"/>
        </w:rPr>
        <w:t>RNA</w:t>
      </w:r>
      <w:r w:rsidR="007C5615" w:rsidRPr="0076347D">
        <w:rPr>
          <w:rFonts w:ascii="Times New Roman" w:eastAsia="SimSun" w:hAnsi="Times New Roman" w:cs="Times New Roman"/>
          <w:b/>
          <w:bCs/>
          <w:color w:val="000000" w:themeColor="text1"/>
          <w:kern w:val="0"/>
          <w:sz w:val="24"/>
          <w:szCs w:val="24"/>
        </w:rPr>
        <w:t xml:space="preserve"> extraction protocol</w:t>
      </w:r>
    </w:p>
    <w:p w14:paraId="58F7AC7A" w14:textId="77777777" w:rsidR="00597C14" w:rsidRPr="0076347D" w:rsidRDefault="00597C14" w:rsidP="0076347D">
      <w:pPr>
        <w:pStyle w:val="ListParagraph"/>
        <w:widowControl/>
        <w:spacing w:line="360" w:lineRule="auto"/>
        <w:ind w:left="360"/>
        <w:jc w:val="left"/>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Use </w:t>
      </w:r>
      <w:proofErr w:type="spellStart"/>
      <w:r w:rsidRPr="0076347D">
        <w:rPr>
          <w:rFonts w:ascii="Times New Roman" w:hAnsi="Times New Roman" w:cs="Times New Roman"/>
          <w:bCs/>
          <w:color w:val="000000" w:themeColor="text1"/>
          <w:kern w:val="0"/>
          <w:sz w:val="24"/>
          <w:szCs w:val="24"/>
        </w:rPr>
        <w:t>TRIzol</w:t>
      </w:r>
      <w:proofErr w:type="spellEnd"/>
      <w:r w:rsidRPr="0076347D">
        <w:rPr>
          <w:rFonts w:ascii="Times New Roman" w:hAnsi="Times New Roman" w:cs="Times New Roman"/>
          <w:bCs/>
          <w:color w:val="000000" w:themeColor="text1"/>
          <w:kern w:val="0"/>
          <w:sz w:val="24"/>
          <w:szCs w:val="24"/>
        </w:rPr>
        <w:t xml:space="preserve"> RNA isolation protocol (</w:t>
      </w:r>
      <w:proofErr w:type="spellStart"/>
      <w:r w:rsidRPr="0076347D">
        <w:rPr>
          <w:rFonts w:ascii="Times New Roman" w:hAnsi="Times New Roman" w:cs="Times New Roman"/>
          <w:bCs/>
          <w:color w:val="000000" w:themeColor="text1"/>
          <w:kern w:val="0"/>
          <w:sz w:val="24"/>
          <w:szCs w:val="24"/>
        </w:rPr>
        <w:t>Thermo</w:t>
      </w:r>
      <w:proofErr w:type="spellEnd"/>
      <w:r w:rsidRPr="0076347D">
        <w:rPr>
          <w:rFonts w:ascii="Times New Roman" w:hAnsi="Times New Roman" w:cs="Times New Roman"/>
          <w:bCs/>
          <w:color w:val="000000" w:themeColor="text1"/>
          <w:kern w:val="0"/>
          <w:sz w:val="24"/>
          <w:szCs w:val="24"/>
        </w:rPr>
        <w:t xml:space="preserve"> Fisher)</w:t>
      </w:r>
    </w:p>
    <w:p w14:paraId="7FCFCFD6" w14:textId="44D8859A" w:rsidR="00535F6E" w:rsidRPr="0076347D" w:rsidRDefault="00535F6E" w:rsidP="0076347D">
      <w:pPr>
        <w:pStyle w:val="ListParagraph"/>
        <w:widowControl/>
        <w:numPr>
          <w:ilvl w:val="0"/>
          <w:numId w:val="4"/>
        </w:numPr>
        <w:spacing w:line="360" w:lineRule="auto"/>
        <w:jc w:val="left"/>
        <w:rPr>
          <w:rFonts w:ascii="Times New Roman" w:hAnsi="Times New Roman" w:cs="Times New Roman"/>
          <w:b/>
          <w:color w:val="000000" w:themeColor="text1"/>
          <w:kern w:val="0"/>
          <w:sz w:val="24"/>
          <w:szCs w:val="24"/>
        </w:rPr>
      </w:pPr>
      <w:r w:rsidRPr="0076347D">
        <w:rPr>
          <w:rFonts w:ascii="Times New Roman" w:hAnsi="Times New Roman" w:cs="Times New Roman"/>
          <w:b/>
          <w:color w:val="000000" w:themeColor="text1"/>
          <w:kern w:val="0"/>
          <w:sz w:val="24"/>
          <w:szCs w:val="24"/>
        </w:rPr>
        <w:t xml:space="preserve">RNA clean-up and </w:t>
      </w:r>
      <w:r w:rsidR="005872FA" w:rsidRPr="0076347D">
        <w:rPr>
          <w:rFonts w:ascii="Times New Roman" w:hAnsi="Times New Roman" w:cs="Times New Roman"/>
          <w:b/>
          <w:color w:val="000000" w:themeColor="text1"/>
          <w:kern w:val="0"/>
          <w:sz w:val="24"/>
          <w:szCs w:val="24"/>
        </w:rPr>
        <w:t>quantitation protocol</w:t>
      </w:r>
    </w:p>
    <w:p w14:paraId="4F36E417" w14:textId="3D8BDF0D" w:rsidR="00535F6E" w:rsidRPr="0076347D" w:rsidRDefault="00535F6E" w:rsidP="0076347D">
      <w:pPr>
        <w:pStyle w:val="ListParagraph"/>
        <w:autoSpaceDE w:val="0"/>
        <w:autoSpaceDN w:val="0"/>
        <w:adjustRightInd w:val="0"/>
        <w:snapToGrid w:val="0"/>
        <w:spacing w:line="360" w:lineRule="auto"/>
        <w:ind w:left="420"/>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Use </w:t>
      </w:r>
      <w:proofErr w:type="spellStart"/>
      <w:r w:rsidRPr="0076347D">
        <w:rPr>
          <w:rFonts w:ascii="Times New Roman" w:hAnsi="Times New Roman" w:cs="Times New Roman"/>
          <w:bCs/>
          <w:color w:val="000000" w:themeColor="text1"/>
          <w:kern w:val="0"/>
          <w:sz w:val="24"/>
          <w:szCs w:val="24"/>
        </w:rPr>
        <w:t>RNasey</w:t>
      </w:r>
      <w:proofErr w:type="spellEnd"/>
      <w:r w:rsidRPr="0076347D">
        <w:rPr>
          <w:rFonts w:ascii="Times New Roman" w:hAnsi="Times New Roman" w:cs="Times New Roman"/>
          <w:bCs/>
          <w:color w:val="000000" w:themeColor="text1"/>
          <w:kern w:val="0"/>
          <w:sz w:val="24"/>
          <w:szCs w:val="24"/>
        </w:rPr>
        <w:t xml:space="preserve"> Mini Kit (Qiagen 74104</w:t>
      </w:r>
      <w:r w:rsidR="005872FA" w:rsidRPr="0076347D">
        <w:rPr>
          <w:rFonts w:ascii="Times New Roman" w:hAnsi="Times New Roman" w:cs="Times New Roman"/>
          <w:bCs/>
          <w:color w:val="000000" w:themeColor="text1"/>
          <w:kern w:val="0"/>
          <w:sz w:val="24"/>
          <w:szCs w:val="24"/>
        </w:rPr>
        <w:t>).</w:t>
      </w:r>
      <w:r w:rsidR="00597C14" w:rsidRPr="0076347D">
        <w:rPr>
          <w:rFonts w:ascii="Times New Roman" w:hAnsi="Times New Roman" w:cs="Times New Roman"/>
          <w:bCs/>
          <w:color w:val="000000" w:themeColor="text1"/>
          <w:kern w:val="0"/>
          <w:sz w:val="24"/>
          <w:szCs w:val="24"/>
        </w:rPr>
        <w:t xml:space="preserve"> </w:t>
      </w:r>
      <w:r w:rsidR="00CA0299" w:rsidRPr="0076347D">
        <w:rPr>
          <w:rFonts w:ascii="Times New Roman" w:hAnsi="Times New Roman" w:cs="Times New Roman"/>
          <w:color w:val="000000" w:themeColor="text1"/>
          <w:sz w:val="24"/>
          <w:szCs w:val="24"/>
          <w:shd w:val="clear" w:color="auto" w:fill="FFFFFF"/>
        </w:rPr>
        <w:t xml:space="preserve">The absorbance of a diluted RNA sample is measured at 260 and 280 nm using a UV spectroscopy. </w:t>
      </w:r>
    </w:p>
    <w:p w14:paraId="2278F940" w14:textId="2530DC1D" w:rsidR="00535F6E" w:rsidRPr="0076347D" w:rsidRDefault="00A54BCE" w:rsidP="0076347D">
      <w:pPr>
        <w:pStyle w:val="ListParagraph"/>
        <w:numPr>
          <w:ilvl w:val="0"/>
          <w:numId w:val="2"/>
        </w:numPr>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
          <w:bCs/>
          <w:color w:val="000000" w:themeColor="text1"/>
          <w:sz w:val="24"/>
          <w:szCs w:val="24"/>
        </w:rPr>
        <w:t>Labelling protocol</w:t>
      </w:r>
    </w:p>
    <w:p w14:paraId="55DB2A30" w14:textId="6090DAB6" w:rsidR="00535F6E" w:rsidRPr="0076347D" w:rsidRDefault="00535F6E" w:rsidP="0076347D">
      <w:pPr>
        <w:pStyle w:val="ListParagraph"/>
        <w:autoSpaceDE w:val="0"/>
        <w:autoSpaceDN w:val="0"/>
        <w:adjustRightInd w:val="0"/>
        <w:snapToGrid w:val="0"/>
        <w:spacing w:line="360" w:lineRule="auto"/>
        <w:ind w:left="420"/>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Use miRNA Complete Labeling and </w:t>
      </w:r>
      <w:proofErr w:type="spellStart"/>
      <w:r w:rsidRPr="0076347D">
        <w:rPr>
          <w:rFonts w:ascii="Times New Roman" w:hAnsi="Times New Roman" w:cs="Times New Roman"/>
          <w:bCs/>
          <w:color w:val="000000" w:themeColor="text1"/>
          <w:kern w:val="0"/>
          <w:sz w:val="24"/>
          <w:szCs w:val="24"/>
        </w:rPr>
        <w:t>Hyb</w:t>
      </w:r>
      <w:proofErr w:type="spellEnd"/>
      <w:r w:rsidRPr="0076347D">
        <w:rPr>
          <w:rFonts w:ascii="Times New Roman" w:hAnsi="Times New Roman" w:cs="Times New Roman"/>
          <w:bCs/>
          <w:color w:val="000000" w:themeColor="text1"/>
          <w:kern w:val="0"/>
          <w:sz w:val="24"/>
          <w:szCs w:val="24"/>
        </w:rPr>
        <w:t xml:space="preserve"> Kit (Agilent 5190-0456) for labeling</w:t>
      </w:r>
      <w:r w:rsidR="00597C14" w:rsidRPr="0076347D">
        <w:rPr>
          <w:rFonts w:ascii="Times New Roman" w:hAnsi="Times New Roman" w:cs="Times New Roman"/>
          <w:bCs/>
          <w:color w:val="000000" w:themeColor="text1"/>
          <w:kern w:val="0"/>
          <w:sz w:val="24"/>
          <w:szCs w:val="24"/>
        </w:rPr>
        <w:t xml:space="preserve">. </w:t>
      </w:r>
    </w:p>
    <w:p w14:paraId="53EE4662" w14:textId="77777777" w:rsidR="00535F6E" w:rsidRPr="0076347D" w:rsidRDefault="00535F6E" w:rsidP="0076347D">
      <w:pPr>
        <w:numPr>
          <w:ilvl w:val="0"/>
          <w:numId w:val="5"/>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Add 500 ng of total RNA to a 1.5-mL microcentrifuge tube. </w:t>
      </w:r>
    </w:p>
    <w:p w14:paraId="770EFA5C" w14:textId="77777777" w:rsidR="00535F6E" w:rsidRPr="0076347D" w:rsidRDefault="00535F6E" w:rsidP="0076347D">
      <w:pPr>
        <w:numPr>
          <w:ilvl w:val="0"/>
          <w:numId w:val="5"/>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Add 2 </w:t>
      </w:r>
      <w:proofErr w:type="spellStart"/>
      <w:r w:rsidRPr="0076347D">
        <w:rPr>
          <w:rFonts w:ascii="Times New Roman" w:hAnsi="Times New Roman" w:cs="Times New Roman"/>
          <w:bCs/>
          <w:color w:val="000000" w:themeColor="text1"/>
          <w:kern w:val="0"/>
          <w:sz w:val="24"/>
          <w:szCs w:val="24"/>
        </w:rPr>
        <w:t>μL</w:t>
      </w:r>
      <w:proofErr w:type="spellEnd"/>
      <w:r w:rsidRPr="0076347D">
        <w:rPr>
          <w:rFonts w:ascii="Times New Roman" w:hAnsi="Times New Roman" w:cs="Times New Roman"/>
          <w:bCs/>
          <w:color w:val="000000" w:themeColor="text1"/>
          <w:kern w:val="0"/>
          <w:sz w:val="24"/>
          <w:szCs w:val="24"/>
        </w:rPr>
        <w:t xml:space="preserve"> of CIP (Calf Intestinal Phosphatase) Master Mix and incubate the reaction at 37°C for 30 minutes. </w:t>
      </w:r>
    </w:p>
    <w:p w14:paraId="14A796AF" w14:textId="77777777" w:rsidR="00535F6E" w:rsidRPr="0076347D" w:rsidRDefault="00535F6E" w:rsidP="0076347D">
      <w:pPr>
        <w:numPr>
          <w:ilvl w:val="0"/>
          <w:numId w:val="5"/>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Add 2.8 </w:t>
      </w:r>
      <w:proofErr w:type="spellStart"/>
      <w:r w:rsidRPr="0076347D">
        <w:rPr>
          <w:rFonts w:ascii="Times New Roman" w:hAnsi="Times New Roman" w:cs="Times New Roman"/>
          <w:bCs/>
          <w:color w:val="000000" w:themeColor="text1"/>
          <w:kern w:val="0"/>
          <w:sz w:val="24"/>
          <w:szCs w:val="24"/>
        </w:rPr>
        <w:t>μL</w:t>
      </w:r>
      <w:proofErr w:type="spellEnd"/>
      <w:r w:rsidRPr="0076347D">
        <w:rPr>
          <w:rFonts w:ascii="Times New Roman" w:hAnsi="Times New Roman" w:cs="Times New Roman"/>
          <w:bCs/>
          <w:color w:val="000000" w:themeColor="text1"/>
          <w:kern w:val="0"/>
          <w:sz w:val="24"/>
          <w:szCs w:val="24"/>
        </w:rPr>
        <w:t xml:space="preserve"> of DMSO to each sample and incubate at 100°C for 5 to10 minutes.</w:t>
      </w:r>
    </w:p>
    <w:p w14:paraId="7C4C6367" w14:textId="77777777" w:rsidR="00535F6E" w:rsidRPr="0076347D" w:rsidRDefault="00535F6E" w:rsidP="0076347D">
      <w:pPr>
        <w:numPr>
          <w:ilvl w:val="0"/>
          <w:numId w:val="5"/>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Immediately transfer to ice-water bath.</w:t>
      </w:r>
    </w:p>
    <w:p w14:paraId="198E7097" w14:textId="2CD02BAB" w:rsidR="00535F6E" w:rsidRPr="0076347D" w:rsidRDefault="00535F6E" w:rsidP="0076347D">
      <w:pPr>
        <w:numPr>
          <w:ilvl w:val="0"/>
          <w:numId w:val="5"/>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Add 4.5 </w:t>
      </w:r>
      <w:proofErr w:type="spellStart"/>
      <w:r w:rsidRPr="0076347D">
        <w:rPr>
          <w:rFonts w:ascii="Times New Roman" w:hAnsi="Times New Roman" w:cs="Times New Roman"/>
          <w:bCs/>
          <w:color w:val="000000" w:themeColor="text1"/>
          <w:kern w:val="0"/>
          <w:sz w:val="24"/>
          <w:szCs w:val="24"/>
        </w:rPr>
        <w:t>μL</w:t>
      </w:r>
      <w:proofErr w:type="spellEnd"/>
      <w:r w:rsidRPr="0076347D">
        <w:rPr>
          <w:rFonts w:ascii="Times New Roman" w:hAnsi="Times New Roman" w:cs="Times New Roman"/>
          <w:bCs/>
          <w:color w:val="000000" w:themeColor="text1"/>
          <w:kern w:val="0"/>
          <w:sz w:val="24"/>
          <w:szCs w:val="24"/>
        </w:rPr>
        <w:t xml:space="preserve"> Ligation Master Mix (1 </w:t>
      </w:r>
      <w:proofErr w:type="spellStart"/>
      <w:r w:rsidRPr="0076347D">
        <w:rPr>
          <w:rFonts w:ascii="Times New Roman" w:hAnsi="Times New Roman" w:cs="Times New Roman"/>
          <w:bCs/>
          <w:color w:val="000000" w:themeColor="text1"/>
          <w:kern w:val="0"/>
          <w:sz w:val="24"/>
          <w:szCs w:val="24"/>
        </w:rPr>
        <w:t>μL</w:t>
      </w:r>
      <w:proofErr w:type="spellEnd"/>
      <w:r w:rsidRPr="0076347D">
        <w:rPr>
          <w:rFonts w:ascii="Times New Roman" w:hAnsi="Times New Roman" w:cs="Times New Roman"/>
          <w:bCs/>
          <w:color w:val="000000" w:themeColor="text1"/>
          <w:kern w:val="0"/>
          <w:sz w:val="24"/>
          <w:szCs w:val="24"/>
        </w:rPr>
        <w:t xml:space="preserve"> 10×T4 RNA ligase buffer, 3.0 </w:t>
      </w:r>
      <w:proofErr w:type="spellStart"/>
      <w:r w:rsidRPr="0076347D">
        <w:rPr>
          <w:rFonts w:ascii="Times New Roman" w:hAnsi="Times New Roman" w:cs="Times New Roman"/>
          <w:bCs/>
          <w:color w:val="000000" w:themeColor="text1"/>
          <w:kern w:val="0"/>
          <w:sz w:val="24"/>
          <w:szCs w:val="24"/>
        </w:rPr>
        <w:t>μL</w:t>
      </w:r>
      <w:proofErr w:type="spellEnd"/>
      <w:r w:rsidR="001A290E" w:rsidRPr="0076347D">
        <w:rPr>
          <w:rFonts w:ascii="Times New Roman" w:hAnsi="Times New Roman" w:cs="Times New Roman"/>
          <w:bCs/>
          <w:color w:val="000000" w:themeColor="text1"/>
          <w:kern w:val="0"/>
          <w:sz w:val="24"/>
          <w:szCs w:val="24"/>
        </w:rPr>
        <w:t xml:space="preserve"> </w:t>
      </w:r>
      <w:r w:rsidRPr="0076347D">
        <w:rPr>
          <w:rFonts w:ascii="Times New Roman" w:hAnsi="Times New Roman" w:cs="Times New Roman"/>
          <w:bCs/>
          <w:color w:val="000000" w:themeColor="text1"/>
          <w:kern w:val="0"/>
          <w:sz w:val="24"/>
          <w:szCs w:val="24"/>
        </w:rPr>
        <w:t xml:space="preserve">Cyanine 3-pCp, 0.5 </w:t>
      </w:r>
      <w:proofErr w:type="spellStart"/>
      <w:r w:rsidRPr="0076347D">
        <w:rPr>
          <w:rFonts w:ascii="Times New Roman" w:hAnsi="Times New Roman" w:cs="Times New Roman"/>
          <w:bCs/>
          <w:color w:val="000000" w:themeColor="text1"/>
          <w:kern w:val="0"/>
          <w:sz w:val="24"/>
          <w:szCs w:val="24"/>
        </w:rPr>
        <w:t>μL</w:t>
      </w:r>
      <w:proofErr w:type="spellEnd"/>
      <w:r w:rsidRPr="0076347D">
        <w:rPr>
          <w:rFonts w:ascii="Times New Roman" w:hAnsi="Times New Roman" w:cs="Times New Roman"/>
          <w:bCs/>
          <w:color w:val="000000" w:themeColor="text1"/>
          <w:kern w:val="0"/>
          <w:sz w:val="24"/>
          <w:szCs w:val="24"/>
        </w:rPr>
        <w:t xml:space="preserve"> T4 RNA ligase) and incubate at 16°C for 2 hours.</w:t>
      </w:r>
    </w:p>
    <w:p w14:paraId="1FBFF308" w14:textId="7342B0F3" w:rsidR="00535F6E" w:rsidRPr="0076347D" w:rsidRDefault="00CA0299" w:rsidP="0076347D">
      <w:pPr>
        <w:numPr>
          <w:ilvl w:val="0"/>
          <w:numId w:val="5"/>
        </w:numPr>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color w:val="000000" w:themeColor="text1"/>
          <w:sz w:val="24"/>
          <w:szCs w:val="24"/>
        </w:rPr>
        <w:t>Completely dry the 16</w:t>
      </w:r>
      <w:r w:rsidRPr="0076347D">
        <w:rPr>
          <w:rFonts w:ascii="Times New Roman" w:hAnsi="Times New Roman" w:cs="Times New Roman"/>
          <w:bCs/>
          <w:color w:val="000000" w:themeColor="text1"/>
          <w:kern w:val="0"/>
          <w:sz w:val="24"/>
          <w:szCs w:val="24"/>
        </w:rPr>
        <w:t>°C</w:t>
      </w:r>
      <w:r w:rsidRPr="0076347D">
        <w:rPr>
          <w:rFonts w:ascii="Times New Roman" w:hAnsi="Times New Roman" w:cs="Times New Roman"/>
          <w:color w:val="000000" w:themeColor="text1"/>
          <w:sz w:val="24"/>
          <w:szCs w:val="24"/>
        </w:rPr>
        <w:t xml:space="preserve"> labeling reaction using a vacuum concentrator with heater at 45 to 55</w:t>
      </w:r>
      <w:r w:rsidRPr="0076347D">
        <w:rPr>
          <w:rFonts w:ascii="Times New Roman" w:hAnsi="Times New Roman" w:cs="Times New Roman"/>
          <w:bCs/>
          <w:color w:val="000000" w:themeColor="text1"/>
          <w:kern w:val="0"/>
          <w:sz w:val="24"/>
          <w:szCs w:val="24"/>
        </w:rPr>
        <w:t>°C</w:t>
      </w:r>
      <w:r w:rsidRPr="0076347D">
        <w:rPr>
          <w:rFonts w:ascii="Times New Roman" w:hAnsi="Times New Roman" w:cs="Times New Roman"/>
          <w:color w:val="000000" w:themeColor="text1"/>
          <w:sz w:val="24"/>
          <w:szCs w:val="24"/>
        </w:rPr>
        <w:t>.</w:t>
      </w:r>
    </w:p>
    <w:p w14:paraId="3B6BC632" w14:textId="636E6365" w:rsidR="007F1776" w:rsidRPr="0076347D" w:rsidRDefault="007F1776" w:rsidP="0076347D">
      <w:pPr>
        <w:widowControl/>
        <w:spacing w:line="360" w:lineRule="auto"/>
        <w:ind w:left="720" w:hanging="360"/>
        <w:jc w:val="left"/>
        <w:rPr>
          <w:rFonts w:ascii="Times New Roman" w:eastAsia="SimSun" w:hAnsi="Times New Roman" w:cs="Times New Roman"/>
          <w:color w:val="000000" w:themeColor="text1"/>
          <w:kern w:val="0"/>
          <w:sz w:val="24"/>
          <w:szCs w:val="24"/>
        </w:rPr>
      </w:pPr>
      <w:r w:rsidRPr="0076347D">
        <w:rPr>
          <w:rFonts w:ascii="Times New Roman" w:eastAsia="SimSun" w:hAnsi="Times New Roman" w:cs="Times New Roman"/>
          <w:color w:val="000000" w:themeColor="text1"/>
          <w:kern w:val="0"/>
          <w:sz w:val="24"/>
          <w:szCs w:val="24"/>
        </w:rPr>
        <w:t>       </w:t>
      </w:r>
    </w:p>
    <w:p w14:paraId="309F390B" w14:textId="77777777" w:rsidR="007F1776" w:rsidRPr="0076347D" w:rsidRDefault="007F1776" w:rsidP="0076347D">
      <w:pPr>
        <w:widowControl/>
        <w:spacing w:line="360" w:lineRule="auto"/>
        <w:jc w:val="left"/>
        <w:rPr>
          <w:rFonts w:ascii="Times New Roman" w:eastAsia="SimSun" w:hAnsi="Times New Roman" w:cs="Times New Roman"/>
          <w:b/>
          <w:bCs/>
          <w:color w:val="000000" w:themeColor="text1"/>
          <w:kern w:val="0"/>
          <w:sz w:val="24"/>
          <w:szCs w:val="24"/>
        </w:rPr>
      </w:pPr>
      <w:r w:rsidRPr="0076347D">
        <w:rPr>
          <w:rFonts w:ascii="Times New Roman" w:eastAsia="SimSun" w:hAnsi="Times New Roman" w:cs="Times New Roman"/>
          <w:b/>
          <w:bCs/>
          <w:color w:val="000000" w:themeColor="text1"/>
          <w:kern w:val="0"/>
          <w:sz w:val="24"/>
          <w:szCs w:val="24"/>
        </w:rPr>
        <w:t>Part 4 Hybridizations</w:t>
      </w:r>
    </w:p>
    <w:p w14:paraId="2438C3D2" w14:textId="77777777" w:rsidR="00A0094E" w:rsidRPr="0076347D" w:rsidRDefault="00A0094E" w:rsidP="0076347D">
      <w:pPr>
        <w:autoSpaceDE w:val="0"/>
        <w:autoSpaceDN w:val="0"/>
        <w:adjustRightInd w:val="0"/>
        <w:snapToGrid w:val="0"/>
        <w:spacing w:line="360" w:lineRule="auto"/>
        <w:rPr>
          <w:rFonts w:ascii="Times New Roman" w:hAnsi="Times New Roman" w:cs="Times New Roman"/>
          <w:bCs/>
          <w:color w:val="000000" w:themeColor="text1"/>
          <w:sz w:val="24"/>
          <w:szCs w:val="24"/>
        </w:rPr>
      </w:pPr>
      <w:r w:rsidRPr="0076347D">
        <w:rPr>
          <w:rFonts w:ascii="Times New Roman" w:hAnsi="Times New Roman" w:cs="Times New Roman"/>
          <w:bCs/>
          <w:color w:val="000000" w:themeColor="text1"/>
          <w:sz w:val="24"/>
          <w:szCs w:val="24"/>
        </w:rPr>
        <w:lastRenderedPageBreak/>
        <w:t>Kit and Instruments:</w:t>
      </w:r>
    </w:p>
    <w:p w14:paraId="30BD1D37" w14:textId="79F6E160" w:rsidR="00A0094E" w:rsidRPr="0076347D" w:rsidRDefault="00A0094E" w:rsidP="0076347D">
      <w:pPr>
        <w:autoSpaceDE w:val="0"/>
        <w:autoSpaceDN w:val="0"/>
        <w:adjustRightInd w:val="0"/>
        <w:snapToGrid w:val="0"/>
        <w:spacing w:line="360" w:lineRule="auto"/>
        <w:ind w:firstLineChars="200" w:firstLine="480"/>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miRNA Complete Labeling and </w:t>
      </w:r>
      <w:proofErr w:type="spellStart"/>
      <w:r w:rsidRPr="0076347D">
        <w:rPr>
          <w:rFonts w:ascii="Times New Roman" w:hAnsi="Times New Roman" w:cs="Times New Roman"/>
          <w:bCs/>
          <w:color w:val="000000" w:themeColor="text1"/>
          <w:kern w:val="0"/>
          <w:sz w:val="24"/>
          <w:szCs w:val="24"/>
        </w:rPr>
        <w:t>Hyb</w:t>
      </w:r>
      <w:proofErr w:type="spellEnd"/>
      <w:r w:rsidRPr="0076347D">
        <w:rPr>
          <w:rFonts w:ascii="Times New Roman" w:hAnsi="Times New Roman" w:cs="Times New Roman"/>
          <w:bCs/>
          <w:color w:val="000000" w:themeColor="text1"/>
          <w:kern w:val="0"/>
          <w:sz w:val="24"/>
          <w:szCs w:val="24"/>
        </w:rPr>
        <w:t xml:space="preserve"> Kit (Agilent 5190-0456)</w:t>
      </w:r>
    </w:p>
    <w:p w14:paraId="62169D39" w14:textId="2A8C5C1D" w:rsidR="00A0094E" w:rsidRPr="0076347D" w:rsidRDefault="00A0094E" w:rsidP="0076347D">
      <w:pPr>
        <w:autoSpaceDE w:val="0"/>
        <w:autoSpaceDN w:val="0"/>
        <w:adjustRightInd w:val="0"/>
        <w:snapToGrid w:val="0"/>
        <w:spacing w:line="360" w:lineRule="auto"/>
        <w:ind w:firstLineChars="200" w:firstLine="480"/>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Hybridization Chamber, stainless (Agilent G2534A)</w:t>
      </w:r>
    </w:p>
    <w:p w14:paraId="189A702C" w14:textId="1455950B" w:rsidR="00A0094E" w:rsidRPr="0076347D" w:rsidRDefault="00A0094E" w:rsidP="0076347D">
      <w:pPr>
        <w:autoSpaceDE w:val="0"/>
        <w:autoSpaceDN w:val="0"/>
        <w:adjustRightInd w:val="0"/>
        <w:snapToGrid w:val="0"/>
        <w:spacing w:line="360" w:lineRule="auto"/>
        <w:ind w:firstLineChars="200" w:firstLine="480"/>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Hybridization Chamber gasket slides (Agilent G2534-60003)</w:t>
      </w:r>
    </w:p>
    <w:p w14:paraId="77CE0100" w14:textId="77C51BE3" w:rsidR="00A0094E" w:rsidRPr="0076347D" w:rsidRDefault="00A0094E" w:rsidP="0076347D">
      <w:pPr>
        <w:autoSpaceDE w:val="0"/>
        <w:autoSpaceDN w:val="0"/>
        <w:adjustRightInd w:val="0"/>
        <w:snapToGrid w:val="0"/>
        <w:spacing w:line="360" w:lineRule="auto"/>
        <w:ind w:firstLineChars="200" w:firstLine="480"/>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Hybridization oven (Agilent G2545A)</w:t>
      </w:r>
    </w:p>
    <w:p w14:paraId="4499B66E" w14:textId="7FD4AD59" w:rsidR="00A0094E" w:rsidRPr="0076347D" w:rsidRDefault="00A0094E" w:rsidP="0076347D">
      <w:pPr>
        <w:autoSpaceDE w:val="0"/>
        <w:autoSpaceDN w:val="0"/>
        <w:adjustRightInd w:val="0"/>
        <w:snapToGrid w:val="0"/>
        <w:spacing w:line="360" w:lineRule="auto"/>
        <w:ind w:firstLineChars="200" w:firstLine="480"/>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Hybridization oven rotator for Agilent Microarray Hybridization Chambers (Agilent G2530-60029)</w:t>
      </w:r>
    </w:p>
    <w:p w14:paraId="57F883E9" w14:textId="4C92AC25" w:rsidR="00A0094E" w:rsidRPr="0076347D" w:rsidRDefault="00A0094E" w:rsidP="0076347D">
      <w:pPr>
        <w:pStyle w:val="ListParagraph"/>
        <w:numPr>
          <w:ilvl w:val="0"/>
          <w:numId w:val="2"/>
        </w:numPr>
        <w:autoSpaceDE w:val="0"/>
        <w:autoSpaceDN w:val="0"/>
        <w:adjustRightInd w:val="0"/>
        <w:snapToGrid w:val="0"/>
        <w:spacing w:line="360" w:lineRule="auto"/>
        <w:rPr>
          <w:rFonts w:ascii="Times New Roman" w:hAnsi="Times New Roman" w:cs="Times New Roman"/>
          <w:b/>
          <w:color w:val="000000" w:themeColor="text1"/>
          <w:sz w:val="24"/>
          <w:szCs w:val="24"/>
        </w:rPr>
      </w:pPr>
      <w:r w:rsidRPr="0076347D">
        <w:rPr>
          <w:rFonts w:ascii="Times New Roman" w:hAnsi="Times New Roman" w:cs="Times New Roman"/>
          <w:b/>
          <w:color w:val="000000" w:themeColor="text1"/>
          <w:sz w:val="24"/>
          <w:szCs w:val="24"/>
        </w:rPr>
        <w:t>Hybridization protocol</w:t>
      </w:r>
    </w:p>
    <w:p w14:paraId="73E95556" w14:textId="77777777" w:rsidR="00A0094E" w:rsidRPr="0076347D" w:rsidRDefault="00A0094E" w:rsidP="0076347D">
      <w:pPr>
        <w:numPr>
          <w:ilvl w:val="0"/>
          <w:numId w:val="8"/>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Resuspend the dried sample in 18 </w:t>
      </w:r>
      <w:proofErr w:type="spellStart"/>
      <w:r w:rsidRPr="0076347D">
        <w:rPr>
          <w:rFonts w:ascii="Times New Roman" w:hAnsi="Times New Roman" w:cs="Times New Roman"/>
          <w:bCs/>
          <w:color w:val="000000" w:themeColor="text1"/>
          <w:kern w:val="0"/>
          <w:sz w:val="24"/>
          <w:szCs w:val="24"/>
        </w:rPr>
        <w:t>μL</w:t>
      </w:r>
      <w:proofErr w:type="spellEnd"/>
      <w:r w:rsidRPr="0076347D">
        <w:rPr>
          <w:rFonts w:ascii="Times New Roman" w:hAnsi="Times New Roman" w:cs="Times New Roman"/>
          <w:bCs/>
          <w:color w:val="000000" w:themeColor="text1"/>
          <w:kern w:val="0"/>
          <w:sz w:val="24"/>
          <w:szCs w:val="24"/>
        </w:rPr>
        <w:t xml:space="preserve"> nuclease-free water.</w:t>
      </w:r>
    </w:p>
    <w:p w14:paraId="597BC052" w14:textId="77777777" w:rsidR="00A0094E" w:rsidRPr="0076347D" w:rsidRDefault="00A0094E" w:rsidP="0076347D">
      <w:pPr>
        <w:numPr>
          <w:ilvl w:val="0"/>
          <w:numId w:val="8"/>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Add 4.5 </w:t>
      </w:r>
      <w:proofErr w:type="spellStart"/>
      <w:r w:rsidRPr="0076347D">
        <w:rPr>
          <w:rFonts w:ascii="Times New Roman" w:hAnsi="Times New Roman" w:cs="Times New Roman"/>
          <w:bCs/>
          <w:color w:val="000000" w:themeColor="text1"/>
          <w:kern w:val="0"/>
          <w:sz w:val="24"/>
          <w:szCs w:val="24"/>
        </w:rPr>
        <w:t>μL</w:t>
      </w:r>
      <w:proofErr w:type="spellEnd"/>
      <w:r w:rsidRPr="0076347D">
        <w:rPr>
          <w:rFonts w:ascii="Times New Roman" w:hAnsi="Times New Roman" w:cs="Times New Roman"/>
          <w:bCs/>
          <w:color w:val="000000" w:themeColor="text1"/>
          <w:kern w:val="0"/>
          <w:sz w:val="24"/>
          <w:szCs w:val="24"/>
        </w:rPr>
        <w:t xml:space="preserve"> 10× Gene Expression Blocking Agent and 2×Hi-RPM Hybridization Buffer.</w:t>
      </w:r>
    </w:p>
    <w:p w14:paraId="7B8E0232" w14:textId="77777777" w:rsidR="00A0094E" w:rsidRPr="0076347D" w:rsidRDefault="00A0094E" w:rsidP="0076347D">
      <w:pPr>
        <w:numPr>
          <w:ilvl w:val="0"/>
          <w:numId w:val="8"/>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Incubate at 100°C for 5 minutes and immediately transfer to an ice bath for 5 minutes.</w:t>
      </w:r>
    </w:p>
    <w:p w14:paraId="11F73466" w14:textId="77777777" w:rsidR="00A0094E" w:rsidRPr="0076347D" w:rsidRDefault="00A0094E" w:rsidP="0076347D">
      <w:pPr>
        <w:numPr>
          <w:ilvl w:val="0"/>
          <w:numId w:val="8"/>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Load a clean gasket slide into the Agilent </w:t>
      </w:r>
      <w:proofErr w:type="spellStart"/>
      <w:r w:rsidRPr="0076347D">
        <w:rPr>
          <w:rFonts w:ascii="Times New Roman" w:hAnsi="Times New Roman" w:cs="Times New Roman"/>
          <w:bCs/>
          <w:color w:val="000000" w:themeColor="text1"/>
          <w:kern w:val="0"/>
          <w:sz w:val="24"/>
          <w:szCs w:val="24"/>
        </w:rPr>
        <w:t>SureHyb</w:t>
      </w:r>
      <w:proofErr w:type="spellEnd"/>
      <w:r w:rsidRPr="0076347D">
        <w:rPr>
          <w:rFonts w:ascii="Times New Roman" w:hAnsi="Times New Roman" w:cs="Times New Roman"/>
          <w:bCs/>
          <w:color w:val="000000" w:themeColor="text1"/>
          <w:kern w:val="0"/>
          <w:sz w:val="24"/>
          <w:szCs w:val="24"/>
        </w:rPr>
        <w:t xml:space="preserve"> chamber base with the label facing up and aligned with the rectangular section of the chamber base. Ensure that the gasket slide is flush with the chamber base and is not ajar.</w:t>
      </w:r>
    </w:p>
    <w:p w14:paraId="53A1E6D3" w14:textId="77777777" w:rsidR="00A0094E" w:rsidRPr="0076347D" w:rsidRDefault="00A0094E" w:rsidP="0076347D">
      <w:pPr>
        <w:numPr>
          <w:ilvl w:val="0"/>
          <w:numId w:val="8"/>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Slowly dispense </w:t>
      </w:r>
      <w:proofErr w:type="gramStart"/>
      <w:r w:rsidRPr="0076347D">
        <w:rPr>
          <w:rFonts w:ascii="Times New Roman" w:hAnsi="Times New Roman" w:cs="Times New Roman"/>
          <w:bCs/>
          <w:color w:val="000000" w:themeColor="text1"/>
          <w:kern w:val="0"/>
          <w:sz w:val="24"/>
          <w:szCs w:val="24"/>
        </w:rPr>
        <w:t>all of</w:t>
      </w:r>
      <w:proofErr w:type="gramEnd"/>
      <w:r w:rsidRPr="0076347D">
        <w:rPr>
          <w:rFonts w:ascii="Times New Roman" w:hAnsi="Times New Roman" w:cs="Times New Roman"/>
          <w:bCs/>
          <w:color w:val="000000" w:themeColor="text1"/>
          <w:kern w:val="0"/>
          <w:sz w:val="24"/>
          <w:szCs w:val="24"/>
        </w:rPr>
        <w:t xml:space="preserve"> the volume of hybridization sample onto the gasket well in a “drag and dispense” manner.</w:t>
      </w:r>
    </w:p>
    <w:p w14:paraId="05210838" w14:textId="77777777" w:rsidR="00A0094E" w:rsidRPr="0076347D" w:rsidRDefault="00A0094E" w:rsidP="0076347D">
      <w:pPr>
        <w:numPr>
          <w:ilvl w:val="0"/>
          <w:numId w:val="8"/>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Slowly place an array “active side” down onto the </w:t>
      </w:r>
      <w:proofErr w:type="spellStart"/>
      <w:r w:rsidRPr="0076347D">
        <w:rPr>
          <w:rFonts w:ascii="Times New Roman" w:hAnsi="Times New Roman" w:cs="Times New Roman"/>
          <w:bCs/>
          <w:color w:val="000000" w:themeColor="text1"/>
          <w:kern w:val="0"/>
          <w:sz w:val="24"/>
          <w:szCs w:val="24"/>
        </w:rPr>
        <w:t>SureHyb</w:t>
      </w:r>
      <w:proofErr w:type="spellEnd"/>
      <w:r w:rsidRPr="0076347D">
        <w:rPr>
          <w:rFonts w:ascii="Times New Roman" w:hAnsi="Times New Roman" w:cs="Times New Roman"/>
          <w:bCs/>
          <w:color w:val="000000" w:themeColor="text1"/>
          <w:kern w:val="0"/>
          <w:sz w:val="24"/>
          <w:szCs w:val="24"/>
        </w:rPr>
        <w:t xml:space="preserve"> gasket slide, so that the “Agilent”-labeled barcode is facing down and the numeric barcode is facing up. Verify that the sandwich-pair is properly aligned. </w:t>
      </w:r>
    </w:p>
    <w:p w14:paraId="5F44FE78" w14:textId="77777777" w:rsidR="00A0094E" w:rsidRPr="0076347D" w:rsidRDefault="00A0094E" w:rsidP="0076347D">
      <w:pPr>
        <w:numPr>
          <w:ilvl w:val="0"/>
          <w:numId w:val="8"/>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Place the </w:t>
      </w:r>
      <w:proofErr w:type="spellStart"/>
      <w:r w:rsidRPr="0076347D">
        <w:rPr>
          <w:rFonts w:ascii="Times New Roman" w:hAnsi="Times New Roman" w:cs="Times New Roman"/>
          <w:bCs/>
          <w:color w:val="000000" w:themeColor="text1"/>
          <w:kern w:val="0"/>
          <w:sz w:val="24"/>
          <w:szCs w:val="24"/>
        </w:rPr>
        <w:t>SureHyb</w:t>
      </w:r>
      <w:proofErr w:type="spellEnd"/>
      <w:r w:rsidRPr="0076347D">
        <w:rPr>
          <w:rFonts w:ascii="Times New Roman" w:hAnsi="Times New Roman" w:cs="Times New Roman"/>
          <w:bCs/>
          <w:color w:val="000000" w:themeColor="text1"/>
          <w:kern w:val="0"/>
          <w:sz w:val="24"/>
          <w:szCs w:val="24"/>
        </w:rPr>
        <w:t xml:space="preserve"> chamber cover onto the sandwiched slides and slide the clamp assembly onto both pieces.</w:t>
      </w:r>
    </w:p>
    <w:p w14:paraId="74E32F49" w14:textId="77777777" w:rsidR="00A0094E" w:rsidRPr="0076347D" w:rsidRDefault="00A0094E" w:rsidP="0076347D">
      <w:pPr>
        <w:numPr>
          <w:ilvl w:val="0"/>
          <w:numId w:val="8"/>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Hand-tighten the clamp onto the chamber.</w:t>
      </w:r>
    </w:p>
    <w:p w14:paraId="4A9A00B9" w14:textId="77777777" w:rsidR="00A0094E" w:rsidRPr="0076347D" w:rsidRDefault="00A0094E" w:rsidP="0076347D">
      <w:pPr>
        <w:numPr>
          <w:ilvl w:val="0"/>
          <w:numId w:val="8"/>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Vertically rotate the assembled chamber to wet the gasket and assess the mobility of the bubbles.</w:t>
      </w:r>
    </w:p>
    <w:p w14:paraId="111AA721" w14:textId="5B509F99" w:rsidR="00A0094E" w:rsidRPr="0076347D" w:rsidRDefault="00A0094E" w:rsidP="0076347D">
      <w:pPr>
        <w:numPr>
          <w:ilvl w:val="0"/>
          <w:numId w:val="8"/>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Place assembled slide chamber in rotisserie in a hybridization oven set to 55°C. Set hybridization rotator to rotate at 20 rpm.</w:t>
      </w:r>
    </w:p>
    <w:p w14:paraId="468A625F" w14:textId="77777777" w:rsidR="00A0094E" w:rsidRPr="0076347D" w:rsidRDefault="00A0094E" w:rsidP="0076347D">
      <w:pPr>
        <w:numPr>
          <w:ilvl w:val="0"/>
          <w:numId w:val="8"/>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Hybridize at 55°C for 20 hours. </w:t>
      </w:r>
    </w:p>
    <w:p w14:paraId="3AF48051" w14:textId="77777777" w:rsidR="00CA0299" w:rsidRPr="0076347D" w:rsidRDefault="00CA0299" w:rsidP="0076347D">
      <w:pPr>
        <w:widowControl/>
        <w:spacing w:line="360" w:lineRule="auto"/>
        <w:jc w:val="left"/>
        <w:rPr>
          <w:rFonts w:ascii="Times New Roman" w:eastAsia="SimSun" w:hAnsi="Times New Roman" w:cs="Times New Roman"/>
          <w:color w:val="000000" w:themeColor="text1"/>
          <w:kern w:val="0"/>
          <w:sz w:val="24"/>
          <w:szCs w:val="24"/>
        </w:rPr>
      </w:pPr>
    </w:p>
    <w:p w14:paraId="6D835ECA" w14:textId="77777777" w:rsidR="007F1776" w:rsidRPr="0076347D" w:rsidRDefault="007F1776" w:rsidP="0076347D">
      <w:pPr>
        <w:widowControl/>
        <w:spacing w:line="360" w:lineRule="auto"/>
        <w:jc w:val="left"/>
        <w:rPr>
          <w:rFonts w:ascii="Times New Roman" w:eastAsia="SimSun" w:hAnsi="Times New Roman" w:cs="Times New Roman"/>
          <w:b/>
          <w:bCs/>
          <w:color w:val="000000" w:themeColor="text1"/>
          <w:kern w:val="0"/>
          <w:sz w:val="24"/>
          <w:szCs w:val="24"/>
        </w:rPr>
      </w:pPr>
      <w:r w:rsidRPr="0076347D">
        <w:rPr>
          <w:rFonts w:ascii="Times New Roman" w:eastAsia="SimSun" w:hAnsi="Times New Roman" w:cs="Times New Roman"/>
          <w:b/>
          <w:bCs/>
          <w:color w:val="000000" w:themeColor="text1"/>
          <w:kern w:val="0"/>
          <w:sz w:val="24"/>
          <w:szCs w:val="24"/>
        </w:rPr>
        <w:t>Part 5 Measurements</w:t>
      </w:r>
    </w:p>
    <w:p w14:paraId="68D952F8" w14:textId="566E220F" w:rsidR="00891239" w:rsidRPr="0076347D" w:rsidRDefault="00891239" w:rsidP="0076347D">
      <w:pPr>
        <w:pStyle w:val="ListParagraph"/>
        <w:numPr>
          <w:ilvl w:val="0"/>
          <w:numId w:val="2"/>
        </w:numPr>
        <w:autoSpaceDE w:val="0"/>
        <w:autoSpaceDN w:val="0"/>
        <w:adjustRightInd w:val="0"/>
        <w:snapToGrid w:val="0"/>
        <w:spacing w:line="360" w:lineRule="auto"/>
        <w:rPr>
          <w:rFonts w:ascii="Times New Roman" w:hAnsi="Times New Roman" w:cs="Times New Roman"/>
          <w:b/>
          <w:color w:val="000000" w:themeColor="text1"/>
          <w:sz w:val="24"/>
          <w:szCs w:val="24"/>
        </w:rPr>
      </w:pPr>
      <w:r w:rsidRPr="0076347D">
        <w:rPr>
          <w:rFonts w:ascii="Times New Roman" w:hAnsi="Times New Roman" w:cs="Times New Roman"/>
          <w:b/>
          <w:color w:val="000000" w:themeColor="text1"/>
          <w:sz w:val="24"/>
          <w:szCs w:val="24"/>
        </w:rPr>
        <w:t xml:space="preserve">Scanning </w:t>
      </w:r>
      <w:r w:rsidR="00CF7183" w:rsidRPr="0076347D">
        <w:rPr>
          <w:rFonts w:ascii="Times New Roman" w:hAnsi="Times New Roman" w:cs="Times New Roman"/>
          <w:b/>
          <w:color w:val="000000" w:themeColor="text1"/>
          <w:sz w:val="24"/>
          <w:szCs w:val="24"/>
        </w:rPr>
        <w:t>p</w:t>
      </w:r>
      <w:r w:rsidRPr="0076347D">
        <w:rPr>
          <w:rFonts w:ascii="Times New Roman" w:hAnsi="Times New Roman" w:cs="Times New Roman"/>
          <w:b/>
          <w:color w:val="000000" w:themeColor="text1"/>
          <w:sz w:val="24"/>
          <w:szCs w:val="24"/>
        </w:rPr>
        <w:t>rotocol</w:t>
      </w:r>
    </w:p>
    <w:p w14:paraId="0F331BD4" w14:textId="67E79B6E" w:rsidR="000873DE" w:rsidRPr="0076347D" w:rsidRDefault="000873DE" w:rsidP="0076347D">
      <w:pPr>
        <w:autoSpaceDE w:val="0"/>
        <w:autoSpaceDN w:val="0"/>
        <w:adjustRightInd w:val="0"/>
        <w:snapToGrid w:val="0"/>
        <w:spacing w:line="360" w:lineRule="auto"/>
        <w:rPr>
          <w:rFonts w:ascii="Times New Roman" w:hAnsi="Times New Roman" w:cs="Times New Roman"/>
          <w:bCs/>
          <w:color w:val="000000" w:themeColor="text1"/>
          <w:sz w:val="24"/>
          <w:szCs w:val="24"/>
        </w:rPr>
      </w:pPr>
      <w:r w:rsidRPr="0076347D">
        <w:rPr>
          <w:rFonts w:ascii="Times New Roman" w:hAnsi="Times New Roman" w:cs="Times New Roman"/>
          <w:bCs/>
          <w:color w:val="000000" w:themeColor="text1"/>
          <w:sz w:val="24"/>
          <w:szCs w:val="24"/>
        </w:rPr>
        <w:t xml:space="preserve">Instrument: </w:t>
      </w:r>
      <w:r w:rsidRPr="0076347D">
        <w:rPr>
          <w:rFonts w:ascii="Times New Roman" w:hAnsi="Times New Roman" w:cs="Times New Roman"/>
          <w:bCs/>
          <w:color w:val="000000" w:themeColor="text1"/>
          <w:kern w:val="0"/>
          <w:sz w:val="24"/>
          <w:szCs w:val="24"/>
        </w:rPr>
        <w:t>Agilent Microarray Scanner (Agilent G2505C)</w:t>
      </w:r>
    </w:p>
    <w:p w14:paraId="7450F112" w14:textId="77777777" w:rsidR="00891239" w:rsidRPr="0076347D" w:rsidRDefault="00891239" w:rsidP="0076347D">
      <w:pPr>
        <w:numPr>
          <w:ilvl w:val="0"/>
          <w:numId w:val="9"/>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Assemble the slides into a slide holder. </w:t>
      </w:r>
    </w:p>
    <w:p w14:paraId="603D3ED7" w14:textId="77777777" w:rsidR="00891239" w:rsidRPr="0076347D" w:rsidRDefault="00891239" w:rsidP="0076347D">
      <w:pPr>
        <w:numPr>
          <w:ilvl w:val="0"/>
          <w:numId w:val="9"/>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Place assembled slide holders into scanner carousel.</w:t>
      </w:r>
    </w:p>
    <w:p w14:paraId="28A0AF53" w14:textId="3CDAB38D" w:rsidR="00891239" w:rsidRPr="0076347D" w:rsidRDefault="00891239" w:rsidP="0076347D">
      <w:pPr>
        <w:numPr>
          <w:ilvl w:val="0"/>
          <w:numId w:val="9"/>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lastRenderedPageBreak/>
        <w:t>Verify scan settings for color scans.</w:t>
      </w:r>
    </w:p>
    <w:tbl>
      <w:tblPr>
        <w:tblW w:w="0" w:type="auto"/>
        <w:tblInd w:w="540" w:type="dxa"/>
        <w:tblLook w:val="0000" w:firstRow="0" w:lastRow="0" w:firstColumn="0" w:lastColumn="0" w:noHBand="0" w:noVBand="0"/>
      </w:tblPr>
      <w:tblGrid>
        <w:gridCol w:w="2428"/>
        <w:gridCol w:w="2540"/>
      </w:tblGrid>
      <w:tr w:rsidR="0076347D" w:rsidRPr="0076347D" w14:paraId="317D0297" w14:textId="77777777" w:rsidTr="005F7451">
        <w:tc>
          <w:tcPr>
            <w:tcW w:w="2428" w:type="dxa"/>
            <w:vAlign w:val="center"/>
          </w:tcPr>
          <w:p w14:paraId="3772C83D" w14:textId="77777777" w:rsidR="00891239" w:rsidRPr="0076347D" w:rsidRDefault="00891239" w:rsidP="0076347D">
            <w:pPr>
              <w:adjustRightInd w:val="0"/>
              <w:snapToGrid w:val="0"/>
              <w:spacing w:line="360" w:lineRule="auto"/>
              <w:rPr>
                <w:rFonts w:ascii="Times New Roman" w:hAnsi="Times New Roman" w:cs="Times New Roman"/>
                <w:bCs/>
                <w:color w:val="000000" w:themeColor="text1"/>
                <w:kern w:val="0"/>
                <w:sz w:val="24"/>
                <w:szCs w:val="24"/>
              </w:rPr>
            </w:pPr>
          </w:p>
        </w:tc>
        <w:tc>
          <w:tcPr>
            <w:tcW w:w="2540" w:type="dxa"/>
            <w:vAlign w:val="center"/>
          </w:tcPr>
          <w:p w14:paraId="497891C5" w14:textId="77777777" w:rsidR="00891239" w:rsidRPr="0076347D" w:rsidRDefault="00891239" w:rsidP="0076347D">
            <w:pPr>
              <w:adjustRightInd w:val="0"/>
              <w:snapToGrid w:val="0"/>
              <w:spacing w:line="360" w:lineRule="auto"/>
              <w:jc w:val="center"/>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Parameters</w:t>
            </w:r>
          </w:p>
        </w:tc>
      </w:tr>
      <w:tr w:rsidR="0076347D" w:rsidRPr="0076347D" w14:paraId="68FAAF11" w14:textId="77777777" w:rsidTr="005F7451">
        <w:tc>
          <w:tcPr>
            <w:tcW w:w="2428" w:type="dxa"/>
            <w:vAlign w:val="center"/>
          </w:tcPr>
          <w:p w14:paraId="23D93466" w14:textId="77777777" w:rsidR="00891239" w:rsidRPr="0076347D" w:rsidRDefault="00891239" w:rsidP="0076347D">
            <w:pPr>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Dye channel</w:t>
            </w:r>
          </w:p>
        </w:tc>
        <w:tc>
          <w:tcPr>
            <w:tcW w:w="2540" w:type="dxa"/>
            <w:vAlign w:val="center"/>
          </w:tcPr>
          <w:p w14:paraId="5EBBE2DA" w14:textId="77777777" w:rsidR="00891239" w:rsidRPr="0076347D" w:rsidRDefault="00891239" w:rsidP="0076347D">
            <w:pPr>
              <w:adjustRightInd w:val="0"/>
              <w:snapToGrid w:val="0"/>
              <w:spacing w:line="360" w:lineRule="auto"/>
              <w:jc w:val="center"/>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G (green)</w:t>
            </w:r>
          </w:p>
        </w:tc>
      </w:tr>
      <w:tr w:rsidR="0076347D" w:rsidRPr="0076347D" w14:paraId="71876A3D" w14:textId="77777777" w:rsidTr="005F7451">
        <w:tc>
          <w:tcPr>
            <w:tcW w:w="2428" w:type="dxa"/>
            <w:vAlign w:val="center"/>
          </w:tcPr>
          <w:p w14:paraId="741B1243" w14:textId="77777777" w:rsidR="00891239" w:rsidRPr="0076347D" w:rsidRDefault="00891239" w:rsidP="0076347D">
            <w:pPr>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Scan region</w:t>
            </w:r>
          </w:p>
        </w:tc>
        <w:tc>
          <w:tcPr>
            <w:tcW w:w="2540" w:type="dxa"/>
            <w:vAlign w:val="center"/>
          </w:tcPr>
          <w:p w14:paraId="4D98948B" w14:textId="4E8C5A35" w:rsidR="00891239" w:rsidRPr="0076347D" w:rsidRDefault="00891239" w:rsidP="0076347D">
            <w:pPr>
              <w:adjustRightInd w:val="0"/>
              <w:snapToGrid w:val="0"/>
              <w:spacing w:line="360" w:lineRule="auto"/>
              <w:jc w:val="center"/>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Agilent HD (61 x 21.6 mm)</w:t>
            </w:r>
          </w:p>
        </w:tc>
      </w:tr>
      <w:tr w:rsidR="0076347D" w:rsidRPr="0076347D" w14:paraId="3FDB9133" w14:textId="77777777" w:rsidTr="005F7451">
        <w:tc>
          <w:tcPr>
            <w:tcW w:w="2428" w:type="dxa"/>
            <w:vAlign w:val="center"/>
          </w:tcPr>
          <w:p w14:paraId="7303ACE1" w14:textId="77777777" w:rsidR="00891239" w:rsidRPr="0076347D" w:rsidRDefault="00891239" w:rsidP="0076347D">
            <w:pPr>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Scan resolution</w:t>
            </w:r>
          </w:p>
        </w:tc>
        <w:tc>
          <w:tcPr>
            <w:tcW w:w="2540" w:type="dxa"/>
            <w:vAlign w:val="center"/>
          </w:tcPr>
          <w:p w14:paraId="6F0C245A" w14:textId="77777777" w:rsidR="00891239" w:rsidRPr="0076347D" w:rsidRDefault="00891239" w:rsidP="0076347D">
            <w:pPr>
              <w:adjustRightInd w:val="0"/>
              <w:snapToGrid w:val="0"/>
              <w:spacing w:line="360" w:lineRule="auto"/>
              <w:jc w:val="center"/>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3μm</w:t>
            </w:r>
          </w:p>
        </w:tc>
      </w:tr>
      <w:tr w:rsidR="0076347D" w:rsidRPr="0076347D" w14:paraId="4FB46ACB" w14:textId="77777777" w:rsidTr="005F7451">
        <w:tc>
          <w:tcPr>
            <w:tcW w:w="2428" w:type="dxa"/>
            <w:vAlign w:val="center"/>
          </w:tcPr>
          <w:p w14:paraId="655E18C8" w14:textId="77777777" w:rsidR="00891239" w:rsidRPr="0076347D" w:rsidRDefault="00891239" w:rsidP="0076347D">
            <w:pPr>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Tiff file dynamic range</w:t>
            </w:r>
          </w:p>
        </w:tc>
        <w:tc>
          <w:tcPr>
            <w:tcW w:w="2540" w:type="dxa"/>
            <w:vAlign w:val="center"/>
          </w:tcPr>
          <w:p w14:paraId="65E9A6E4" w14:textId="77777777" w:rsidR="00891239" w:rsidRPr="0076347D" w:rsidRDefault="00891239" w:rsidP="0076347D">
            <w:pPr>
              <w:adjustRightInd w:val="0"/>
              <w:snapToGrid w:val="0"/>
              <w:spacing w:line="360" w:lineRule="auto"/>
              <w:jc w:val="center"/>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20bit</w:t>
            </w:r>
          </w:p>
        </w:tc>
      </w:tr>
      <w:tr w:rsidR="0076347D" w:rsidRPr="0076347D" w14:paraId="1236523C" w14:textId="77777777" w:rsidTr="005F7451">
        <w:tc>
          <w:tcPr>
            <w:tcW w:w="2428" w:type="dxa"/>
            <w:vAlign w:val="center"/>
          </w:tcPr>
          <w:p w14:paraId="5771D226" w14:textId="77777777" w:rsidR="00891239" w:rsidRPr="0076347D" w:rsidRDefault="00891239" w:rsidP="0076347D">
            <w:pPr>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Green PMT gain</w:t>
            </w:r>
          </w:p>
        </w:tc>
        <w:tc>
          <w:tcPr>
            <w:tcW w:w="2540" w:type="dxa"/>
            <w:vAlign w:val="center"/>
          </w:tcPr>
          <w:p w14:paraId="4497E4EE" w14:textId="77777777" w:rsidR="00891239" w:rsidRPr="0076347D" w:rsidRDefault="00891239" w:rsidP="0076347D">
            <w:pPr>
              <w:adjustRightInd w:val="0"/>
              <w:snapToGrid w:val="0"/>
              <w:spacing w:line="360" w:lineRule="auto"/>
              <w:jc w:val="center"/>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100%</w:t>
            </w:r>
          </w:p>
        </w:tc>
      </w:tr>
    </w:tbl>
    <w:p w14:paraId="30431D0B" w14:textId="2339377C" w:rsidR="000873DE" w:rsidRPr="0076347D" w:rsidRDefault="00891239" w:rsidP="0076347D">
      <w:pPr>
        <w:numPr>
          <w:ilvl w:val="0"/>
          <w:numId w:val="9"/>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 xml:space="preserve">Click Scan Slot m-n on the Scan Control main window where the letter m represents the Start slot where the first slide is </w:t>
      </w:r>
      <w:proofErr w:type="gramStart"/>
      <w:r w:rsidRPr="0076347D">
        <w:rPr>
          <w:rFonts w:ascii="Times New Roman" w:hAnsi="Times New Roman" w:cs="Times New Roman"/>
          <w:bCs/>
          <w:color w:val="000000" w:themeColor="text1"/>
          <w:kern w:val="0"/>
          <w:sz w:val="24"/>
          <w:szCs w:val="24"/>
        </w:rPr>
        <w:t>located</w:t>
      </w:r>
      <w:proofErr w:type="gramEnd"/>
      <w:r w:rsidRPr="0076347D">
        <w:rPr>
          <w:rFonts w:ascii="Times New Roman" w:hAnsi="Times New Roman" w:cs="Times New Roman"/>
          <w:bCs/>
          <w:color w:val="000000" w:themeColor="text1"/>
          <w:kern w:val="0"/>
          <w:sz w:val="24"/>
          <w:szCs w:val="24"/>
        </w:rPr>
        <w:t xml:space="preserve"> and the letter n represents the End slot where the last slide is located. </w:t>
      </w:r>
      <w:r w:rsidR="00D97917">
        <w:rPr>
          <w:rFonts w:ascii="Times New Roman" w:hAnsi="Times New Roman" w:cs="Times New Roman"/>
          <w:bCs/>
          <w:color w:val="000000" w:themeColor="text1"/>
          <w:kern w:val="0"/>
          <w:sz w:val="24"/>
          <w:szCs w:val="24"/>
        </w:rPr>
        <w:t xml:space="preserve"> </w:t>
      </w:r>
    </w:p>
    <w:p w14:paraId="2EF93026" w14:textId="1CD5967B" w:rsidR="000873DE" w:rsidRPr="0076347D" w:rsidRDefault="000873DE" w:rsidP="0076347D">
      <w:pPr>
        <w:pStyle w:val="ListParagraph"/>
        <w:numPr>
          <w:ilvl w:val="0"/>
          <w:numId w:val="2"/>
        </w:numPr>
        <w:tabs>
          <w:tab w:val="left" w:pos="420"/>
        </w:tabs>
        <w:autoSpaceDE w:val="0"/>
        <w:autoSpaceDN w:val="0"/>
        <w:adjustRightInd w:val="0"/>
        <w:snapToGrid w:val="0"/>
        <w:spacing w:line="360" w:lineRule="auto"/>
        <w:rPr>
          <w:rFonts w:ascii="Times New Roman" w:hAnsi="Times New Roman" w:cs="Times New Roman"/>
          <w:b/>
          <w:color w:val="000000" w:themeColor="text1"/>
          <w:kern w:val="0"/>
          <w:sz w:val="24"/>
          <w:szCs w:val="24"/>
        </w:rPr>
      </w:pPr>
      <w:r w:rsidRPr="0076347D">
        <w:rPr>
          <w:rFonts w:ascii="Times New Roman" w:hAnsi="Times New Roman" w:cs="Times New Roman"/>
          <w:b/>
          <w:color w:val="000000" w:themeColor="text1"/>
          <w:kern w:val="0"/>
          <w:sz w:val="24"/>
          <w:szCs w:val="24"/>
        </w:rPr>
        <w:t>Data extraction protocol</w:t>
      </w:r>
      <w:r w:rsidR="00CF7183" w:rsidRPr="0076347D">
        <w:rPr>
          <w:rFonts w:ascii="Times New Roman" w:hAnsi="Times New Roman" w:cs="Times New Roman"/>
          <w:b/>
          <w:color w:val="000000" w:themeColor="text1"/>
          <w:kern w:val="0"/>
          <w:sz w:val="24"/>
          <w:szCs w:val="24"/>
        </w:rPr>
        <w:t xml:space="preserve"> to collect chip </w:t>
      </w:r>
      <w:proofErr w:type="gramStart"/>
      <w:r w:rsidR="00CF7183" w:rsidRPr="0076347D">
        <w:rPr>
          <w:rFonts w:ascii="Times New Roman" w:hAnsi="Times New Roman" w:cs="Times New Roman"/>
          <w:b/>
          <w:color w:val="000000" w:themeColor="text1"/>
          <w:kern w:val="0"/>
          <w:sz w:val="24"/>
          <w:szCs w:val="24"/>
        </w:rPr>
        <w:t>signal</w:t>
      </w:r>
      <w:proofErr w:type="gramEnd"/>
    </w:p>
    <w:p w14:paraId="0BBA9DD7" w14:textId="44E8E164" w:rsidR="000873DE" w:rsidRPr="0076347D" w:rsidRDefault="000873DE" w:rsidP="0076347D">
      <w:pPr>
        <w:autoSpaceDE w:val="0"/>
        <w:autoSpaceDN w:val="0"/>
        <w:adjustRightInd w:val="0"/>
        <w:snapToGrid w:val="0"/>
        <w:spacing w:line="360" w:lineRule="auto"/>
        <w:rPr>
          <w:rFonts w:ascii="Times New Roman" w:hAnsi="Times New Roman" w:cs="Times New Roman"/>
          <w:bCs/>
          <w:color w:val="000000" w:themeColor="text1"/>
          <w:sz w:val="24"/>
          <w:szCs w:val="24"/>
        </w:rPr>
      </w:pPr>
      <w:r w:rsidRPr="0076347D">
        <w:rPr>
          <w:rFonts w:ascii="Times New Roman" w:hAnsi="Times New Roman" w:cs="Times New Roman"/>
          <w:bCs/>
          <w:color w:val="000000" w:themeColor="text1"/>
          <w:sz w:val="24"/>
          <w:szCs w:val="24"/>
        </w:rPr>
        <w:t xml:space="preserve">Software: </w:t>
      </w:r>
      <w:r w:rsidRPr="0076347D">
        <w:rPr>
          <w:rFonts w:ascii="Times New Roman" w:hAnsi="Times New Roman" w:cs="Times New Roman"/>
          <w:bCs/>
          <w:color w:val="000000" w:themeColor="text1"/>
          <w:kern w:val="0"/>
          <w:sz w:val="24"/>
          <w:szCs w:val="24"/>
        </w:rPr>
        <w:t>Agilent Feature Extraction</w:t>
      </w:r>
      <w:r w:rsidR="00262917" w:rsidRPr="0076347D">
        <w:rPr>
          <w:rFonts w:ascii="Times New Roman" w:hAnsi="Times New Roman" w:cs="Times New Roman"/>
          <w:bCs/>
          <w:color w:val="000000" w:themeColor="text1"/>
          <w:kern w:val="0"/>
          <w:sz w:val="24"/>
          <w:szCs w:val="24"/>
        </w:rPr>
        <w:t xml:space="preserve"> Software</w:t>
      </w:r>
    </w:p>
    <w:p w14:paraId="114608F7" w14:textId="77777777" w:rsidR="000873DE" w:rsidRPr="0076347D" w:rsidRDefault="000873DE" w:rsidP="0076347D">
      <w:pPr>
        <w:autoSpaceDE w:val="0"/>
        <w:autoSpaceDN w:val="0"/>
        <w:adjustRightInd w:val="0"/>
        <w:snapToGrid w:val="0"/>
        <w:spacing w:line="360" w:lineRule="auto"/>
        <w:rPr>
          <w:rFonts w:ascii="Times New Roman" w:hAnsi="Times New Roman" w:cs="Times New Roman"/>
          <w:bCs/>
          <w:color w:val="000000" w:themeColor="text1"/>
          <w:sz w:val="24"/>
          <w:szCs w:val="24"/>
        </w:rPr>
      </w:pPr>
      <w:r w:rsidRPr="0076347D">
        <w:rPr>
          <w:rFonts w:ascii="Times New Roman" w:hAnsi="Times New Roman" w:cs="Times New Roman"/>
          <w:bCs/>
          <w:color w:val="000000" w:themeColor="text1"/>
          <w:sz w:val="24"/>
          <w:szCs w:val="24"/>
        </w:rPr>
        <w:t>Procedure:</w:t>
      </w:r>
    </w:p>
    <w:p w14:paraId="46D2A6A0" w14:textId="77777777" w:rsidR="000873DE" w:rsidRPr="0076347D" w:rsidRDefault="000873DE" w:rsidP="0076347D">
      <w:pPr>
        <w:numPr>
          <w:ilvl w:val="0"/>
          <w:numId w:val="10"/>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Open the Agilent Feature Extraction (FE) software.</w:t>
      </w:r>
    </w:p>
    <w:p w14:paraId="1A4F1920" w14:textId="77777777" w:rsidR="000873DE" w:rsidRPr="0076347D" w:rsidRDefault="000873DE" w:rsidP="0076347D">
      <w:pPr>
        <w:numPr>
          <w:ilvl w:val="0"/>
          <w:numId w:val="10"/>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Add the images (.</w:t>
      </w:r>
      <w:proofErr w:type="spellStart"/>
      <w:r w:rsidRPr="0076347D">
        <w:rPr>
          <w:rFonts w:ascii="Times New Roman" w:hAnsi="Times New Roman" w:cs="Times New Roman"/>
          <w:bCs/>
          <w:color w:val="000000" w:themeColor="text1"/>
          <w:kern w:val="0"/>
          <w:sz w:val="24"/>
          <w:szCs w:val="24"/>
        </w:rPr>
        <w:t>tif</w:t>
      </w:r>
      <w:proofErr w:type="spellEnd"/>
      <w:r w:rsidRPr="0076347D">
        <w:rPr>
          <w:rFonts w:ascii="Times New Roman" w:hAnsi="Times New Roman" w:cs="Times New Roman"/>
          <w:bCs/>
          <w:color w:val="000000" w:themeColor="text1"/>
          <w:kern w:val="0"/>
          <w:sz w:val="24"/>
          <w:szCs w:val="24"/>
        </w:rPr>
        <w:t>) to be extracted to the FE Project.</w:t>
      </w:r>
    </w:p>
    <w:p w14:paraId="6783A1A9" w14:textId="77777777" w:rsidR="000873DE" w:rsidRPr="0076347D" w:rsidRDefault="000873DE" w:rsidP="0076347D">
      <w:pPr>
        <w:numPr>
          <w:ilvl w:val="0"/>
          <w:numId w:val="10"/>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Set FE Project Properties.</w:t>
      </w:r>
    </w:p>
    <w:p w14:paraId="3FDDC3B6" w14:textId="77777777" w:rsidR="000873DE" w:rsidRPr="0076347D" w:rsidRDefault="000873DE" w:rsidP="0076347D">
      <w:pPr>
        <w:numPr>
          <w:ilvl w:val="0"/>
          <w:numId w:val="10"/>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Check the Extraction Set Configuration.</w:t>
      </w:r>
    </w:p>
    <w:p w14:paraId="39A9E580" w14:textId="77777777" w:rsidR="000873DE" w:rsidRPr="0076347D" w:rsidRDefault="000873DE" w:rsidP="0076347D">
      <w:pPr>
        <w:numPr>
          <w:ilvl w:val="0"/>
          <w:numId w:val="10"/>
        </w:numPr>
        <w:tabs>
          <w:tab w:val="left" w:pos="420"/>
        </w:tabs>
        <w:autoSpaceDE w:val="0"/>
        <w:autoSpaceDN w:val="0"/>
        <w:adjustRightInd w:val="0"/>
        <w:snapToGrid w:val="0"/>
        <w:spacing w:line="360" w:lineRule="auto"/>
        <w:rPr>
          <w:rFonts w:ascii="Times New Roman" w:hAnsi="Times New Roman" w:cs="Times New Roman"/>
          <w:bCs/>
          <w:color w:val="000000" w:themeColor="text1"/>
          <w:kern w:val="0"/>
          <w:sz w:val="24"/>
          <w:szCs w:val="24"/>
        </w:rPr>
      </w:pPr>
      <w:r w:rsidRPr="0076347D">
        <w:rPr>
          <w:rFonts w:ascii="Times New Roman" w:hAnsi="Times New Roman" w:cs="Times New Roman"/>
          <w:bCs/>
          <w:color w:val="000000" w:themeColor="text1"/>
          <w:kern w:val="0"/>
          <w:sz w:val="24"/>
          <w:szCs w:val="24"/>
        </w:rPr>
        <w:t>Save the FE Project (.</w:t>
      </w:r>
      <w:proofErr w:type="spellStart"/>
      <w:r w:rsidRPr="0076347D">
        <w:rPr>
          <w:rFonts w:ascii="Times New Roman" w:hAnsi="Times New Roman" w:cs="Times New Roman"/>
          <w:bCs/>
          <w:color w:val="000000" w:themeColor="text1"/>
          <w:kern w:val="0"/>
          <w:sz w:val="24"/>
          <w:szCs w:val="24"/>
        </w:rPr>
        <w:t>fep</w:t>
      </w:r>
      <w:proofErr w:type="spellEnd"/>
      <w:r w:rsidRPr="0076347D">
        <w:rPr>
          <w:rFonts w:ascii="Times New Roman" w:hAnsi="Times New Roman" w:cs="Times New Roman"/>
          <w:bCs/>
          <w:color w:val="000000" w:themeColor="text1"/>
          <w:kern w:val="0"/>
          <w:sz w:val="24"/>
          <w:szCs w:val="24"/>
        </w:rPr>
        <w:t>) by selecting File &gt; Save As and browse for desired location.</w:t>
      </w:r>
    </w:p>
    <w:p w14:paraId="47548DED" w14:textId="263A3A64" w:rsidR="00E942CD" w:rsidRPr="0076347D" w:rsidRDefault="000873DE" w:rsidP="0076347D">
      <w:pPr>
        <w:numPr>
          <w:ilvl w:val="0"/>
          <w:numId w:val="10"/>
        </w:numPr>
        <w:tabs>
          <w:tab w:val="left" w:pos="420"/>
        </w:tabs>
        <w:autoSpaceDE w:val="0"/>
        <w:autoSpaceDN w:val="0"/>
        <w:adjustRightInd w:val="0"/>
        <w:snapToGrid w:val="0"/>
        <w:spacing w:line="360" w:lineRule="auto"/>
        <w:rPr>
          <w:rFonts w:ascii="Times New Roman" w:hAnsi="Times New Roman" w:cs="Times New Roman"/>
          <w:bCs/>
          <w:color w:val="000000" w:themeColor="text1"/>
          <w:sz w:val="24"/>
          <w:szCs w:val="24"/>
        </w:rPr>
      </w:pPr>
      <w:r w:rsidRPr="0076347D">
        <w:rPr>
          <w:rFonts w:ascii="Times New Roman" w:hAnsi="Times New Roman" w:cs="Times New Roman"/>
          <w:bCs/>
          <w:color w:val="000000" w:themeColor="text1"/>
          <w:kern w:val="0"/>
          <w:sz w:val="24"/>
          <w:szCs w:val="24"/>
        </w:rPr>
        <w:t>Select Project &gt; Start Extracting and export data to txt.</w:t>
      </w:r>
    </w:p>
    <w:p w14:paraId="11D5948B" w14:textId="77777777" w:rsidR="00943E6F" w:rsidRPr="0076347D" w:rsidRDefault="00943E6F" w:rsidP="0076347D">
      <w:pPr>
        <w:widowControl/>
        <w:spacing w:line="360" w:lineRule="auto"/>
        <w:jc w:val="left"/>
        <w:rPr>
          <w:rFonts w:ascii="Times New Roman" w:eastAsia="SimSun" w:hAnsi="Times New Roman" w:cs="Times New Roman"/>
          <w:color w:val="000000" w:themeColor="text1"/>
          <w:kern w:val="0"/>
          <w:sz w:val="24"/>
          <w:szCs w:val="24"/>
        </w:rPr>
      </w:pPr>
    </w:p>
    <w:p w14:paraId="49B04AFF" w14:textId="48325A80" w:rsidR="007F1776" w:rsidRPr="0076347D" w:rsidRDefault="007F1776" w:rsidP="0076347D">
      <w:pPr>
        <w:widowControl/>
        <w:spacing w:line="360" w:lineRule="auto"/>
        <w:jc w:val="left"/>
        <w:rPr>
          <w:rFonts w:ascii="Times New Roman" w:eastAsia="SimSun" w:hAnsi="Times New Roman" w:cs="Times New Roman"/>
          <w:b/>
          <w:bCs/>
          <w:color w:val="000000" w:themeColor="text1"/>
          <w:kern w:val="0"/>
          <w:sz w:val="24"/>
          <w:szCs w:val="24"/>
        </w:rPr>
      </w:pPr>
      <w:r w:rsidRPr="0076347D">
        <w:rPr>
          <w:rFonts w:ascii="Times New Roman" w:eastAsia="SimSun" w:hAnsi="Times New Roman" w:cs="Times New Roman"/>
          <w:b/>
          <w:bCs/>
          <w:color w:val="000000" w:themeColor="text1"/>
          <w:kern w:val="0"/>
          <w:sz w:val="24"/>
          <w:szCs w:val="24"/>
        </w:rPr>
        <w:t>Part 6 Normalization controls</w:t>
      </w:r>
      <w:r w:rsidR="00F43A6F" w:rsidRPr="0076347D">
        <w:rPr>
          <w:rFonts w:ascii="Times New Roman" w:eastAsia="SimSun" w:hAnsi="Times New Roman" w:cs="Times New Roman"/>
          <w:b/>
          <w:bCs/>
          <w:color w:val="000000" w:themeColor="text1"/>
          <w:kern w:val="0"/>
          <w:sz w:val="24"/>
          <w:szCs w:val="24"/>
        </w:rPr>
        <w:t>.</w:t>
      </w:r>
    </w:p>
    <w:p w14:paraId="3ED92411" w14:textId="0BBFB536" w:rsidR="00E20303" w:rsidRPr="0076347D" w:rsidRDefault="00E20303" w:rsidP="0076347D">
      <w:pPr>
        <w:widowControl/>
        <w:spacing w:line="360" w:lineRule="auto"/>
        <w:jc w:val="left"/>
        <w:rPr>
          <w:rFonts w:ascii="Times New Roman" w:eastAsia="SimSun" w:hAnsi="Times New Roman" w:cs="Times New Roman"/>
          <w:b/>
          <w:bCs/>
          <w:color w:val="000000" w:themeColor="text1"/>
          <w:kern w:val="0"/>
          <w:sz w:val="24"/>
          <w:szCs w:val="24"/>
        </w:rPr>
      </w:pPr>
      <w:r w:rsidRPr="0076347D">
        <w:rPr>
          <w:rFonts w:ascii="Times New Roman" w:eastAsia="SimSun" w:hAnsi="Times New Roman" w:cs="Times New Roman"/>
          <w:b/>
          <w:bCs/>
          <w:color w:val="000000" w:themeColor="text1"/>
          <w:kern w:val="0"/>
          <w:sz w:val="24"/>
          <w:szCs w:val="24"/>
        </w:rPr>
        <w:t>-</w:t>
      </w:r>
      <w:proofErr w:type="spellStart"/>
      <w:r w:rsidRPr="0076347D">
        <w:rPr>
          <w:rFonts w:ascii="Times New Roman" w:eastAsia="SimSun" w:hAnsi="Times New Roman" w:cs="Times New Roman"/>
          <w:b/>
          <w:bCs/>
          <w:color w:val="000000" w:themeColor="text1"/>
          <w:kern w:val="0"/>
          <w:sz w:val="24"/>
          <w:szCs w:val="24"/>
        </w:rPr>
        <w:t>Hypothessis</w:t>
      </w:r>
      <w:proofErr w:type="spellEnd"/>
    </w:p>
    <w:p w14:paraId="701DE0D2" w14:textId="10837D00" w:rsidR="00E20303" w:rsidRPr="00D97917" w:rsidRDefault="00E20303" w:rsidP="0076347D">
      <w:pPr>
        <w:widowControl/>
        <w:spacing w:line="360" w:lineRule="auto"/>
        <w:jc w:val="left"/>
        <w:rPr>
          <w:rStyle w:val="has-large-font-size"/>
          <w:rFonts w:ascii="Times New Roman" w:hAnsi="Times New Roman" w:cs="Times New Roman"/>
          <w:color w:val="000000" w:themeColor="text1"/>
          <w:sz w:val="24"/>
          <w:szCs w:val="24"/>
        </w:rPr>
      </w:pPr>
      <w:r w:rsidRPr="00D97917">
        <w:rPr>
          <w:rFonts w:ascii="Times New Roman" w:eastAsia="SimSun" w:hAnsi="Times New Roman" w:cs="Times New Roman"/>
          <w:color w:val="000000" w:themeColor="text1"/>
          <w:kern w:val="0"/>
          <w:sz w:val="24"/>
          <w:szCs w:val="24"/>
        </w:rPr>
        <w:t xml:space="preserve">There is an altered </w:t>
      </w:r>
      <w:r w:rsidRPr="00D97917">
        <w:rPr>
          <w:rFonts w:ascii="Times New Roman" w:hAnsi="Times New Roman" w:cs="Times New Roman"/>
          <w:color w:val="000000" w:themeColor="text1"/>
          <w:sz w:val="24"/>
          <w:szCs w:val="24"/>
          <w:shd w:val="clear" w:color="auto" w:fill="FFFFFF"/>
        </w:rPr>
        <w:t xml:space="preserve">miRNA expression profile in PBMCs for </w:t>
      </w:r>
      <w:r w:rsidRPr="00D97917">
        <w:rPr>
          <w:rFonts w:ascii="Times New Roman" w:hAnsi="Times New Roman" w:cs="Times New Roman"/>
          <w:color w:val="000000" w:themeColor="text1"/>
          <w:sz w:val="24"/>
          <w:szCs w:val="24"/>
        </w:rPr>
        <w:t>volunteers before and after a homologous booster (third) dose of the inactivated COVID-19 vaccine.</w:t>
      </w:r>
    </w:p>
    <w:p w14:paraId="537656F2" w14:textId="59B2531C" w:rsidR="00E20303" w:rsidRPr="0076347D" w:rsidRDefault="00E20303" w:rsidP="0076347D">
      <w:pPr>
        <w:widowControl/>
        <w:spacing w:line="360" w:lineRule="auto"/>
        <w:jc w:val="left"/>
        <w:rPr>
          <w:rFonts w:ascii="Times New Roman" w:eastAsia="SimSun" w:hAnsi="Times New Roman" w:cs="Times New Roman"/>
          <w:b/>
          <w:bCs/>
          <w:color w:val="000000" w:themeColor="text1"/>
          <w:kern w:val="0"/>
          <w:sz w:val="24"/>
          <w:szCs w:val="24"/>
        </w:rPr>
      </w:pPr>
      <w:r w:rsidRPr="0076347D">
        <w:rPr>
          <w:rFonts w:ascii="Times New Roman" w:eastAsia="SimSun" w:hAnsi="Times New Roman" w:cs="Times New Roman"/>
          <w:b/>
          <w:bCs/>
          <w:color w:val="000000" w:themeColor="text1"/>
          <w:kern w:val="0"/>
          <w:sz w:val="24"/>
          <w:szCs w:val="24"/>
        </w:rPr>
        <w:t>-Normalization method</w:t>
      </w:r>
    </w:p>
    <w:p w14:paraId="0AA8EDC4" w14:textId="653349C0" w:rsidR="00E20303" w:rsidRPr="00D97917" w:rsidRDefault="00E20303" w:rsidP="00D97917">
      <w:pPr>
        <w:tabs>
          <w:tab w:val="left" w:pos="420"/>
        </w:tabs>
        <w:autoSpaceDE w:val="0"/>
        <w:autoSpaceDN w:val="0"/>
        <w:adjustRightInd w:val="0"/>
        <w:snapToGrid w:val="0"/>
        <w:spacing w:line="360" w:lineRule="auto"/>
        <w:rPr>
          <w:rFonts w:ascii="Times New Roman" w:hAnsi="Times New Roman" w:cs="Times New Roman"/>
          <w:color w:val="000000" w:themeColor="text1"/>
          <w:sz w:val="24"/>
          <w:szCs w:val="24"/>
          <w:shd w:val="clear" w:color="auto" w:fill="FFFFFF"/>
        </w:rPr>
      </w:pPr>
      <w:r w:rsidRPr="00D97917">
        <w:rPr>
          <w:rFonts w:ascii="Times New Roman" w:hAnsi="Times New Roman" w:cs="Times New Roman"/>
          <w:color w:val="000000" w:themeColor="text1"/>
          <w:sz w:val="24"/>
          <w:szCs w:val="24"/>
        </w:rPr>
        <w:t xml:space="preserve">Microarray data were processed with </w:t>
      </w:r>
      <w:r w:rsidRPr="00D97917">
        <w:rPr>
          <w:rFonts w:ascii="Times New Roman" w:hAnsi="Times New Roman" w:cs="Times New Roman"/>
          <w:color w:val="000000" w:themeColor="text1"/>
          <w:sz w:val="24"/>
          <w:szCs w:val="24"/>
          <w:shd w:val="clear" w:color="auto" w:fill="FFFFFF"/>
        </w:rPr>
        <w:t xml:space="preserve">quantile normalization with </w:t>
      </w:r>
      <w:r w:rsidRPr="00D97917">
        <w:rPr>
          <w:rFonts w:ascii="Times New Roman" w:hAnsi="Times New Roman" w:cs="Times New Roman"/>
          <w:color w:val="000000" w:themeColor="text1"/>
          <w:sz w:val="24"/>
          <w:szCs w:val="24"/>
        </w:rPr>
        <w:t xml:space="preserve">Agilent </w:t>
      </w:r>
      <w:proofErr w:type="spellStart"/>
      <w:r w:rsidRPr="00D97917">
        <w:rPr>
          <w:rFonts w:ascii="Times New Roman" w:hAnsi="Times New Roman" w:cs="Times New Roman"/>
          <w:color w:val="000000" w:themeColor="text1"/>
          <w:sz w:val="24"/>
          <w:szCs w:val="24"/>
        </w:rPr>
        <w:t>GeneSpring</w:t>
      </w:r>
      <w:proofErr w:type="spellEnd"/>
      <w:r w:rsidRPr="00D97917">
        <w:rPr>
          <w:rFonts w:ascii="Times New Roman" w:hAnsi="Times New Roman" w:cs="Times New Roman"/>
          <w:color w:val="000000" w:themeColor="text1"/>
          <w:sz w:val="24"/>
          <w:szCs w:val="24"/>
        </w:rPr>
        <w:t xml:space="preserve"> GX v12.1</w:t>
      </w:r>
      <w:r w:rsidR="006847F9" w:rsidRPr="00D97917">
        <w:rPr>
          <w:rFonts w:ascii="Times New Roman" w:hAnsi="Times New Roman" w:cs="Times New Roman"/>
          <w:color w:val="000000" w:themeColor="text1"/>
          <w:sz w:val="24"/>
          <w:szCs w:val="24"/>
          <w:shd w:val="clear" w:color="auto" w:fill="FFFFFF"/>
        </w:rPr>
        <w:t xml:space="preserve"> software. </w:t>
      </w:r>
    </w:p>
    <w:p w14:paraId="3C33A6CA" w14:textId="77777777" w:rsidR="006847F9" w:rsidRPr="0076347D" w:rsidRDefault="00E20303" w:rsidP="0076347D">
      <w:pPr>
        <w:widowControl/>
        <w:spacing w:line="360" w:lineRule="auto"/>
        <w:jc w:val="left"/>
        <w:rPr>
          <w:rFonts w:ascii="Times New Roman" w:eastAsia="SimSun" w:hAnsi="Times New Roman" w:cs="Times New Roman"/>
          <w:b/>
          <w:bCs/>
          <w:color w:val="000000" w:themeColor="text1"/>
          <w:kern w:val="0"/>
          <w:sz w:val="24"/>
          <w:szCs w:val="24"/>
        </w:rPr>
      </w:pPr>
      <w:r w:rsidRPr="0076347D">
        <w:rPr>
          <w:rFonts w:ascii="Times New Roman" w:eastAsia="SimSun" w:hAnsi="Times New Roman" w:cs="Times New Roman"/>
          <w:b/>
          <w:bCs/>
          <w:color w:val="000000" w:themeColor="text1"/>
          <w:kern w:val="0"/>
          <w:sz w:val="24"/>
          <w:szCs w:val="24"/>
        </w:rPr>
        <w:t>- Control</w:t>
      </w:r>
    </w:p>
    <w:p w14:paraId="0B4C49E4" w14:textId="0F7CC663" w:rsidR="00E942CD" w:rsidRPr="00D97917" w:rsidRDefault="006847F9" w:rsidP="00D97917">
      <w:pPr>
        <w:widowControl/>
        <w:spacing w:line="360" w:lineRule="auto"/>
        <w:jc w:val="left"/>
        <w:rPr>
          <w:rFonts w:ascii="Times New Roman" w:eastAsia="SimSun" w:hAnsi="Times New Roman" w:cs="Times New Roman"/>
          <w:b/>
          <w:bCs/>
          <w:color w:val="000000" w:themeColor="text1"/>
          <w:kern w:val="0"/>
          <w:sz w:val="24"/>
          <w:szCs w:val="24"/>
        </w:rPr>
      </w:pPr>
      <w:r w:rsidRPr="0076347D">
        <w:rPr>
          <w:rFonts w:ascii="Times New Roman" w:hAnsi="Times New Roman" w:cs="Times New Roman"/>
          <w:color w:val="000000" w:themeColor="text1"/>
          <w:sz w:val="24"/>
          <w:szCs w:val="24"/>
        </w:rPr>
        <w:t xml:space="preserve">The controls are </w:t>
      </w:r>
      <w:r w:rsidR="00E20303" w:rsidRPr="0076347D">
        <w:rPr>
          <w:rFonts w:ascii="Times New Roman" w:hAnsi="Times New Roman" w:cs="Times New Roman"/>
          <w:color w:val="000000" w:themeColor="text1"/>
          <w:sz w:val="24"/>
          <w:szCs w:val="24"/>
        </w:rPr>
        <w:t>volunteers before a homologous booster (third) dose of the inactivated COVID-19 vaccine.</w:t>
      </w:r>
    </w:p>
    <w:sectPr w:rsidR="00E942CD" w:rsidRPr="00D97917" w:rsidSect="00CA0299">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4FCF" w14:textId="77777777" w:rsidR="000718B0" w:rsidRDefault="000718B0" w:rsidP="007F1776">
      <w:r>
        <w:separator/>
      </w:r>
    </w:p>
  </w:endnote>
  <w:endnote w:type="continuationSeparator" w:id="0">
    <w:p w14:paraId="0D1E9FB5" w14:textId="77777777" w:rsidR="000718B0" w:rsidRDefault="000718B0" w:rsidP="007F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8CCE" w14:textId="77777777" w:rsidR="000718B0" w:rsidRDefault="000718B0" w:rsidP="007F1776">
      <w:r>
        <w:separator/>
      </w:r>
    </w:p>
  </w:footnote>
  <w:footnote w:type="continuationSeparator" w:id="0">
    <w:p w14:paraId="36DE53DA" w14:textId="77777777" w:rsidR="000718B0" w:rsidRDefault="000718B0" w:rsidP="007F1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18EA"/>
    <w:multiLevelType w:val="multilevel"/>
    <w:tmpl w:val="10CF18E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0E01AD1"/>
    <w:multiLevelType w:val="multilevel"/>
    <w:tmpl w:val="10E01A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57653AE"/>
    <w:multiLevelType w:val="hybridMultilevel"/>
    <w:tmpl w:val="DB3051C4"/>
    <w:lvl w:ilvl="0" w:tplc="D4EE4F1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F34F1"/>
    <w:multiLevelType w:val="multilevel"/>
    <w:tmpl w:val="270F34F1"/>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43F42873"/>
    <w:multiLevelType w:val="hybridMultilevel"/>
    <w:tmpl w:val="06BA4D90"/>
    <w:lvl w:ilvl="0" w:tplc="241CD3C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420055"/>
    <w:multiLevelType w:val="multilevel"/>
    <w:tmpl w:val="59420055"/>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5A327EFD"/>
    <w:multiLevelType w:val="multilevel"/>
    <w:tmpl w:val="5A327EFD"/>
    <w:lvl w:ilvl="0">
      <w:start w:val="1"/>
      <w:numFmt w:val="decimal"/>
      <w:lvlText w:val="%1."/>
      <w:lvlJc w:val="left"/>
      <w:pPr>
        <w:tabs>
          <w:tab w:val="num" w:pos="420"/>
        </w:tabs>
        <w:ind w:left="420" w:hanging="420"/>
      </w:pPr>
      <w:rPr>
        <w:rFonts w:hint="eastAsia"/>
        <w:b w:val="0"/>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420"/>
        </w:tabs>
        <w:ind w:left="42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6D040CA5"/>
    <w:multiLevelType w:val="multilevel"/>
    <w:tmpl w:val="6D040CA5"/>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7968683B"/>
    <w:multiLevelType w:val="multilevel"/>
    <w:tmpl w:val="7968683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7E734858"/>
    <w:multiLevelType w:val="hybridMultilevel"/>
    <w:tmpl w:val="44000448"/>
    <w:lvl w:ilvl="0" w:tplc="036C9B38">
      <w:start w:val="5"/>
      <w:numFmt w:val="bullet"/>
      <w:lvlText w:val="-"/>
      <w:lvlJc w:val="left"/>
      <w:pPr>
        <w:ind w:left="360" w:hanging="360"/>
      </w:pPr>
      <w:rPr>
        <w:rFonts w:ascii="Arial" w:eastAsiaTheme="minorEastAsia" w:hAnsi="Arial" w:cs="Arial" w:hint="default"/>
        <w:b/>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8458315">
    <w:abstractNumId w:val="6"/>
  </w:num>
  <w:num w:numId="2" w16cid:durableId="1652900521">
    <w:abstractNumId w:val="9"/>
  </w:num>
  <w:num w:numId="3" w16cid:durableId="541289561">
    <w:abstractNumId w:val="2"/>
  </w:num>
  <w:num w:numId="4" w16cid:durableId="1462840306">
    <w:abstractNumId w:val="4"/>
  </w:num>
  <w:num w:numId="5" w16cid:durableId="1064832817">
    <w:abstractNumId w:val="0"/>
  </w:num>
  <w:num w:numId="6" w16cid:durableId="1512063521">
    <w:abstractNumId w:val="5"/>
  </w:num>
  <w:num w:numId="7" w16cid:durableId="1895459091">
    <w:abstractNumId w:val="1"/>
  </w:num>
  <w:num w:numId="8" w16cid:durableId="1280532304">
    <w:abstractNumId w:val="3"/>
  </w:num>
  <w:num w:numId="9" w16cid:durableId="1401100269">
    <w:abstractNumId w:val="7"/>
  </w:num>
  <w:num w:numId="10" w16cid:durableId="560402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08"/>
    <w:rsid w:val="000200DA"/>
    <w:rsid w:val="000718B0"/>
    <w:rsid w:val="000873DE"/>
    <w:rsid w:val="000A70AD"/>
    <w:rsid w:val="000F6F2C"/>
    <w:rsid w:val="0010443A"/>
    <w:rsid w:val="00133073"/>
    <w:rsid w:val="001455E8"/>
    <w:rsid w:val="00185707"/>
    <w:rsid w:val="001A290E"/>
    <w:rsid w:val="00262917"/>
    <w:rsid w:val="0028647A"/>
    <w:rsid w:val="00381087"/>
    <w:rsid w:val="004022E3"/>
    <w:rsid w:val="004D68C4"/>
    <w:rsid w:val="004E3DEB"/>
    <w:rsid w:val="00535F6E"/>
    <w:rsid w:val="00582199"/>
    <w:rsid w:val="005872FA"/>
    <w:rsid w:val="00597C14"/>
    <w:rsid w:val="00610B63"/>
    <w:rsid w:val="006847F9"/>
    <w:rsid w:val="0076347D"/>
    <w:rsid w:val="007762DD"/>
    <w:rsid w:val="007905A6"/>
    <w:rsid w:val="007C2A14"/>
    <w:rsid w:val="007C5615"/>
    <w:rsid w:val="007F1776"/>
    <w:rsid w:val="008231E7"/>
    <w:rsid w:val="008375B0"/>
    <w:rsid w:val="00891239"/>
    <w:rsid w:val="0093156E"/>
    <w:rsid w:val="00943E6F"/>
    <w:rsid w:val="00996E6D"/>
    <w:rsid w:val="00A0094E"/>
    <w:rsid w:val="00A32B61"/>
    <w:rsid w:val="00A3603D"/>
    <w:rsid w:val="00A54BCE"/>
    <w:rsid w:val="00AD7099"/>
    <w:rsid w:val="00B25DDD"/>
    <w:rsid w:val="00BC3988"/>
    <w:rsid w:val="00BE1265"/>
    <w:rsid w:val="00C14A34"/>
    <w:rsid w:val="00C402E5"/>
    <w:rsid w:val="00C65374"/>
    <w:rsid w:val="00C8623A"/>
    <w:rsid w:val="00CA0299"/>
    <w:rsid w:val="00CF7183"/>
    <w:rsid w:val="00D6450E"/>
    <w:rsid w:val="00D97917"/>
    <w:rsid w:val="00DB4AC7"/>
    <w:rsid w:val="00DC4B96"/>
    <w:rsid w:val="00DD7D08"/>
    <w:rsid w:val="00E20303"/>
    <w:rsid w:val="00E942CD"/>
    <w:rsid w:val="00EA4937"/>
    <w:rsid w:val="00EC6265"/>
    <w:rsid w:val="00F34396"/>
    <w:rsid w:val="00F43A6F"/>
    <w:rsid w:val="00F91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8868A5"/>
  <w15:chartTrackingRefBased/>
  <w15:docId w15:val="{227D6C79-146A-475C-8168-E335098F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77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F1776"/>
    <w:rPr>
      <w:sz w:val="18"/>
      <w:szCs w:val="18"/>
    </w:rPr>
  </w:style>
  <w:style w:type="paragraph" w:styleId="Footer">
    <w:name w:val="footer"/>
    <w:basedOn w:val="Normal"/>
    <w:link w:val="FooterChar"/>
    <w:uiPriority w:val="99"/>
    <w:unhideWhenUsed/>
    <w:rsid w:val="007F177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F1776"/>
    <w:rPr>
      <w:sz w:val="18"/>
      <w:szCs w:val="18"/>
    </w:rPr>
  </w:style>
  <w:style w:type="paragraph" w:styleId="Title">
    <w:name w:val="Title"/>
    <w:basedOn w:val="Normal"/>
    <w:link w:val="TitleChar"/>
    <w:uiPriority w:val="10"/>
    <w:qFormat/>
    <w:rsid w:val="007F1776"/>
    <w:pPr>
      <w:widowControl/>
      <w:spacing w:before="100" w:beforeAutospacing="1" w:after="100" w:afterAutospacing="1"/>
      <w:jc w:val="left"/>
    </w:pPr>
    <w:rPr>
      <w:rFonts w:ascii="SimSun" w:eastAsia="SimSun" w:hAnsi="SimSun" w:cs="SimSun"/>
      <w:kern w:val="0"/>
      <w:sz w:val="24"/>
      <w:szCs w:val="24"/>
    </w:rPr>
  </w:style>
  <w:style w:type="character" w:customStyle="1" w:styleId="TitleChar">
    <w:name w:val="Title Char"/>
    <w:basedOn w:val="DefaultParagraphFont"/>
    <w:link w:val="Title"/>
    <w:uiPriority w:val="10"/>
    <w:rsid w:val="007F1776"/>
    <w:rPr>
      <w:rFonts w:ascii="SimSun" w:eastAsia="SimSun" w:hAnsi="SimSun" w:cs="SimSun"/>
      <w:kern w:val="0"/>
      <w:sz w:val="24"/>
      <w:szCs w:val="24"/>
    </w:rPr>
  </w:style>
  <w:style w:type="paragraph" w:styleId="BodyText">
    <w:name w:val="Body Text"/>
    <w:basedOn w:val="Normal"/>
    <w:link w:val="BodyTextChar"/>
    <w:uiPriority w:val="99"/>
    <w:semiHidden/>
    <w:unhideWhenUsed/>
    <w:rsid w:val="007F1776"/>
    <w:pPr>
      <w:widowControl/>
      <w:spacing w:before="100" w:beforeAutospacing="1" w:after="100" w:afterAutospacing="1"/>
      <w:jc w:val="left"/>
    </w:pPr>
    <w:rPr>
      <w:rFonts w:ascii="SimSun" w:eastAsia="SimSun" w:hAnsi="SimSun" w:cs="SimSun"/>
      <w:kern w:val="0"/>
      <w:sz w:val="24"/>
      <w:szCs w:val="24"/>
    </w:rPr>
  </w:style>
  <w:style w:type="character" w:customStyle="1" w:styleId="BodyTextChar">
    <w:name w:val="Body Text Char"/>
    <w:basedOn w:val="DefaultParagraphFont"/>
    <w:link w:val="BodyText"/>
    <w:uiPriority w:val="99"/>
    <w:semiHidden/>
    <w:rsid w:val="007F1776"/>
    <w:rPr>
      <w:rFonts w:ascii="SimSun" w:eastAsia="SimSun" w:hAnsi="SimSun" w:cs="SimSun"/>
      <w:kern w:val="0"/>
      <w:sz w:val="24"/>
      <w:szCs w:val="24"/>
    </w:rPr>
  </w:style>
  <w:style w:type="character" w:styleId="Hyperlink">
    <w:name w:val="Hyperlink"/>
    <w:basedOn w:val="DefaultParagraphFont"/>
    <w:uiPriority w:val="99"/>
    <w:semiHidden/>
    <w:unhideWhenUsed/>
    <w:rsid w:val="007F1776"/>
    <w:rPr>
      <w:color w:val="0000FF"/>
      <w:u w:val="single"/>
    </w:rPr>
  </w:style>
  <w:style w:type="paragraph" w:styleId="Caption">
    <w:name w:val="caption"/>
    <w:basedOn w:val="Normal"/>
    <w:next w:val="Normal"/>
    <w:uiPriority w:val="35"/>
    <w:unhideWhenUsed/>
    <w:qFormat/>
    <w:rsid w:val="00943E6F"/>
    <w:rPr>
      <w:rFonts w:asciiTheme="majorHAnsi" w:eastAsia="SimHei" w:hAnsiTheme="majorHAnsi" w:cstheme="majorBidi"/>
      <w:sz w:val="20"/>
      <w:szCs w:val="20"/>
    </w:rPr>
  </w:style>
  <w:style w:type="paragraph" w:customStyle="1" w:styleId="Default">
    <w:name w:val="Default"/>
    <w:rsid w:val="007C5615"/>
    <w:pPr>
      <w:autoSpaceDE w:val="0"/>
      <w:autoSpaceDN w:val="0"/>
      <w:adjustRightInd w:val="0"/>
    </w:pPr>
    <w:rPr>
      <w:rFonts w:ascii="Times New Roman" w:hAnsi="Times New Roman" w:cs="Times New Roman"/>
      <w:color w:val="000000"/>
      <w:kern w:val="0"/>
      <w:sz w:val="24"/>
      <w:szCs w:val="24"/>
    </w:rPr>
  </w:style>
  <w:style w:type="paragraph" w:styleId="ListParagraph">
    <w:name w:val="List Paragraph"/>
    <w:basedOn w:val="Normal"/>
    <w:uiPriority w:val="34"/>
    <w:qFormat/>
    <w:rsid w:val="007C5615"/>
    <w:pPr>
      <w:ind w:left="720"/>
      <w:contextualSpacing/>
    </w:pPr>
  </w:style>
  <w:style w:type="character" w:styleId="Emphasis">
    <w:name w:val="Emphasis"/>
    <w:basedOn w:val="DefaultParagraphFont"/>
    <w:uiPriority w:val="20"/>
    <w:qFormat/>
    <w:rsid w:val="00C65374"/>
    <w:rPr>
      <w:i/>
      <w:iCs/>
    </w:rPr>
  </w:style>
  <w:style w:type="character" w:customStyle="1" w:styleId="has-large-font-size">
    <w:name w:val="has-large-font-size"/>
    <w:basedOn w:val="DefaultParagraphFont"/>
    <w:qFormat/>
    <w:rsid w:val="00E20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4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12AE8-7C4A-4286-9428-7C6471BC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Xu, Jianguo</cp:lastModifiedBy>
  <cp:revision>3</cp:revision>
  <dcterms:created xsi:type="dcterms:W3CDTF">2024-05-06T23:43:00Z</dcterms:created>
  <dcterms:modified xsi:type="dcterms:W3CDTF">2024-05-06T23:43:00Z</dcterms:modified>
</cp:coreProperties>
</file>