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38DD9" w14:textId="77777777" w:rsidR="00861104" w:rsidRPr="00927EC0" w:rsidRDefault="005C5AA4" w:rsidP="00861104">
      <w:pPr>
        <w:rPr>
          <w:sz w:val="21"/>
          <w:szCs w:val="21"/>
        </w:rPr>
      </w:pPr>
      <w:r w:rsidRPr="002D1B8C">
        <w:rPr>
          <w:b/>
          <w:bCs/>
          <w:sz w:val="21"/>
          <w:szCs w:val="21"/>
        </w:rPr>
        <w:t>Figure S1</w:t>
      </w:r>
      <w:r w:rsidRPr="002D1B8C">
        <w:rPr>
          <w:sz w:val="21"/>
          <w:szCs w:val="21"/>
        </w:rPr>
        <w:t xml:space="preserve">. </w:t>
      </w:r>
      <w:r w:rsidR="00861104" w:rsidRPr="007C4D66">
        <w:rPr>
          <w:rFonts w:hint="eastAsia"/>
          <w:sz w:val="21"/>
          <w:szCs w:val="21"/>
        </w:rPr>
        <w:t>Pooled results of any-grade TRAEs (A), grade 3 or higher TRAEs (B), and severe TRAEs (C) in monotherapy trials, stratified by approved EZH2 inhibitors.</w:t>
      </w:r>
      <w:r w:rsidR="00861104" w:rsidRPr="00566DCB">
        <w:rPr>
          <w:sz w:val="21"/>
          <w:szCs w:val="21"/>
        </w:rPr>
        <w:t xml:space="preserve"> </w:t>
      </w:r>
    </w:p>
    <w:p w14:paraId="581756D2" w14:textId="258F309F" w:rsidR="00861104" w:rsidRPr="00927EC0" w:rsidRDefault="00861104" w:rsidP="00861104">
      <w:pPr>
        <w:rPr>
          <w:sz w:val="21"/>
          <w:szCs w:val="21"/>
        </w:rPr>
      </w:pPr>
      <w:r w:rsidRPr="002D1B8C">
        <w:rPr>
          <w:b/>
          <w:bCs/>
          <w:sz w:val="21"/>
          <w:szCs w:val="21"/>
        </w:rPr>
        <w:t>Figure S</w:t>
      </w:r>
      <w:r>
        <w:rPr>
          <w:rFonts w:hint="eastAsia"/>
          <w:b/>
          <w:bCs/>
          <w:sz w:val="21"/>
          <w:szCs w:val="21"/>
        </w:rPr>
        <w:t>2</w:t>
      </w:r>
      <w:r w:rsidRPr="002D1B8C">
        <w:rPr>
          <w:sz w:val="21"/>
          <w:szCs w:val="21"/>
        </w:rPr>
        <w:t xml:space="preserve">. </w:t>
      </w:r>
      <w:r w:rsidRPr="007C4D66">
        <w:rPr>
          <w:rFonts w:hint="eastAsia"/>
          <w:sz w:val="21"/>
          <w:szCs w:val="21"/>
        </w:rPr>
        <w:t>Pooled results of any-grade TRAEs (A), grade 3 or higher TRAEs (B), and severe TRAEs (C) in monotherapy trials</w:t>
      </w:r>
      <w:r>
        <w:rPr>
          <w:rFonts w:hint="eastAsia"/>
          <w:sz w:val="21"/>
          <w:szCs w:val="21"/>
        </w:rPr>
        <w:t xml:space="preserve"> at active dose (SHR2554: </w:t>
      </w:r>
      <w:r w:rsidRPr="00861104">
        <w:rPr>
          <w:sz w:val="21"/>
          <w:szCs w:val="21"/>
        </w:rPr>
        <w:t>350 mg, bid, po</w:t>
      </w:r>
      <w:r>
        <w:rPr>
          <w:rFonts w:hint="eastAsia"/>
          <w:sz w:val="21"/>
          <w:szCs w:val="21"/>
        </w:rPr>
        <w:t xml:space="preserve">; </w:t>
      </w:r>
      <w:proofErr w:type="spellStart"/>
      <w:r>
        <w:rPr>
          <w:sz w:val="21"/>
          <w:szCs w:val="21"/>
        </w:rPr>
        <w:t>Tazemetostat</w:t>
      </w:r>
      <w:proofErr w:type="spellEnd"/>
      <w:r>
        <w:rPr>
          <w:rFonts w:hint="eastAsia"/>
          <w:sz w:val="21"/>
          <w:szCs w:val="21"/>
        </w:rPr>
        <w:t>:</w:t>
      </w:r>
      <w:r w:rsidRPr="00861104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800</w:t>
      </w:r>
      <w:r w:rsidRPr="00861104">
        <w:rPr>
          <w:sz w:val="21"/>
          <w:szCs w:val="21"/>
        </w:rPr>
        <w:t xml:space="preserve"> mg, bid, po</w:t>
      </w:r>
      <w:r>
        <w:rPr>
          <w:rFonts w:hint="eastAsia"/>
          <w:sz w:val="21"/>
          <w:szCs w:val="21"/>
        </w:rPr>
        <w:t xml:space="preserve">; </w:t>
      </w:r>
      <w:proofErr w:type="spellStart"/>
      <w:r>
        <w:rPr>
          <w:rFonts w:ascii="Times" w:hAnsi="Times" w:cs="Times"/>
          <w:szCs w:val="24"/>
        </w:rPr>
        <w:t>Valemetostat</w:t>
      </w:r>
      <w:proofErr w:type="spellEnd"/>
      <w:r>
        <w:rPr>
          <w:rFonts w:ascii="Times" w:hAnsi="Times" w:cs="Times" w:hint="eastAsia"/>
          <w:szCs w:val="24"/>
        </w:rPr>
        <w:t xml:space="preserve">: </w:t>
      </w:r>
      <w:r>
        <w:rPr>
          <w:rFonts w:hint="eastAsia"/>
          <w:sz w:val="21"/>
          <w:szCs w:val="21"/>
        </w:rPr>
        <w:t>200</w:t>
      </w:r>
      <w:r w:rsidRPr="00861104">
        <w:rPr>
          <w:sz w:val="21"/>
          <w:szCs w:val="21"/>
        </w:rPr>
        <w:t xml:space="preserve"> mg, </w:t>
      </w:r>
      <w:proofErr w:type="spellStart"/>
      <w:r>
        <w:rPr>
          <w:rFonts w:hint="eastAsia"/>
          <w:sz w:val="21"/>
          <w:szCs w:val="21"/>
        </w:rPr>
        <w:t>qd</w:t>
      </w:r>
      <w:proofErr w:type="spellEnd"/>
      <w:r w:rsidRPr="00861104">
        <w:rPr>
          <w:sz w:val="21"/>
          <w:szCs w:val="21"/>
        </w:rPr>
        <w:t>, po</w:t>
      </w:r>
      <w:r>
        <w:rPr>
          <w:rFonts w:hint="eastAsia"/>
          <w:sz w:val="21"/>
          <w:szCs w:val="21"/>
        </w:rPr>
        <w:t>)</w:t>
      </w:r>
      <w:r w:rsidRPr="007C4D66">
        <w:rPr>
          <w:rFonts w:hint="eastAsia"/>
          <w:sz w:val="21"/>
          <w:szCs w:val="21"/>
        </w:rPr>
        <w:t>, stratified by approved EZH2 inhibitors.</w:t>
      </w:r>
      <w:r w:rsidRPr="00566DCB">
        <w:rPr>
          <w:sz w:val="21"/>
          <w:szCs w:val="21"/>
        </w:rPr>
        <w:t xml:space="preserve"> </w:t>
      </w:r>
    </w:p>
    <w:p w14:paraId="2CCABF60" w14:textId="791C7EE4" w:rsidR="00861104" w:rsidRPr="002D1B8C" w:rsidRDefault="00861104" w:rsidP="005C5AA4">
      <w:pPr>
        <w:rPr>
          <w:sz w:val="21"/>
          <w:szCs w:val="21"/>
        </w:rPr>
      </w:pPr>
      <w:r w:rsidRPr="002D1B8C">
        <w:rPr>
          <w:b/>
          <w:bCs/>
          <w:sz w:val="21"/>
          <w:szCs w:val="21"/>
        </w:rPr>
        <w:t>Figure S</w:t>
      </w:r>
      <w:r>
        <w:rPr>
          <w:rFonts w:hint="eastAsia"/>
          <w:b/>
          <w:bCs/>
          <w:sz w:val="21"/>
          <w:szCs w:val="21"/>
        </w:rPr>
        <w:t>3</w:t>
      </w:r>
      <w:r w:rsidRPr="002D1B8C">
        <w:rPr>
          <w:sz w:val="21"/>
          <w:szCs w:val="21"/>
        </w:rPr>
        <w:t xml:space="preserve">. </w:t>
      </w:r>
      <w:r w:rsidR="005C5AA4" w:rsidRPr="002D1B8C">
        <w:rPr>
          <w:sz w:val="21"/>
          <w:szCs w:val="21"/>
        </w:rPr>
        <w:t>Pooled results of any-grade TRAEs by drug combinations subgroup (A) and by cancer types (B). Abbreviation: HM: Hematologic malignancies; ST: solid tumors.</w:t>
      </w:r>
      <w:r w:rsidR="005C5AA4" w:rsidRPr="00F74DF8">
        <w:rPr>
          <w:sz w:val="21"/>
          <w:szCs w:val="21"/>
        </w:rPr>
        <w:t xml:space="preserve"> </w:t>
      </w:r>
      <w:r w:rsidR="005C5AA4" w:rsidRPr="00684EB3">
        <w:rPr>
          <w:sz w:val="21"/>
          <w:szCs w:val="21"/>
        </w:rPr>
        <w:t>Weights and between-subgroup heterogeneity test are from random-effects model</w:t>
      </w:r>
      <w:r>
        <w:rPr>
          <w:rFonts w:hint="eastAsia"/>
          <w:sz w:val="21"/>
          <w:szCs w:val="21"/>
        </w:rPr>
        <w:t>.</w:t>
      </w:r>
    </w:p>
    <w:p w14:paraId="093B44E3" w14:textId="1F47E273" w:rsidR="005C5AA4" w:rsidRPr="002D1B8C" w:rsidRDefault="005C5AA4" w:rsidP="005C5AA4">
      <w:pPr>
        <w:rPr>
          <w:sz w:val="21"/>
          <w:szCs w:val="21"/>
        </w:rPr>
      </w:pPr>
      <w:r w:rsidRPr="002D1B8C">
        <w:rPr>
          <w:b/>
          <w:bCs/>
          <w:sz w:val="21"/>
          <w:szCs w:val="21"/>
        </w:rPr>
        <w:t>Figure S</w:t>
      </w:r>
      <w:r w:rsidR="00861104">
        <w:rPr>
          <w:rFonts w:hint="eastAsia"/>
          <w:b/>
          <w:bCs/>
          <w:sz w:val="21"/>
          <w:szCs w:val="21"/>
        </w:rPr>
        <w:t>4</w:t>
      </w:r>
      <w:r w:rsidRPr="002D1B8C">
        <w:rPr>
          <w:sz w:val="21"/>
          <w:szCs w:val="21"/>
        </w:rPr>
        <w:t xml:space="preserve"> Pooled results of grade 3 or higher TRAEs by drug combinations subgroup (A) and by cancer types (B). Abbreviation: HM: Hematologic malignancies; ST: solid tumors.</w:t>
      </w:r>
      <w:r w:rsidRPr="00F74DF8">
        <w:rPr>
          <w:sz w:val="21"/>
          <w:szCs w:val="21"/>
        </w:rPr>
        <w:t xml:space="preserve"> </w:t>
      </w:r>
      <w:r w:rsidRPr="00684EB3">
        <w:rPr>
          <w:sz w:val="21"/>
          <w:szCs w:val="21"/>
        </w:rPr>
        <w:t>Weights and between-subgroup heterogeneity test are from random-effects model</w:t>
      </w:r>
    </w:p>
    <w:p w14:paraId="41CE6486" w14:textId="2824D87B" w:rsidR="005C5AA4" w:rsidRPr="002D1B8C" w:rsidRDefault="005C5AA4" w:rsidP="005C5AA4">
      <w:pPr>
        <w:rPr>
          <w:sz w:val="21"/>
          <w:szCs w:val="21"/>
        </w:rPr>
      </w:pPr>
      <w:r w:rsidRPr="002D1B8C">
        <w:rPr>
          <w:b/>
          <w:bCs/>
          <w:sz w:val="21"/>
          <w:szCs w:val="21"/>
        </w:rPr>
        <w:t>Figure S</w:t>
      </w:r>
      <w:r w:rsidR="00861104">
        <w:rPr>
          <w:rFonts w:hint="eastAsia"/>
          <w:b/>
          <w:bCs/>
          <w:sz w:val="21"/>
          <w:szCs w:val="21"/>
        </w:rPr>
        <w:t>5</w:t>
      </w:r>
      <w:r w:rsidRPr="002D1B8C">
        <w:rPr>
          <w:sz w:val="21"/>
          <w:szCs w:val="21"/>
        </w:rPr>
        <w:t>. Pooled results of severe TRAEs by drug combinations subgroup (A) and by cancer types (B). Abbreviation: HM: Hematologic malignancies; ST: solid tumors.</w:t>
      </w:r>
      <w:r w:rsidRPr="00F74DF8">
        <w:rPr>
          <w:sz w:val="21"/>
          <w:szCs w:val="21"/>
        </w:rPr>
        <w:t xml:space="preserve"> </w:t>
      </w:r>
      <w:r w:rsidRPr="00684EB3">
        <w:rPr>
          <w:sz w:val="21"/>
          <w:szCs w:val="21"/>
        </w:rPr>
        <w:t>Weights and between-subgroup heterogeneity test are from random-effects model</w:t>
      </w:r>
    </w:p>
    <w:p w14:paraId="25F33B07" w14:textId="79F58D76" w:rsidR="005C5AA4" w:rsidRPr="002D1B8C" w:rsidRDefault="005C5AA4" w:rsidP="005C5AA4">
      <w:pPr>
        <w:rPr>
          <w:sz w:val="21"/>
          <w:szCs w:val="21"/>
        </w:rPr>
      </w:pPr>
      <w:r w:rsidRPr="002D1B8C">
        <w:rPr>
          <w:b/>
          <w:bCs/>
          <w:sz w:val="21"/>
          <w:szCs w:val="21"/>
        </w:rPr>
        <w:t>Figure S</w:t>
      </w:r>
      <w:r w:rsidR="00861104">
        <w:rPr>
          <w:rFonts w:hint="eastAsia"/>
          <w:b/>
          <w:bCs/>
          <w:sz w:val="21"/>
          <w:szCs w:val="21"/>
        </w:rPr>
        <w:t>6</w:t>
      </w:r>
      <w:r w:rsidRPr="002D1B8C">
        <w:rPr>
          <w:sz w:val="21"/>
          <w:szCs w:val="21"/>
        </w:rPr>
        <w:t>. Pooled results of TRAEs leading to dose reduction (A) and interruption (B).</w:t>
      </w:r>
      <w:r w:rsidRPr="00F74DF8">
        <w:rPr>
          <w:sz w:val="21"/>
          <w:szCs w:val="21"/>
        </w:rPr>
        <w:t xml:space="preserve"> </w:t>
      </w:r>
      <w:r w:rsidRPr="00684EB3">
        <w:rPr>
          <w:sz w:val="21"/>
          <w:szCs w:val="21"/>
        </w:rPr>
        <w:t>Weights and between-subgroup heterogeneity test are from random-effects model</w:t>
      </w:r>
    </w:p>
    <w:p w14:paraId="7F2C46EB" w14:textId="407B7337" w:rsidR="005C5AA4" w:rsidRPr="002D1B8C" w:rsidRDefault="005C5AA4" w:rsidP="005C5AA4">
      <w:pPr>
        <w:rPr>
          <w:sz w:val="21"/>
          <w:szCs w:val="21"/>
        </w:rPr>
      </w:pPr>
      <w:r w:rsidRPr="002D1B8C">
        <w:rPr>
          <w:b/>
          <w:bCs/>
          <w:sz w:val="21"/>
          <w:szCs w:val="21"/>
        </w:rPr>
        <w:t>Figure S</w:t>
      </w:r>
      <w:r w:rsidR="00861104">
        <w:rPr>
          <w:rFonts w:hint="eastAsia"/>
          <w:b/>
          <w:bCs/>
          <w:sz w:val="21"/>
          <w:szCs w:val="21"/>
        </w:rPr>
        <w:t>7</w:t>
      </w:r>
      <w:r w:rsidRPr="002D1B8C">
        <w:rPr>
          <w:sz w:val="21"/>
          <w:szCs w:val="21"/>
        </w:rPr>
        <w:t>. Sensitivity analyses were conducted to evaluate the robustness of the pooled estimates for any-grade TRAEs (A), grade 3 or higher TRAEs (B), and TRAEs leading to discontinuation (C).</w:t>
      </w:r>
    </w:p>
    <w:p w14:paraId="60A99B3B" w14:textId="25560CFD" w:rsidR="005C5AA4" w:rsidRPr="002D1B8C" w:rsidRDefault="005C5AA4" w:rsidP="005C5AA4">
      <w:pPr>
        <w:rPr>
          <w:sz w:val="21"/>
          <w:szCs w:val="21"/>
        </w:rPr>
      </w:pPr>
      <w:r w:rsidRPr="002D1B8C">
        <w:rPr>
          <w:b/>
          <w:bCs/>
          <w:sz w:val="21"/>
          <w:szCs w:val="21"/>
        </w:rPr>
        <w:t>Figure S</w:t>
      </w:r>
      <w:r w:rsidR="00861104">
        <w:rPr>
          <w:rFonts w:hint="eastAsia"/>
          <w:b/>
          <w:bCs/>
          <w:sz w:val="21"/>
          <w:szCs w:val="21"/>
        </w:rPr>
        <w:t>8</w:t>
      </w:r>
      <w:r w:rsidRPr="002D1B8C">
        <w:rPr>
          <w:sz w:val="21"/>
          <w:szCs w:val="21"/>
        </w:rPr>
        <w:t>. funnel plots were constructed for evaluate risk of bias of the pooled estimates for any-grade TRAEs (A), grade 3 or higher TRAEs (B), and TRAEs leading to discontinuation (C).</w:t>
      </w:r>
    </w:p>
    <w:p w14:paraId="209CCA49" w14:textId="01ED6CD4" w:rsidR="00861104" w:rsidRPr="005637C7" w:rsidRDefault="00861104" w:rsidP="005C5AA4">
      <w:pPr>
        <w:rPr>
          <w:sz w:val="21"/>
          <w:szCs w:val="21"/>
        </w:rPr>
      </w:pPr>
      <w:r w:rsidRPr="002D1B8C">
        <w:rPr>
          <w:b/>
          <w:bCs/>
          <w:sz w:val="21"/>
          <w:szCs w:val="21"/>
        </w:rPr>
        <w:t>Figure S</w:t>
      </w:r>
      <w:r>
        <w:rPr>
          <w:rFonts w:hint="eastAsia"/>
          <w:b/>
          <w:bCs/>
          <w:sz w:val="21"/>
          <w:szCs w:val="21"/>
        </w:rPr>
        <w:t>9</w:t>
      </w:r>
      <w:r w:rsidRPr="002D1B8C">
        <w:rPr>
          <w:sz w:val="21"/>
          <w:szCs w:val="21"/>
        </w:rPr>
        <w:t xml:space="preserve">. Pooled results of </w:t>
      </w:r>
      <w:r w:rsidRPr="007C4D66">
        <w:rPr>
          <w:rFonts w:hint="eastAsia"/>
          <w:sz w:val="21"/>
          <w:szCs w:val="21"/>
        </w:rPr>
        <w:t>any-grade TRAEs (A), grade 3 or higher TRAEs (B), and severe TRAEs (C)</w:t>
      </w:r>
      <w:r w:rsidRPr="002D1B8C">
        <w:rPr>
          <w:sz w:val="21"/>
          <w:szCs w:val="21"/>
        </w:rPr>
        <w:t xml:space="preserve"> </w:t>
      </w:r>
      <w:r w:rsidRPr="007C4D66">
        <w:rPr>
          <w:rFonts w:hint="eastAsia"/>
          <w:sz w:val="21"/>
          <w:szCs w:val="21"/>
        </w:rPr>
        <w:t xml:space="preserve">stratified </w:t>
      </w:r>
      <w:r w:rsidRPr="002D1B8C">
        <w:rPr>
          <w:sz w:val="21"/>
          <w:szCs w:val="21"/>
        </w:rPr>
        <w:t xml:space="preserve">by cancer types </w:t>
      </w:r>
      <w:r>
        <w:rPr>
          <w:rFonts w:hint="eastAsia"/>
          <w:sz w:val="21"/>
          <w:szCs w:val="21"/>
        </w:rPr>
        <w:t xml:space="preserve">after, </w:t>
      </w:r>
      <w:r w:rsidR="005637C7" w:rsidRPr="005637C7">
        <w:rPr>
          <w:sz w:val="21"/>
          <w:szCs w:val="21"/>
        </w:rPr>
        <w:t>excluding two studies that included both hematologic malignancies and solid tumors</w:t>
      </w:r>
      <w:r w:rsidRPr="002D1B8C">
        <w:rPr>
          <w:sz w:val="21"/>
          <w:szCs w:val="21"/>
        </w:rPr>
        <w:t>. Abbreviation: HM: Hematologic malignancies; ST: solid tumors.</w:t>
      </w:r>
      <w:r w:rsidRPr="00F74DF8">
        <w:rPr>
          <w:sz w:val="21"/>
          <w:szCs w:val="21"/>
        </w:rPr>
        <w:t xml:space="preserve"> </w:t>
      </w:r>
      <w:r w:rsidRPr="00684EB3">
        <w:rPr>
          <w:sz w:val="21"/>
          <w:szCs w:val="21"/>
        </w:rPr>
        <w:t>Weights and between-subgroup heterogeneity test are from random-effects model</w:t>
      </w:r>
      <w:r w:rsidR="005637C7">
        <w:rPr>
          <w:rFonts w:hint="eastAsia"/>
          <w:sz w:val="21"/>
          <w:szCs w:val="21"/>
        </w:rPr>
        <w:t>.</w:t>
      </w:r>
    </w:p>
    <w:sectPr w:rsidR="00861104" w:rsidRPr="005637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38C2" w14:textId="77777777" w:rsidR="00CC692B" w:rsidRDefault="00CC692B" w:rsidP="00927EC0">
      <w:pPr>
        <w:spacing w:line="240" w:lineRule="auto"/>
      </w:pPr>
      <w:r>
        <w:separator/>
      </w:r>
    </w:p>
  </w:endnote>
  <w:endnote w:type="continuationSeparator" w:id="0">
    <w:p w14:paraId="452D14DE" w14:textId="77777777" w:rsidR="00CC692B" w:rsidRDefault="00CC692B" w:rsidP="00927E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A45E8" w14:textId="77777777" w:rsidR="00CC692B" w:rsidRDefault="00CC692B" w:rsidP="00927EC0">
      <w:pPr>
        <w:spacing w:line="240" w:lineRule="auto"/>
      </w:pPr>
      <w:r>
        <w:separator/>
      </w:r>
    </w:p>
  </w:footnote>
  <w:footnote w:type="continuationSeparator" w:id="0">
    <w:p w14:paraId="41D2F361" w14:textId="77777777" w:rsidR="00CC692B" w:rsidRDefault="00CC692B" w:rsidP="00927E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B7"/>
    <w:rsid w:val="000424B2"/>
    <w:rsid w:val="000915D1"/>
    <w:rsid w:val="00106C9B"/>
    <w:rsid w:val="00124A50"/>
    <w:rsid w:val="00161B1D"/>
    <w:rsid w:val="001915EA"/>
    <w:rsid w:val="001A4E8B"/>
    <w:rsid w:val="002D1B8C"/>
    <w:rsid w:val="00375DDC"/>
    <w:rsid w:val="00450313"/>
    <w:rsid w:val="00457F73"/>
    <w:rsid w:val="005637C7"/>
    <w:rsid w:val="00566DCB"/>
    <w:rsid w:val="005C5AA4"/>
    <w:rsid w:val="00622B7E"/>
    <w:rsid w:val="006A103C"/>
    <w:rsid w:val="007A4495"/>
    <w:rsid w:val="007B6E5B"/>
    <w:rsid w:val="00861104"/>
    <w:rsid w:val="00927EC0"/>
    <w:rsid w:val="009377B3"/>
    <w:rsid w:val="00A66DB7"/>
    <w:rsid w:val="00AA2C61"/>
    <w:rsid w:val="00B41FF6"/>
    <w:rsid w:val="00CC692B"/>
    <w:rsid w:val="00CF428D"/>
    <w:rsid w:val="00D57040"/>
    <w:rsid w:val="00DB0A77"/>
    <w:rsid w:val="00DF094E"/>
    <w:rsid w:val="00EB63D5"/>
    <w:rsid w:val="00EE0893"/>
    <w:rsid w:val="00F2592F"/>
    <w:rsid w:val="00F638FF"/>
    <w:rsid w:val="00FC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2DE389"/>
  <w15:chartTrackingRefBased/>
  <w15:docId w15:val="{6508EBE6-63E1-478F-A3EF-1151982F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AA4"/>
    <w:pPr>
      <w:widowControl w:val="0"/>
      <w:spacing w:after="0" w:line="360" w:lineRule="auto"/>
      <w:jc w:val="both"/>
    </w:pPr>
    <w:rPr>
      <w:rFonts w:ascii="Times New Roman" w:eastAsia="SimSun" w:hAnsi="Times New Roman" w:cs="Times New Roman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6DB7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6DB7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6DB7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6DB7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6DB7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6DB7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B7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6DB7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6DB7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6DB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6D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6D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6DB7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6DB7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6DB7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6DB7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6DB7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6DB7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A66DB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66D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6DB7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66D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6DB7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66D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6DB7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66D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D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6D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6DB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27EC0"/>
    <w:pPr>
      <w:tabs>
        <w:tab w:val="center" w:pos="4153"/>
        <w:tab w:val="right" w:pos="8306"/>
      </w:tabs>
      <w:snapToGrid w:val="0"/>
      <w:spacing w:after="160" w:line="240" w:lineRule="auto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927EC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27EC0"/>
    <w:pPr>
      <w:tabs>
        <w:tab w:val="center" w:pos="4153"/>
        <w:tab w:val="right" w:pos="8306"/>
      </w:tabs>
      <w:snapToGrid w:val="0"/>
      <w:spacing w:after="160" w:line="240" w:lineRule="auto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927E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of2053</dc:creator>
  <cp:keywords/>
  <dc:description/>
  <cp:lastModifiedBy>Jackie T</cp:lastModifiedBy>
  <cp:revision>20</cp:revision>
  <dcterms:created xsi:type="dcterms:W3CDTF">2024-07-01T05:45:00Z</dcterms:created>
  <dcterms:modified xsi:type="dcterms:W3CDTF">2025-01-04T02:20:00Z</dcterms:modified>
</cp:coreProperties>
</file>