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DDEB" w14:textId="0881713E" w:rsidR="007F63EE" w:rsidRDefault="007F63EE" w:rsidP="007F63EE">
      <w:pPr>
        <w:pStyle w:val="Normal1"/>
        <w:rPr>
          <w:rFonts w:ascii="Times" w:hAnsi="Times"/>
          <w:b/>
          <w:bCs/>
          <w:sz w:val="24"/>
          <w:lang w:val="en-GB"/>
        </w:rPr>
      </w:pPr>
      <w:r w:rsidRPr="004C2599">
        <w:rPr>
          <w:rFonts w:ascii="Times" w:hAnsi="Times"/>
          <w:b/>
          <w:bCs/>
          <w:sz w:val="24"/>
          <w:lang w:val="en-GB"/>
        </w:rPr>
        <w:t>Table S</w:t>
      </w:r>
      <w:r w:rsidR="00DF0561">
        <w:rPr>
          <w:rFonts w:ascii="Times" w:hAnsi="Times"/>
          <w:b/>
          <w:bCs/>
          <w:sz w:val="24"/>
          <w:lang w:val="en-GB"/>
        </w:rPr>
        <w:t>3</w:t>
      </w:r>
      <w:r w:rsidRPr="004C2599">
        <w:rPr>
          <w:rFonts w:ascii="Times" w:hAnsi="Times"/>
          <w:b/>
          <w:bCs/>
          <w:sz w:val="24"/>
          <w:lang w:val="en-GB"/>
        </w:rPr>
        <w:t xml:space="preserve">: </w:t>
      </w:r>
    </w:p>
    <w:p w14:paraId="40044588" w14:textId="77777777" w:rsidR="007F63EE" w:rsidRDefault="007F63EE" w:rsidP="007F63EE">
      <w:pPr>
        <w:pStyle w:val="Normal1"/>
        <w:rPr>
          <w:rFonts w:ascii="Times" w:hAnsi="Times"/>
          <w:b/>
          <w:bCs/>
          <w:sz w:val="24"/>
          <w:lang w:val="en-GB"/>
        </w:rPr>
      </w:pPr>
      <w:r w:rsidRPr="004C2599">
        <w:rPr>
          <w:rFonts w:ascii="Times" w:hAnsi="Times"/>
          <w:b/>
          <w:bCs/>
          <w:sz w:val="24"/>
          <w:lang w:val="en-GB"/>
        </w:rPr>
        <w:t>Variables and fuzzification parameters used</w:t>
      </w:r>
      <w:r>
        <w:rPr>
          <w:rFonts w:ascii="Times" w:hAnsi="Times"/>
          <w:b/>
          <w:bCs/>
          <w:sz w:val="24"/>
          <w:lang w:val="en-GB"/>
        </w:rPr>
        <w:t xml:space="preserve"> in habitat suitability modelling</w:t>
      </w:r>
      <w:r w:rsidRPr="004C2599">
        <w:rPr>
          <w:rFonts w:ascii="Times" w:hAnsi="Times"/>
          <w:b/>
          <w:bCs/>
          <w:sz w:val="24"/>
          <w:lang w:val="en-GB"/>
        </w:rPr>
        <w:t>.</w:t>
      </w:r>
    </w:p>
    <w:p w14:paraId="7EEC3EFB" w14:textId="675E0F3B" w:rsidR="007F63EE" w:rsidRPr="004C2599" w:rsidRDefault="007F63EE" w:rsidP="007F63EE">
      <w:pPr>
        <w:pStyle w:val="Normal1"/>
        <w:rPr>
          <w:rFonts w:ascii="Times" w:hAnsi="Times"/>
          <w:sz w:val="24"/>
          <w:lang w:val="en-GB"/>
        </w:rPr>
      </w:pPr>
      <w:r w:rsidRPr="004C2599">
        <w:rPr>
          <w:rFonts w:ascii="Times" w:hAnsi="Times"/>
          <w:sz w:val="24"/>
          <w:lang w:val="en-GB"/>
        </w:rPr>
        <w:t>These were selected based on a literature review and guidance from experts consult</w:t>
      </w:r>
      <w:r>
        <w:rPr>
          <w:rFonts w:ascii="Times" w:hAnsi="Times"/>
          <w:sz w:val="24"/>
          <w:lang w:val="en-GB"/>
        </w:rPr>
        <w:t xml:space="preserve">ing on variables likely to impact </w:t>
      </w:r>
      <w:r w:rsidR="00253412">
        <w:rPr>
          <w:rFonts w:ascii="Times" w:hAnsi="Times"/>
          <w:sz w:val="24"/>
          <w:lang w:val="en-GB"/>
        </w:rPr>
        <w:t>Asian</w:t>
      </w:r>
      <w:r>
        <w:rPr>
          <w:rFonts w:ascii="Times" w:hAnsi="Times"/>
          <w:sz w:val="24"/>
          <w:lang w:val="en-GB"/>
        </w:rPr>
        <w:t xml:space="preserve"> elephant habitat</w:t>
      </w:r>
      <w:r w:rsidR="00F32D54">
        <w:rPr>
          <w:rFonts w:ascii="Times" w:hAnsi="Times"/>
          <w:sz w:val="24"/>
          <w:lang w:val="en-GB"/>
        </w:rPr>
        <w:t>.</w:t>
      </w:r>
      <w:r w:rsidR="00262A64">
        <w:rPr>
          <w:rFonts w:ascii="Times" w:hAnsi="Times"/>
          <w:sz w:val="24"/>
          <w:lang w:val="en-GB"/>
        </w:rPr>
        <w:t xml:space="preserve"> An updated forest cover layer was created by reclassifying deforestation events from 2011-2020 as deforested in the 2010 canopy cover dataset</w:t>
      </w:r>
      <w:r w:rsidR="00311A29">
        <w:rPr>
          <w:rStyle w:val="FootnoteReference"/>
          <w:rFonts w:ascii="Times" w:hAnsi="Times"/>
          <w:sz w:val="24"/>
          <w:lang w:val="en-GB"/>
        </w:rPr>
        <w:footnoteReference w:id="1"/>
      </w:r>
      <w:r w:rsidR="00311A29">
        <w:rPr>
          <w:rFonts w:ascii="Times" w:hAnsi="Times"/>
          <w:sz w:val="24"/>
          <w:lang w:val="en-GB"/>
        </w:rPr>
        <w:t xml:space="preserve">. </w:t>
      </w:r>
      <w:r w:rsidR="00262A64">
        <w:rPr>
          <w:rFonts w:ascii="Times" w:hAnsi="Times"/>
          <w:sz w:val="24"/>
          <w:lang w:val="en-GB"/>
        </w:rPr>
        <w:t>Deforestation hot spots were identified by aggregating forest lost</w:t>
      </w:r>
      <w:r w:rsidR="00547E50">
        <w:rPr>
          <w:rFonts w:ascii="Times" w:hAnsi="Times"/>
          <w:sz w:val="24"/>
          <w:vertAlign w:val="superscript"/>
          <w:lang w:val="en-GB"/>
        </w:rPr>
        <w:t>1</w:t>
      </w:r>
      <w:r w:rsidR="00262A64">
        <w:rPr>
          <w:rFonts w:ascii="Times" w:hAnsi="Times"/>
          <w:sz w:val="24"/>
          <w:lang w:val="en-GB"/>
        </w:rPr>
        <w:t xml:space="preserve"> in 1km</w:t>
      </w:r>
      <w:r w:rsidR="00262A64" w:rsidRPr="00A23183">
        <w:rPr>
          <w:rFonts w:ascii="Times" w:hAnsi="Times"/>
          <w:sz w:val="24"/>
          <w:vertAlign w:val="superscript"/>
          <w:lang w:val="en-GB"/>
        </w:rPr>
        <w:t>2</w:t>
      </w:r>
      <w:r w:rsidR="00262A64">
        <w:rPr>
          <w:rFonts w:ascii="Times" w:hAnsi="Times"/>
          <w:sz w:val="24"/>
          <w:lang w:val="en-GB"/>
        </w:rPr>
        <w:t xml:space="preserve"> grid events</w:t>
      </w:r>
      <w:r w:rsidR="00311A29">
        <w:rPr>
          <w:rFonts w:ascii="Times" w:hAnsi="Times"/>
          <w:sz w:val="24"/>
          <w:lang w:val="en-GB"/>
        </w:rPr>
        <w:t xml:space="preserve">, </w:t>
      </w:r>
      <w:r w:rsidR="00262A64">
        <w:rPr>
          <w:rFonts w:ascii="Times" w:hAnsi="Times"/>
          <w:sz w:val="24"/>
          <w:lang w:val="en-GB"/>
        </w:rPr>
        <w:t xml:space="preserve">using the create </w:t>
      </w:r>
      <w:r w:rsidR="00547E50">
        <w:rPr>
          <w:rFonts w:ascii="Times" w:hAnsi="Times"/>
          <w:sz w:val="24"/>
          <w:lang w:val="en-GB"/>
        </w:rPr>
        <w:t>space-time</w:t>
      </w:r>
      <w:r w:rsidR="00262A64">
        <w:rPr>
          <w:rFonts w:ascii="Times" w:hAnsi="Times"/>
          <w:sz w:val="24"/>
          <w:lang w:val="en-GB"/>
        </w:rPr>
        <w:t xml:space="preserve"> cube and emerging hot spots tool in ArcGIS Pro 2.8 </w:t>
      </w:r>
      <w:r w:rsidR="00262A64" w:rsidRPr="00A42627">
        <w:rPr>
          <w:rFonts w:ascii="Times" w:hAnsi="Times"/>
          <w:sz w:val="24"/>
          <w:lang w:val="en-GB"/>
        </w:rPr>
        <w:t xml:space="preserve">to evaluate </w:t>
      </w:r>
      <w:proofErr w:type="spellStart"/>
      <w:r w:rsidR="00547E50">
        <w:rPr>
          <w:rFonts w:ascii="Times" w:hAnsi="Times"/>
          <w:sz w:val="24"/>
          <w:lang w:val="en-GB"/>
        </w:rPr>
        <w:t>spatio</w:t>
      </w:r>
      <w:proofErr w:type="spellEnd"/>
      <w:r w:rsidR="00547E50">
        <w:rPr>
          <w:rFonts w:ascii="Times" w:hAnsi="Times"/>
          <w:sz w:val="24"/>
          <w:lang w:val="en-GB"/>
        </w:rPr>
        <w:t>-temporal</w:t>
      </w:r>
      <w:r w:rsidR="00262A64" w:rsidRPr="00A42627">
        <w:rPr>
          <w:rFonts w:ascii="Times" w:hAnsi="Times"/>
          <w:sz w:val="24"/>
          <w:lang w:val="en-GB"/>
        </w:rPr>
        <w:t xml:space="preserve"> trends</w:t>
      </w:r>
      <w:r w:rsidR="00262A64">
        <w:rPr>
          <w:rFonts w:ascii="Times" w:hAnsi="Times"/>
          <w:sz w:val="24"/>
          <w:lang w:val="en-GB"/>
        </w:rPr>
        <w:t>. The analysis</w:t>
      </w:r>
      <w:r w:rsidR="00262A64" w:rsidRPr="00A42627">
        <w:rPr>
          <w:rFonts w:ascii="Times" w:hAnsi="Times"/>
          <w:sz w:val="24"/>
          <w:lang w:val="en-GB"/>
        </w:rPr>
        <w:t xml:space="preserve"> was run for historical deforestation (2001 to 2015) and deforestation inclusive of recent events (2001 to 2020).</w:t>
      </w:r>
      <w:r w:rsidR="00262A64">
        <w:rPr>
          <w:rFonts w:ascii="Times" w:hAnsi="Times"/>
          <w:sz w:val="24"/>
          <w:lang w:val="en-GB"/>
        </w:rPr>
        <w:t xml:space="preserve"> Euclidean distance was applied to recent and historic deforestation </w:t>
      </w:r>
      <w:r w:rsidR="00195B60">
        <w:rPr>
          <w:rFonts w:ascii="Times" w:hAnsi="Times"/>
          <w:sz w:val="24"/>
          <w:lang w:val="en-GB"/>
        </w:rPr>
        <w:t>hotspots</w:t>
      </w:r>
      <w:r w:rsidR="00262A64">
        <w:rPr>
          <w:rFonts w:ascii="Times" w:hAnsi="Times"/>
          <w:sz w:val="24"/>
          <w:lang w:val="en-GB"/>
        </w:rPr>
        <w:t>, defined as n</w:t>
      </w:r>
      <w:r w:rsidR="00262A64" w:rsidRPr="00A42627">
        <w:rPr>
          <w:rFonts w:ascii="Times" w:hAnsi="Times"/>
          <w:sz w:val="24"/>
          <w:lang w:val="en-GB"/>
        </w:rPr>
        <w:t>ew, consecutive, intensifying and persistent hot spots</w:t>
      </w:r>
      <w:r w:rsidR="00262A64">
        <w:rPr>
          <w:rFonts w:ascii="Times" w:hAnsi="Times"/>
          <w:sz w:val="24"/>
          <w:lang w:val="en-GB"/>
        </w:rPr>
        <w:t xml:space="preserve">, village and river datasets. The deforestation, village and road density variables were used to represent anthropogenic disturbance in the PLEL. </w:t>
      </w:r>
      <w:r w:rsidR="00106203">
        <w:rPr>
          <w:rFonts w:ascii="Times" w:hAnsi="Times"/>
          <w:sz w:val="24"/>
          <w:lang w:val="en-GB"/>
        </w:rPr>
        <w:t>Fuzzification transformations were applied to variables for the weighted fuzzy model</w:t>
      </w:r>
      <w:r w:rsidR="0092034A">
        <w:rPr>
          <w:rFonts w:ascii="Times" w:hAnsi="Times"/>
          <w:sz w:val="24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157"/>
        <w:gridCol w:w="1843"/>
        <w:gridCol w:w="2069"/>
        <w:gridCol w:w="1801"/>
      </w:tblGrid>
      <w:tr w:rsidR="00B46D74" w:rsidRPr="00A42627" w14:paraId="2C86DD2B" w14:textId="77777777" w:rsidTr="00FD1BFE">
        <w:tc>
          <w:tcPr>
            <w:tcW w:w="1524" w:type="dxa"/>
            <w:shd w:val="clear" w:color="auto" w:fill="auto"/>
          </w:tcPr>
          <w:p w14:paraId="48391573" w14:textId="0A035237" w:rsidR="00B46D74" w:rsidRPr="00DD7051" w:rsidRDefault="00B46D74" w:rsidP="0043049E">
            <w:pPr>
              <w:pStyle w:val="Normal1"/>
              <w:rPr>
                <w:rFonts w:ascii="Times" w:hAnsi="Times"/>
                <w:b/>
                <w:bCs/>
                <w:sz w:val="24"/>
                <w:lang w:val="en-GB"/>
              </w:rPr>
            </w:pPr>
            <w:r w:rsidRPr="0043049E">
              <w:rPr>
                <w:rFonts w:ascii="Times" w:hAnsi="Times"/>
                <w:b/>
                <w:bCs/>
                <w:sz w:val="24"/>
                <w:lang w:val="en-GB"/>
              </w:rPr>
              <w:t>1.</w:t>
            </w:r>
            <w:r>
              <w:rPr>
                <w:rFonts w:ascii="Times" w:hAnsi="Times"/>
                <w:b/>
                <w:bCs/>
                <w:sz w:val="24"/>
                <w:lang w:val="en-GB"/>
              </w:rPr>
              <w:t xml:space="preserve"> </w:t>
            </w:r>
            <w:r w:rsidRPr="00DD7051">
              <w:rPr>
                <w:rFonts w:ascii="Times" w:hAnsi="Times"/>
                <w:b/>
                <w:bCs/>
                <w:sz w:val="24"/>
                <w:lang w:val="en-GB"/>
              </w:rPr>
              <w:t>Variable</w:t>
            </w:r>
          </w:p>
        </w:tc>
        <w:tc>
          <w:tcPr>
            <w:tcW w:w="2157" w:type="dxa"/>
            <w:shd w:val="clear" w:color="auto" w:fill="auto"/>
          </w:tcPr>
          <w:p w14:paraId="50F8B6C4" w14:textId="53CBE18D" w:rsidR="00B46D74" w:rsidRPr="00DD7051" w:rsidRDefault="00B46D74" w:rsidP="005463B8">
            <w:pPr>
              <w:pStyle w:val="Normal1"/>
              <w:rPr>
                <w:rFonts w:ascii="Times" w:hAnsi="Times"/>
                <w:b/>
                <w:bCs/>
                <w:sz w:val="24"/>
                <w:lang w:val="en-GB"/>
              </w:rPr>
            </w:pPr>
            <w:r>
              <w:rPr>
                <w:rFonts w:ascii="Times" w:hAnsi="Times"/>
                <w:b/>
                <w:bCs/>
                <w:sz w:val="24"/>
                <w:lang w:val="en-GB"/>
              </w:rPr>
              <w:t xml:space="preserve">2. </w:t>
            </w:r>
            <w:r w:rsidRPr="00DD7051">
              <w:rPr>
                <w:rFonts w:ascii="Times" w:hAnsi="Times"/>
                <w:b/>
                <w:bCs/>
                <w:sz w:val="24"/>
                <w:lang w:val="en-GB"/>
              </w:rPr>
              <w:t>Habitat Relationship</w:t>
            </w:r>
          </w:p>
        </w:tc>
        <w:tc>
          <w:tcPr>
            <w:tcW w:w="1843" w:type="dxa"/>
            <w:shd w:val="clear" w:color="auto" w:fill="auto"/>
          </w:tcPr>
          <w:p w14:paraId="70885CCF" w14:textId="5F10608A" w:rsidR="00B46D74" w:rsidRPr="00DD7051" w:rsidRDefault="00B46D74" w:rsidP="005463B8">
            <w:pPr>
              <w:pStyle w:val="Normal1"/>
              <w:rPr>
                <w:rFonts w:ascii="Times" w:hAnsi="Times"/>
                <w:b/>
                <w:bCs/>
                <w:sz w:val="24"/>
                <w:lang w:val="en-GB"/>
              </w:rPr>
            </w:pPr>
            <w:r>
              <w:rPr>
                <w:rFonts w:ascii="Times" w:hAnsi="Times"/>
                <w:b/>
                <w:bCs/>
                <w:sz w:val="24"/>
                <w:lang w:val="en-GB"/>
              </w:rPr>
              <w:t xml:space="preserve">3. </w:t>
            </w:r>
            <w:r w:rsidRPr="00DD7051">
              <w:rPr>
                <w:rFonts w:ascii="Times" w:hAnsi="Times"/>
                <w:b/>
                <w:bCs/>
                <w:sz w:val="24"/>
                <w:lang w:val="en-GB"/>
              </w:rPr>
              <w:t>Fuzzification</w:t>
            </w:r>
          </w:p>
        </w:tc>
        <w:tc>
          <w:tcPr>
            <w:tcW w:w="2069" w:type="dxa"/>
          </w:tcPr>
          <w:p w14:paraId="32666D4E" w14:textId="12F0D635" w:rsidR="00B46D74" w:rsidRPr="00DD7051" w:rsidRDefault="00626217" w:rsidP="005463B8">
            <w:pPr>
              <w:pStyle w:val="Normal1"/>
              <w:rPr>
                <w:rFonts w:ascii="Times" w:hAnsi="Times"/>
                <w:b/>
                <w:bCs/>
                <w:sz w:val="24"/>
                <w:lang w:val="en-GB"/>
              </w:rPr>
            </w:pPr>
            <w:r>
              <w:rPr>
                <w:rFonts w:ascii="Times" w:hAnsi="Times"/>
                <w:b/>
                <w:bCs/>
                <w:sz w:val="24"/>
                <w:lang w:val="en-GB"/>
              </w:rPr>
              <w:t>4. Variable Weighting</w:t>
            </w:r>
          </w:p>
        </w:tc>
        <w:tc>
          <w:tcPr>
            <w:tcW w:w="1801" w:type="dxa"/>
            <w:shd w:val="clear" w:color="auto" w:fill="auto"/>
          </w:tcPr>
          <w:p w14:paraId="3A5D68B6" w14:textId="0A8BDB3D" w:rsidR="00B46D74" w:rsidRPr="00DD7051" w:rsidRDefault="00B46D74" w:rsidP="005463B8">
            <w:pPr>
              <w:pStyle w:val="Normal1"/>
              <w:rPr>
                <w:rFonts w:ascii="Times" w:hAnsi="Times"/>
                <w:b/>
                <w:bCs/>
                <w:sz w:val="24"/>
                <w:lang w:val="en-GB"/>
              </w:rPr>
            </w:pPr>
            <w:r w:rsidRPr="00DD7051">
              <w:rPr>
                <w:rFonts w:ascii="Times" w:hAnsi="Times"/>
                <w:b/>
                <w:bCs/>
                <w:sz w:val="24"/>
                <w:lang w:val="en-GB"/>
              </w:rPr>
              <w:t>Data Source</w:t>
            </w:r>
          </w:p>
        </w:tc>
      </w:tr>
      <w:tr w:rsidR="00B46D74" w:rsidRPr="00A42627" w14:paraId="0AFD9B2F" w14:textId="77777777" w:rsidTr="00FD1BFE">
        <w:tc>
          <w:tcPr>
            <w:tcW w:w="1524" w:type="dxa"/>
            <w:shd w:val="clear" w:color="auto" w:fill="auto"/>
          </w:tcPr>
          <w:p w14:paraId="2413A915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Landcover</w:t>
            </w:r>
          </w:p>
        </w:tc>
        <w:tc>
          <w:tcPr>
            <w:tcW w:w="2157" w:type="dxa"/>
            <w:shd w:val="clear" w:color="auto" w:fill="auto"/>
          </w:tcPr>
          <w:p w14:paraId="214A4A52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Evergreen forest, mixed forest, forest</w:t>
            </w:r>
          </w:p>
        </w:tc>
        <w:tc>
          <w:tcPr>
            <w:tcW w:w="1843" w:type="dxa"/>
            <w:shd w:val="clear" w:color="auto" w:fill="auto"/>
          </w:tcPr>
          <w:p w14:paraId="3A11EE67" w14:textId="72F6D401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Reclassify</w:t>
            </w:r>
          </w:p>
        </w:tc>
        <w:tc>
          <w:tcPr>
            <w:tcW w:w="2069" w:type="dxa"/>
          </w:tcPr>
          <w:p w14:paraId="6B01BCF1" w14:textId="0A43CD7F" w:rsidR="00B46D74" w:rsidRPr="00DD7051" w:rsidRDefault="00DC578A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15%</w:t>
            </w:r>
          </w:p>
        </w:tc>
        <w:tc>
          <w:tcPr>
            <w:tcW w:w="1801" w:type="dxa"/>
            <w:shd w:val="clear" w:color="auto" w:fill="auto"/>
          </w:tcPr>
          <w:p w14:paraId="5CF3AB40" w14:textId="1AF603F0" w:rsidR="00B46D74" w:rsidRPr="00547E50" w:rsidRDefault="00B46D74" w:rsidP="005463B8">
            <w:pPr>
              <w:pStyle w:val="Normal1"/>
              <w:rPr>
                <w:rFonts w:ascii="Times" w:hAnsi="Times"/>
                <w:sz w:val="24"/>
                <w:vertAlign w:val="superscript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Global Forest Watch</w:t>
            </w:r>
            <w:r w:rsidRPr="00547E50">
              <w:rPr>
                <w:rFonts w:ascii="Times" w:hAnsi="Times" w:cs="Times"/>
                <w:sz w:val="24"/>
                <w:vertAlign w:val="superscript"/>
              </w:rPr>
              <w:t>1</w:t>
            </w:r>
          </w:p>
        </w:tc>
      </w:tr>
      <w:tr w:rsidR="00B46D74" w:rsidRPr="00A42627" w14:paraId="61ABEC73" w14:textId="77777777" w:rsidTr="00FD1BFE">
        <w:tc>
          <w:tcPr>
            <w:tcW w:w="1524" w:type="dxa"/>
            <w:shd w:val="clear" w:color="auto" w:fill="auto"/>
          </w:tcPr>
          <w:p w14:paraId="3E3700E3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Rivers</w:t>
            </w:r>
          </w:p>
        </w:tc>
        <w:tc>
          <w:tcPr>
            <w:tcW w:w="2157" w:type="dxa"/>
            <w:shd w:val="clear" w:color="auto" w:fill="auto"/>
          </w:tcPr>
          <w:p w14:paraId="5F29E1C0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Habitat suitability increasing with proximity to water</w:t>
            </w:r>
          </w:p>
        </w:tc>
        <w:tc>
          <w:tcPr>
            <w:tcW w:w="1843" w:type="dxa"/>
            <w:shd w:val="clear" w:color="auto" w:fill="auto"/>
          </w:tcPr>
          <w:p w14:paraId="64C6620F" w14:textId="22C07162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Negative Linear</w:t>
            </w:r>
          </w:p>
        </w:tc>
        <w:tc>
          <w:tcPr>
            <w:tcW w:w="2069" w:type="dxa"/>
          </w:tcPr>
          <w:p w14:paraId="78A03A21" w14:textId="73D1DF24" w:rsidR="00B46D74" w:rsidRPr="00DD7051" w:rsidRDefault="00C15F6A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20%</w:t>
            </w:r>
          </w:p>
        </w:tc>
        <w:tc>
          <w:tcPr>
            <w:tcW w:w="1801" w:type="dxa"/>
            <w:shd w:val="clear" w:color="auto" w:fill="auto"/>
          </w:tcPr>
          <w:p w14:paraId="29ACB517" w14:textId="13DBF705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FAO</w:t>
            </w:r>
            <w:r>
              <w:rPr>
                <w:rStyle w:val="FootnoteReference"/>
                <w:rFonts w:ascii="Times" w:hAnsi="Times"/>
                <w:sz w:val="24"/>
                <w:lang w:val="en-GB"/>
              </w:rPr>
              <w:footnoteReference w:id="2"/>
            </w:r>
          </w:p>
        </w:tc>
      </w:tr>
      <w:tr w:rsidR="00B46D74" w:rsidRPr="00A42627" w14:paraId="36C0AE2E" w14:textId="77777777" w:rsidTr="00FD1BFE">
        <w:tc>
          <w:tcPr>
            <w:tcW w:w="1524" w:type="dxa"/>
            <w:shd w:val="clear" w:color="auto" w:fill="auto"/>
          </w:tcPr>
          <w:p w14:paraId="1B9AE15B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Roads</w:t>
            </w:r>
          </w:p>
        </w:tc>
        <w:tc>
          <w:tcPr>
            <w:tcW w:w="2157" w:type="dxa"/>
            <w:shd w:val="clear" w:color="auto" w:fill="auto"/>
          </w:tcPr>
          <w:p w14:paraId="1FC410EA" w14:textId="1259E77C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 xml:space="preserve">Prefer </w:t>
            </w:r>
            <w:r w:rsidR="00C15F6A">
              <w:rPr>
                <w:rFonts w:ascii="Times" w:hAnsi="Times"/>
                <w:sz w:val="24"/>
                <w:lang w:val="en-GB"/>
              </w:rPr>
              <w:t>sparse density</w:t>
            </w:r>
          </w:p>
        </w:tc>
        <w:tc>
          <w:tcPr>
            <w:tcW w:w="1843" w:type="dxa"/>
            <w:shd w:val="clear" w:color="auto" w:fill="auto"/>
          </w:tcPr>
          <w:p w14:paraId="3FC9A4F8" w14:textId="59F46396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Linear</w:t>
            </w:r>
          </w:p>
        </w:tc>
        <w:tc>
          <w:tcPr>
            <w:tcW w:w="2069" w:type="dxa"/>
          </w:tcPr>
          <w:p w14:paraId="1BDF333B" w14:textId="147C9CEE" w:rsidR="00B46D74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8%</w:t>
            </w:r>
          </w:p>
        </w:tc>
        <w:tc>
          <w:tcPr>
            <w:tcW w:w="1801" w:type="dxa"/>
            <w:shd w:val="clear" w:color="auto" w:fill="auto"/>
          </w:tcPr>
          <w:p w14:paraId="35CA8E45" w14:textId="0A633B1B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Open Street Map</w:t>
            </w:r>
            <w:r>
              <w:rPr>
                <w:rStyle w:val="FootnoteReference"/>
                <w:rFonts w:ascii="Times" w:hAnsi="Times"/>
                <w:sz w:val="24"/>
                <w:lang w:val="en-GB"/>
              </w:rPr>
              <w:footnoteReference w:id="3"/>
            </w:r>
          </w:p>
        </w:tc>
      </w:tr>
      <w:tr w:rsidR="00B46D74" w:rsidRPr="00A42627" w14:paraId="65C9FA66" w14:textId="77777777" w:rsidTr="00FD1BFE">
        <w:tc>
          <w:tcPr>
            <w:tcW w:w="1524" w:type="dxa"/>
            <w:shd w:val="clear" w:color="auto" w:fill="auto"/>
          </w:tcPr>
          <w:p w14:paraId="18E6EEA2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Settlements</w:t>
            </w:r>
          </w:p>
        </w:tc>
        <w:tc>
          <w:tcPr>
            <w:tcW w:w="2157" w:type="dxa"/>
            <w:shd w:val="clear" w:color="auto" w:fill="auto"/>
          </w:tcPr>
          <w:p w14:paraId="6E5D811C" w14:textId="77777777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Prefer greater distance</w:t>
            </w:r>
          </w:p>
        </w:tc>
        <w:tc>
          <w:tcPr>
            <w:tcW w:w="1843" w:type="dxa"/>
            <w:shd w:val="clear" w:color="auto" w:fill="auto"/>
          </w:tcPr>
          <w:p w14:paraId="142EFB39" w14:textId="729559D3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Linear</w:t>
            </w:r>
          </w:p>
        </w:tc>
        <w:tc>
          <w:tcPr>
            <w:tcW w:w="2069" w:type="dxa"/>
          </w:tcPr>
          <w:p w14:paraId="283FFDA7" w14:textId="353DD962" w:rsidR="00B46D74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22%</w:t>
            </w:r>
          </w:p>
        </w:tc>
        <w:tc>
          <w:tcPr>
            <w:tcW w:w="1801" w:type="dxa"/>
            <w:shd w:val="clear" w:color="auto" w:fill="auto"/>
          </w:tcPr>
          <w:p w14:paraId="69686A7C" w14:textId="2989D869" w:rsidR="00B46D74" w:rsidRPr="00DD7051" w:rsidRDefault="00B46D74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Open Street Map</w:t>
            </w:r>
          </w:p>
        </w:tc>
      </w:tr>
      <w:tr w:rsidR="001C457D" w:rsidRPr="00A42627" w14:paraId="0A5FB8BA" w14:textId="77777777" w:rsidTr="00FD1BFE">
        <w:trPr>
          <w:trHeight w:val="530"/>
        </w:trPr>
        <w:tc>
          <w:tcPr>
            <w:tcW w:w="1524" w:type="dxa"/>
            <w:vMerge w:val="restart"/>
            <w:shd w:val="clear" w:color="auto" w:fill="auto"/>
          </w:tcPr>
          <w:p w14:paraId="497E5208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Deforestation Hot Spots</w:t>
            </w:r>
          </w:p>
        </w:tc>
        <w:tc>
          <w:tcPr>
            <w:tcW w:w="2157" w:type="dxa"/>
            <w:vMerge w:val="restart"/>
            <w:shd w:val="clear" w:color="auto" w:fill="auto"/>
          </w:tcPr>
          <w:p w14:paraId="0E1DC644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Avoidance of anthropogenic disturbance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4BCB83" w14:textId="78E4A5FB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Linear</w:t>
            </w:r>
          </w:p>
        </w:tc>
        <w:tc>
          <w:tcPr>
            <w:tcW w:w="2069" w:type="dxa"/>
          </w:tcPr>
          <w:p w14:paraId="7AC8B6FD" w14:textId="63BEA3F8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Historic (2001 – 201</w:t>
            </w:r>
            <w:r w:rsidR="00684DDB">
              <w:rPr>
                <w:rFonts w:ascii="Times" w:hAnsi="Times"/>
                <w:sz w:val="24"/>
                <w:lang w:val="en-GB"/>
              </w:rPr>
              <w:t>5</w:t>
            </w:r>
            <w:r>
              <w:rPr>
                <w:rFonts w:ascii="Times" w:hAnsi="Times"/>
                <w:sz w:val="24"/>
                <w:lang w:val="en-GB"/>
              </w:rPr>
              <w:t xml:space="preserve">): </w:t>
            </w:r>
            <w:r w:rsidR="00684DDB">
              <w:rPr>
                <w:rFonts w:ascii="Times" w:hAnsi="Times"/>
                <w:sz w:val="24"/>
                <w:lang w:val="en-GB"/>
              </w:rPr>
              <w:t>25%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21CB2BE5" w14:textId="32121552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 w:rsidRPr="00DD7051">
              <w:rPr>
                <w:rFonts w:ascii="Times" w:hAnsi="Times"/>
                <w:sz w:val="24"/>
                <w:lang w:val="en-GB"/>
              </w:rPr>
              <w:t>Global Forest Watch</w:t>
            </w:r>
            <w:r>
              <w:rPr>
                <w:rStyle w:val="FootnoteReference"/>
              </w:rPr>
              <w:t>2</w:t>
            </w:r>
          </w:p>
        </w:tc>
      </w:tr>
      <w:tr w:rsidR="001C457D" w:rsidRPr="00A42627" w14:paraId="5BBE5B59" w14:textId="77777777" w:rsidTr="00FD1BFE">
        <w:trPr>
          <w:trHeight w:val="530"/>
        </w:trPr>
        <w:tc>
          <w:tcPr>
            <w:tcW w:w="1524" w:type="dxa"/>
            <w:vMerge/>
            <w:shd w:val="clear" w:color="auto" w:fill="auto"/>
          </w:tcPr>
          <w:p w14:paraId="735D2E44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8C4CB41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B673D4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</w:p>
        </w:tc>
        <w:tc>
          <w:tcPr>
            <w:tcW w:w="2069" w:type="dxa"/>
          </w:tcPr>
          <w:p w14:paraId="42863F1E" w14:textId="0A6D88C7" w:rsidR="001C457D" w:rsidRPr="00DD7051" w:rsidRDefault="00684DDB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  <w:r>
              <w:rPr>
                <w:rFonts w:ascii="Times" w:hAnsi="Times"/>
                <w:sz w:val="24"/>
                <w:lang w:val="en-GB"/>
              </w:rPr>
              <w:t>Recent (2001 – 2020):</w:t>
            </w:r>
            <w:r w:rsidR="00FD1BFE">
              <w:rPr>
                <w:rFonts w:ascii="Times" w:hAnsi="Times"/>
                <w:sz w:val="24"/>
                <w:lang w:val="en-GB"/>
              </w:rPr>
              <w:t xml:space="preserve"> 10%</w:t>
            </w:r>
          </w:p>
        </w:tc>
        <w:tc>
          <w:tcPr>
            <w:tcW w:w="1801" w:type="dxa"/>
            <w:vMerge/>
            <w:shd w:val="clear" w:color="auto" w:fill="auto"/>
          </w:tcPr>
          <w:p w14:paraId="33303718" w14:textId="77777777" w:rsidR="001C457D" w:rsidRPr="00DD7051" w:rsidRDefault="001C457D" w:rsidP="005463B8">
            <w:pPr>
              <w:pStyle w:val="Normal1"/>
              <w:rPr>
                <w:rFonts w:ascii="Times" w:hAnsi="Times"/>
                <w:sz w:val="24"/>
                <w:lang w:val="en-GB"/>
              </w:rPr>
            </w:pPr>
          </w:p>
        </w:tc>
      </w:tr>
    </w:tbl>
    <w:p w14:paraId="43AAEBAC" w14:textId="77777777" w:rsidR="00BB6DDE" w:rsidRDefault="00BB6DDE" w:rsidP="00253412"/>
    <w:sectPr w:rsidR="00BB6DDE" w:rsidSect="007F63EE">
      <w:footnotePr>
        <w:pos w:val="beneathText"/>
      </w:footnotePr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0725" w14:textId="77777777" w:rsidR="007F63EE" w:rsidRDefault="007F63EE" w:rsidP="007F63EE">
      <w:pPr>
        <w:spacing w:line="240" w:lineRule="auto"/>
      </w:pPr>
      <w:r>
        <w:separator/>
      </w:r>
    </w:p>
  </w:endnote>
  <w:endnote w:type="continuationSeparator" w:id="0">
    <w:p w14:paraId="00643393" w14:textId="77777777" w:rsidR="007F63EE" w:rsidRDefault="007F63EE" w:rsidP="007F6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8658" w14:textId="77777777" w:rsidR="007F63EE" w:rsidRDefault="007F63EE" w:rsidP="007F63EE">
      <w:pPr>
        <w:spacing w:line="240" w:lineRule="auto"/>
      </w:pPr>
      <w:r>
        <w:separator/>
      </w:r>
    </w:p>
  </w:footnote>
  <w:footnote w:type="continuationSeparator" w:id="0">
    <w:p w14:paraId="4D4047BB" w14:textId="77777777" w:rsidR="007F63EE" w:rsidRDefault="007F63EE" w:rsidP="007F63EE">
      <w:pPr>
        <w:spacing w:line="240" w:lineRule="auto"/>
      </w:pPr>
      <w:r>
        <w:continuationSeparator/>
      </w:r>
    </w:p>
  </w:footnote>
  <w:footnote w:id="1">
    <w:p w14:paraId="5ECC4B1E" w14:textId="0CE57454" w:rsidR="00311A29" w:rsidRPr="00311A29" w:rsidRDefault="00311A2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53412">
        <w:rPr>
          <w:rFonts w:ascii="Times" w:hAnsi="Times" w:cs="Times"/>
        </w:rPr>
        <w:t xml:space="preserve">Hansen, M. C., P. V. </w:t>
      </w:r>
      <w:proofErr w:type="spellStart"/>
      <w:r w:rsidRPr="00253412">
        <w:rPr>
          <w:rFonts w:ascii="Times" w:hAnsi="Times" w:cs="Times"/>
        </w:rPr>
        <w:t>Potapov</w:t>
      </w:r>
      <w:proofErr w:type="spellEnd"/>
      <w:r w:rsidRPr="00253412">
        <w:rPr>
          <w:rFonts w:ascii="Times" w:hAnsi="Times" w:cs="Times"/>
        </w:rPr>
        <w:t xml:space="preserve">, R. Moore, M. </w:t>
      </w:r>
      <w:proofErr w:type="spellStart"/>
      <w:r w:rsidRPr="00253412">
        <w:rPr>
          <w:rFonts w:ascii="Times" w:hAnsi="Times" w:cs="Times"/>
        </w:rPr>
        <w:t>Hancher</w:t>
      </w:r>
      <w:proofErr w:type="spellEnd"/>
      <w:r w:rsidRPr="00253412">
        <w:rPr>
          <w:rFonts w:ascii="Times" w:hAnsi="Times" w:cs="Times"/>
        </w:rPr>
        <w:t xml:space="preserve">, S. A. </w:t>
      </w:r>
      <w:proofErr w:type="spellStart"/>
      <w:r w:rsidRPr="00253412">
        <w:rPr>
          <w:rFonts w:ascii="Times" w:hAnsi="Times" w:cs="Times"/>
        </w:rPr>
        <w:t>Turubanova</w:t>
      </w:r>
      <w:proofErr w:type="spellEnd"/>
      <w:r w:rsidRPr="00253412">
        <w:rPr>
          <w:rFonts w:ascii="Times" w:hAnsi="Times" w:cs="Times"/>
        </w:rPr>
        <w:t xml:space="preserve">, A. </w:t>
      </w:r>
      <w:proofErr w:type="spellStart"/>
      <w:r w:rsidRPr="00253412">
        <w:rPr>
          <w:rFonts w:ascii="Times" w:hAnsi="Times" w:cs="Times"/>
        </w:rPr>
        <w:t>Tyukavina</w:t>
      </w:r>
      <w:proofErr w:type="spellEnd"/>
      <w:r w:rsidRPr="00253412">
        <w:rPr>
          <w:rFonts w:ascii="Times" w:hAnsi="Times" w:cs="Times"/>
        </w:rPr>
        <w:t xml:space="preserve">, D. </w:t>
      </w:r>
      <w:proofErr w:type="spellStart"/>
      <w:r w:rsidRPr="00253412">
        <w:rPr>
          <w:rFonts w:ascii="Times" w:hAnsi="Times" w:cs="Times"/>
        </w:rPr>
        <w:t>Thau</w:t>
      </w:r>
      <w:proofErr w:type="spellEnd"/>
      <w:r w:rsidRPr="00253412">
        <w:rPr>
          <w:rFonts w:ascii="Times" w:hAnsi="Times" w:cs="Times"/>
        </w:rPr>
        <w:t xml:space="preserve">, S. V. Stehman, S. J. Goetz, T. R. Loveland, A. </w:t>
      </w:r>
      <w:proofErr w:type="spellStart"/>
      <w:r w:rsidRPr="00253412">
        <w:rPr>
          <w:rFonts w:ascii="Times" w:hAnsi="Times" w:cs="Times"/>
        </w:rPr>
        <w:t>Kommareddy</w:t>
      </w:r>
      <w:proofErr w:type="spellEnd"/>
      <w:r w:rsidRPr="00253412">
        <w:rPr>
          <w:rFonts w:ascii="Times" w:hAnsi="Times" w:cs="Times"/>
        </w:rPr>
        <w:t xml:space="preserve">, A. </w:t>
      </w:r>
      <w:proofErr w:type="spellStart"/>
      <w:r w:rsidRPr="00253412">
        <w:rPr>
          <w:rFonts w:ascii="Times" w:hAnsi="Times" w:cs="Times"/>
        </w:rPr>
        <w:t>Egorov</w:t>
      </w:r>
      <w:proofErr w:type="spellEnd"/>
      <w:r w:rsidRPr="00253412">
        <w:rPr>
          <w:rFonts w:ascii="Times" w:hAnsi="Times" w:cs="Times"/>
        </w:rPr>
        <w:t xml:space="preserve">, L. </w:t>
      </w:r>
      <w:proofErr w:type="spellStart"/>
      <w:r w:rsidRPr="00253412">
        <w:rPr>
          <w:rFonts w:ascii="Times" w:hAnsi="Times" w:cs="Times"/>
        </w:rPr>
        <w:t>Chini</w:t>
      </w:r>
      <w:proofErr w:type="spellEnd"/>
      <w:r w:rsidRPr="00253412">
        <w:rPr>
          <w:rFonts w:ascii="Times" w:hAnsi="Times" w:cs="Times"/>
        </w:rPr>
        <w:t>, C. O. Justice, and J. R. G. Townshend. 2013. “High-Resolution Global Maps of 21st-Century Forest Cover Change.” Science 342 (15 November): 850–53. Data available from: https://glad.umd.edu/dataset/global-2010-tree-cover-30-m.</w:t>
      </w:r>
    </w:p>
  </w:footnote>
  <w:footnote w:id="2">
    <w:p w14:paraId="291AAEC4" w14:textId="2A5FD643" w:rsidR="00B46D74" w:rsidRPr="00253412" w:rsidRDefault="00B46D74">
      <w:pPr>
        <w:pStyle w:val="FootnoteText"/>
        <w:rPr>
          <w:rFonts w:ascii="Times" w:hAnsi="Times" w:cs="Times"/>
          <w:lang w:val="en-GB"/>
        </w:rPr>
      </w:pPr>
      <w:r w:rsidRPr="00253412">
        <w:rPr>
          <w:rStyle w:val="FootnoteReference"/>
          <w:rFonts w:ascii="Times" w:hAnsi="Times" w:cs="Times"/>
        </w:rPr>
        <w:footnoteRef/>
      </w:r>
      <w:r w:rsidRPr="00253412">
        <w:rPr>
          <w:rFonts w:ascii="Times" w:hAnsi="Times" w:cs="Times"/>
        </w:rPr>
        <w:t xml:space="preserve"> Map data copyrighted OpenStreetMap contributors and available from https://www.openstreetmap.org</w:t>
      </w:r>
    </w:p>
  </w:footnote>
  <w:footnote w:id="3">
    <w:p w14:paraId="4CA1D531" w14:textId="3E6F3B05" w:rsidR="00B46D74" w:rsidRPr="00253412" w:rsidRDefault="00B46D74">
      <w:pPr>
        <w:pStyle w:val="FootnoteText"/>
        <w:rPr>
          <w:rFonts w:ascii="Times" w:hAnsi="Times" w:cs="Times"/>
          <w:lang w:val="en-GB"/>
        </w:rPr>
      </w:pPr>
      <w:r w:rsidRPr="00253412">
        <w:rPr>
          <w:rStyle w:val="FootnoteReference"/>
          <w:rFonts w:ascii="Times" w:hAnsi="Times" w:cs="Times"/>
        </w:rPr>
        <w:footnoteRef/>
      </w:r>
      <w:r w:rsidRPr="00253412">
        <w:rPr>
          <w:rFonts w:ascii="Times" w:hAnsi="Times" w:cs="Times"/>
        </w:rPr>
        <w:t xml:space="preserve"> River networks of Cambodia - OD Mekong Datahub. (2022). Accessed: 2 August 2022. https://data.opendevelopmentcambodia.net//dataset/river-networks-of-cambodia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3285"/>
    <w:multiLevelType w:val="hybridMultilevel"/>
    <w:tmpl w:val="6FD81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EE"/>
    <w:rsid w:val="00106203"/>
    <w:rsid w:val="001317EC"/>
    <w:rsid w:val="001959CA"/>
    <w:rsid w:val="00195B60"/>
    <w:rsid w:val="001C457D"/>
    <w:rsid w:val="00234053"/>
    <w:rsid w:val="00253412"/>
    <w:rsid w:val="00262A64"/>
    <w:rsid w:val="00311A29"/>
    <w:rsid w:val="00311FC4"/>
    <w:rsid w:val="003457F0"/>
    <w:rsid w:val="004025D8"/>
    <w:rsid w:val="00410FD2"/>
    <w:rsid w:val="0043049E"/>
    <w:rsid w:val="00430DF4"/>
    <w:rsid w:val="004D30A9"/>
    <w:rsid w:val="00547E50"/>
    <w:rsid w:val="005A078F"/>
    <w:rsid w:val="00626217"/>
    <w:rsid w:val="00684DDB"/>
    <w:rsid w:val="00745EDE"/>
    <w:rsid w:val="007F63EE"/>
    <w:rsid w:val="00804C9B"/>
    <w:rsid w:val="0084394F"/>
    <w:rsid w:val="0092034A"/>
    <w:rsid w:val="00AB0A9D"/>
    <w:rsid w:val="00B46D74"/>
    <w:rsid w:val="00BB6DDE"/>
    <w:rsid w:val="00C15F6A"/>
    <w:rsid w:val="00C327C2"/>
    <w:rsid w:val="00DC578A"/>
    <w:rsid w:val="00DE5E2C"/>
    <w:rsid w:val="00DF0561"/>
    <w:rsid w:val="00E4377C"/>
    <w:rsid w:val="00E70CF3"/>
    <w:rsid w:val="00E9011A"/>
    <w:rsid w:val="00EF41A0"/>
    <w:rsid w:val="00F32D54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AB109"/>
  <w15:chartTrackingRefBased/>
  <w15:docId w15:val="{C3C5E8F5-B05B-44DC-A09B-F7990FDF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E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63EE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3E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3EE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63EE"/>
    <w:rPr>
      <w:vertAlign w:val="superscript"/>
    </w:rPr>
  </w:style>
  <w:style w:type="character" w:styleId="CommentReference">
    <w:name w:val="annotation reference"/>
    <w:unhideWhenUsed/>
    <w:rsid w:val="00262A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A64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39A3-5E31-4A03-A083-BB5F5EDB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1373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Fauna &amp; Flora International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Chelsea.V Smith</dc:creator>
  <cp:keywords/>
  <dc:description/>
  <cp:lastModifiedBy>Chelsea.V Smith</cp:lastModifiedBy>
  <cp:revision>35</cp:revision>
  <dcterms:created xsi:type="dcterms:W3CDTF">2022-08-02T14:09:00Z</dcterms:created>
  <dcterms:modified xsi:type="dcterms:W3CDTF">2024-02-06T11:27:00Z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872790386c93a0ea5504639013b55be140997d68b5c2c72d9e28653423268cb0</vt:lpwstr>
  </property>
</Properties>
</file>