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678A4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Supporting Information</w:t>
      </w:r>
    </w:p>
    <w:p w14:paraId="425F17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032D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drawing>
          <wp:inline distT="0" distB="0" distL="0" distR="0">
            <wp:extent cx="2979420" cy="33147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62"/>
                    <a:stretch>
                      <a:fillRect/>
                    </a:stretch>
                  </pic:blipFill>
                  <pic:spPr>
                    <a:xfrm>
                      <a:off x="0" y="0"/>
                      <a:ext cx="2991794" cy="332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8013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Figure S1. The statistic of ASV sequences in the gut microbiota of </w:t>
      </w:r>
      <w:r>
        <w:rPr>
          <w:rFonts w:ascii="Times New Roman" w:hAnsi="Times New Roman" w:cs="Times New Roman"/>
          <w:b/>
          <w:bCs/>
          <w:i/>
        </w:rPr>
        <w:t>B</w:t>
      </w:r>
      <w:r>
        <w:rPr>
          <w:rFonts w:hint="eastAsia" w:ascii="Times New Roman" w:hAnsi="Times New Roman" w:cs="Times New Roman"/>
          <w:b/>
          <w:bCs/>
          <w:i/>
        </w:rPr>
        <w:t>.</w:t>
      </w:r>
      <w:r>
        <w:rPr>
          <w:rFonts w:ascii="Times New Roman" w:hAnsi="Times New Roman" w:cs="Times New Roman"/>
          <w:b/>
          <w:bCs/>
          <w:i/>
        </w:rPr>
        <w:t xml:space="preserve"> lantschouensis</w:t>
      </w:r>
      <w:r>
        <w:rPr>
          <w:rFonts w:hint="eastAsia"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T</w:t>
      </w:r>
      <w:r>
        <w:rPr>
          <w:rFonts w:hint="eastAsia" w:ascii="Times New Roman" w:hAnsi="Times New Roman" w:cs="Times New Roman"/>
          <w:bCs/>
        </w:rPr>
        <w:t>he</w:t>
      </w:r>
      <w:r>
        <w:rPr>
          <w:rFonts w:ascii="Times New Roman" w:hAnsi="Times New Roman" w:cs="Times New Roman"/>
          <w:bCs/>
        </w:rPr>
        <w:t xml:space="preserve"> sequence length distribution of ASV sequences in the gut microbiota of 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hint="eastAsia" w:ascii="Times New Roman" w:hAnsi="Times New Roman" w:cs="Times New Roman"/>
          <w:bCs/>
          <w:i/>
        </w:rPr>
        <w:t>.</w:t>
      </w:r>
      <w:r>
        <w:rPr>
          <w:rFonts w:ascii="Times New Roman" w:hAnsi="Times New Roman" w:cs="Times New Roman"/>
          <w:bCs/>
          <w:i/>
        </w:rPr>
        <w:t xml:space="preserve"> lantschouensis</w:t>
      </w:r>
      <w:r>
        <w:rPr>
          <w:rFonts w:hint="eastAsia" w:ascii="Times New Roman" w:hAnsi="Times New Roman" w:cs="Times New Roman"/>
          <w:bCs/>
        </w:rPr>
        <w:t>.</w:t>
      </w:r>
    </w:p>
    <w:p w14:paraId="60828E57"/>
    <w:p w14:paraId="6197B150">
      <w:pPr>
        <w:jc w:val="center"/>
      </w:pPr>
      <w:r>
        <w:drawing>
          <wp:inline distT="0" distB="0" distL="0" distR="0">
            <wp:extent cx="4552950" cy="32861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9933" cy="329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A3E94">
      <w:r>
        <w:rPr>
          <w:rFonts w:ascii="Times New Roman" w:hAnsi="Times New Roman" w:cs="Times New Roman"/>
          <w:b/>
          <w:bCs/>
        </w:rPr>
        <w:t>Figure 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Cs/>
        </w:rPr>
        <w:t>The differentially abundant bacteria among samples with different</w:t>
      </w:r>
      <w:r>
        <w:rPr>
          <w:rFonts w:hint="eastAsia" w:ascii="Times New Roman" w:hAnsi="Times New Roman" w:cs="Times New Roman"/>
          <w:bCs/>
        </w:rPr>
        <w:t xml:space="preserve"> treatment groups</w:t>
      </w:r>
      <w:r>
        <w:rPr>
          <w:rFonts w:ascii="Times New Roman" w:hAnsi="Times New Roman" w:cs="Times New Roman"/>
          <w:bCs/>
        </w:rPr>
        <w:t>.</w:t>
      </w:r>
      <w:bookmarkStart w:id="0" w:name="OLE_LINK3"/>
      <w:r>
        <w:rPr>
          <w:rFonts w:ascii="Times New Roman" w:hAnsi="Times New Roman" w:cs="Times New Roman"/>
          <w:bCs/>
        </w:rPr>
        <w:t xml:space="preserve"> LDA scores</w:t>
      </w:r>
      <w:bookmarkEnd w:id="0"/>
      <w:r>
        <w:rPr>
          <w:rFonts w:ascii="Times New Roman" w:hAnsi="Times New Roman" w:cs="Times New Roman"/>
          <w:bCs/>
        </w:rPr>
        <w:t xml:space="preserve"> (bacteria that obtain a log LDA score of &gt;4 are ultimately considered) can be interpreted as the degree of consistent difference in relative abundance among </w:t>
      </w:r>
      <w:r>
        <w:rPr>
          <w:rFonts w:hint="eastAsia" w:ascii="Times New Roman" w:hAnsi="Times New Roman" w:cs="Times New Roman"/>
          <w:bCs/>
        </w:rPr>
        <w:t>two</w:t>
      </w:r>
      <w:r>
        <w:rPr>
          <w:rFonts w:ascii="Times New Roman" w:hAnsi="Times New Roman" w:cs="Times New Roman"/>
          <w:bCs/>
        </w:rPr>
        <w:t xml:space="preserve"> treatments.</w:t>
      </w:r>
    </w:p>
    <w:p w14:paraId="793C8427">
      <w:pPr>
        <w:jc w:val="center"/>
      </w:pPr>
      <w:r>
        <w:drawing>
          <wp:inline distT="0" distB="0" distL="0" distR="0">
            <wp:extent cx="2597150" cy="38989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6311" cy="391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08951">
      <w:r>
        <w:rPr>
          <w:rFonts w:ascii="Times New Roman" w:hAnsi="Times New Roman" w:cs="Times New Roman"/>
          <w:b/>
          <w:bCs/>
        </w:rPr>
        <w:t>Figure 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the most significant difference of genera in </w:t>
      </w:r>
      <w:bookmarkStart w:id="1" w:name="OLE_LINK1"/>
      <w:r>
        <w:rPr>
          <w:rFonts w:ascii="Times New Roman" w:hAnsi="Times New Roman" w:cs="Times New Roman"/>
          <w:bCs/>
        </w:rPr>
        <w:t>wild</w:t>
      </w:r>
      <w:r>
        <w:rPr>
          <w:rFonts w:hint="eastAsia" w:ascii="Times New Roman" w:hAnsi="Times New Roman" w:cs="Times New Roman"/>
          <w:bCs/>
        </w:rPr>
        <w:t>-caught</w:t>
      </w:r>
      <w:r>
        <w:rPr>
          <w:rFonts w:ascii="Times New Roman" w:hAnsi="Times New Roman" w:cs="Times New Roman"/>
          <w:bCs/>
        </w:rPr>
        <w:t xml:space="preserve"> group and </w:t>
      </w:r>
      <w:r>
        <w:rPr>
          <w:rFonts w:hint="eastAsia" w:ascii="Times New Roman" w:hAnsi="Times New Roman" w:cs="Times New Roman"/>
          <w:bCs/>
        </w:rPr>
        <w:t>captive</w:t>
      </w:r>
      <w:r>
        <w:rPr>
          <w:rFonts w:ascii="Times New Roman" w:hAnsi="Times New Roman" w:cs="Times New Roman"/>
          <w:bCs/>
        </w:rPr>
        <w:t>-reared</w:t>
      </w:r>
      <w:bookmarkEnd w:id="1"/>
      <w:r>
        <w:rPr>
          <w:rFonts w:ascii="Times New Roman" w:hAnsi="Times New Roman" w:cs="Times New Roman"/>
          <w:bCs/>
        </w:rPr>
        <w:t xml:space="preserve"> group of 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hint="eastAsia" w:ascii="Times New Roman" w:hAnsi="Times New Roman" w:cs="Times New Roman"/>
          <w:bCs/>
          <w:i/>
        </w:rPr>
        <w:t>.</w:t>
      </w:r>
      <w:r>
        <w:rPr>
          <w:rFonts w:ascii="Times New Roman" w:hAnsi="Times New Roman" w:cs="Times New Roman"/>
          <w:bCs/>
          <w:i/>
        </w:rPr>
        <w:t xml:space="preserve"> lantschouensis</w:t>
      </w:r>
      <w:r>
        <w:rPr>
          <w:rFonts w:hint="eastAsia" w:ascii="Times New Roman" w:hAnsi="Times New Roman" w:cs="Times New Roman"/>
          <w:bCs/>
          <w:iCs/>
        </w:rPr>
        <w:t xml:space="preserve"> at the genus level</w:t>
      </w:r>
      <w:r>
        <w:rPr>
          <w:rFonts w:hint="eastAsia" w:ascii="Times New Roman" w:hAnsi="Times New Roman" w:cs="Times New Roman"/>
          <w:bCs/>
          <w:i/>
        </w:rPr>
        <w:t>.</w:t>
      </w:r>
      <w:bookmarkStart w:id="14" w:name="_GoBack"/>
      <w:bookmarkEnd w:id="14"/>
    </w:p>
    <w:p w14:paraId="2520EF4C">
      <w:r>
        <w:drawing>
          <wp:inline distT="0" distB="0" distL="0" distR="0">
            <wp:extent cx="5274310" cy="732663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90EA6">
      <w:pPr>
        <w:spacing w:before="156" w:beforeLines="50"/>
        <w:rPr>
          <w:rFonts w:ascii="Times New Roman" w:hAnsi="Times New Roman" w:cs="Times New Roman"/>
          <w:bCs/>
        </w:rPr>
      </w:pPr>
      <w:bookmarkStart w:id="2" w:name="OLE_LINK6"/>
      <w:bookmarkStart w:id="3" w:name="OLE_LINK8"/>
      <w:r>
        <w:rPr>
          <w:rFonts w:ascii="Times New Roman" w:hAnsi="Times New Roman" w:cs="Times New Roman"/>
          <w:b/>
          <w:bCs/>
        </w:rPr>
        <w:t xml:space="preserve">Figure S4. Functional prediction of gut microbiota with </w:t>
      </w:r>
      <w:bookmarkStart w:id="4" w:name="_Hlk163399843"/>
      <w:r>
        <w:rPr>
          <w:rFonts w:hint="eastAsia" w:ascii="Times New Roman" w:hAnsi="Times New Roman" w:cs="Times New Roman"/>
          <w:b/>
          <w:bCs/>
        </w:rPr>
        <w:t>Captive</w:t>
      </w:r>
      <w:r>
        <w:rPr>
          <w:rFonts w:ascii="Times New Roman" w:hAnsi="Times New Roman" w:cs="Times New Roman"/>
          <w:b/>
          <w:bCs/>
        </w:rPr>
        <w:t>-</w:t>
      </w:r>
      <w:r>
        <w:rPr>
          <w:rFonts w:hint="eastAsia"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>eared</w:t>
      </w:r>
      <w:bookmarkEnd w:id="4"/>
      <w:r>
        <w:rPr>
          <w:rFonts w:ascii="Times New Roman" w:hAnsi="Times New Roman" w:cs="Times New Roman"/>
          <w:b/>
          <w:bCs/>
        </w:rPr>
        <w:t xml:space="preserve"> in </w:t>
      </w:r>
      <w:r>
        <w:rPr>
          <w:rFonts w:ascii="Times New Roman" w:hAnsi="Times New Roman" w:cs="Times New Roman"/>
          <w:b/>
          <w:bCs/>
          <w:i/>
        </w:rPr>
        <w:t>B</w:t>
      </w:r>
      <w:r>
        <w:rPr>
          <w:rFonts w:hint="eastAsia" w:ascii="Times New Roman" w:hAnsi="Times New Roman" w:cs="Times New Roman"/>
          <w:b/>
          <w:bCs/>
          <w:i/>
        </w:rPr>
        <w:t>.</w:t>
      </w:r>
      <w:r>
        <w:rPr>
          <w:rFonts w:ascii="Times New Roman" w:hAnsi="Times New Roman" w:cs="Times New Roman"/>
          <w:b/>
          <w:bCs/>
          <w:i/>
        </w:rPr>
        <w:t xml:space="preserve"> lantschouensis</w:t>
      </w:r>
      <w:r>
        <w:rPr>
          <w:rFonts w:ascii="Times New Roman" w:hAnsi="Times New Roman" w:cs="Times New Roman"/>
          <w:b/>
          <w:bCs/>
        </w:rPr>
        <w:t xml:space="preserve">. </w:t>
      </w:r>
      <w:bookmarkEnd w:id="2"/>
      <w:r>
        <w:rPr>
          <w:rFonts w:hint="eastAsia"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  <w:bCs/>
        </w:rPr>
        <w:t xml:space="preserve"> </w:t>
      </w:r>
      <w:bookmarkStart w:id="5" w:name="OLE_LINK4"/>
      <w:r>
        <w:rPr>
          <w:rFonts w:ascii="Times New Roman" w:hAnsi="Times New Roman" w:cs="Times New Roman"/>
          <w:bCs/>
        </w:rPr>
        <w:t xml:space="preserve">The Heatmap of KEGG function of gut microbiota in </w:t>
      </w:r>
      <w:bookmarkStart w:id="6" w:name="OLE_LINK2"/>
      <w:r>
        <w:rPr>
          <w:rFonts w:ascii="Times New Roman" w:hAnsi="Times New Roman" w:cs="Times New Roman"/>
          <w:bCs/>
        </w:rPr>
        <w:t>wild</w:t>
      </w:r>
      <w:r>
        <w:rPr>
          <w:rFonts w:hint="eastAsia" w:ascii="Times New Roman" w:hAnsi="Times New Roman" w:cs="Times New Roman"/>
          <w:bCs/>
        </w:rPr>
        <w:t>-caught</w:t>
      </w:r>
      <w:bookmarkEnd w:id="6"/>
      <w:r>
        <w:rPr>
          <w:rFonts w:ascii="Times New Roman" w:hAnsi="Times New Roman" w:cs="Times New Roman"/>
          <w:bCs/>
        </w:rPr>
        <w:t xml:space="preserve"> group and </w:t>
      </w:r>
      <w:r>
        <w:rPr>
          <w:rFonts w:hint="eastAsia" w:ascii="Times New Roman" w:hAnsi="Times New Roman" w:cs="Times New Roman"/>
          <w:bCs/>
        </w:rPr>
        <w:t>captive</w:t>
      </w:r>
      <w:r>
        <w:rPr>
          <w:rFonts w:ascii="Times New Roman" w:hAnsi="Times New Roman" w:cs="Times New Roman"/>
          <w:bCs/>
        </w:rPr>
        <w:t xml:space="preserve">-reared group of </w:t>
      </w:r>
      <w:r>
        <w:rPr>
          <w:rFonts w:ascii="Times New Roman" w:hAnsi="Times New Roman" w:cs="Times New Roman"/>
          <w:bCs/>
          <w:i/>
        </w:rPr>
        <w:t>B. lantschouensis</w:t>
      </w:r>
      <w:bookmarkEnd w:id="5"/>
      <w:r>
        <w:rPr>
          <w:rFonts w:hint="eastAsia"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  <w:bCs/>
        </w:rPr>
        <w:t xml:space="preserve"> The </w:t>
      </w:r>
      <w:r>
        <w:rPr>
          <w:rFonts w:hint="eastAsia" w:ascii="Times New Roman" w:hAnsi="Times New Roman" w:cs="Times New Roman"/>
          <w:bCs/>
        </w:rPr>
        <w:t>h</w:t>
      </w:r>
      <w:r>
        <w:rPr>
          <w:rFonts w:ascii="Times New Roman" w:hAnsi="Times New Roman" w:cs="Times New Roman"/>
          <w:bCs/>
        </w:rPr>
        <w:t xml:space="preserve">istogram of functional subcategories showed a lower abundance after </w:t>
      </w:r>
      <w:r>
        <w:rPr>
          <w:rFonts w:hint="eastAsia" w:ascii="Times New Roman" w:hAnsi="Times New Roman" w:cs="Times New Roman"/>
          <w:bCs/>
        </w:rPr>
        <w:t>captive</w:t>
      </w:r>
      <w:r>
        <w:rPr>
          <w:rFonts w:ascii="Times New Roman" w:hAnsi="Times New Roman" w:cs="Times New Roman"/>
          <w:bCs/>
        </w:rPr>
        <w:t xml:space="preserve">-reared of 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hint="eastAsia" w:ascii="Times New Roman" w:hAnsi="Times New Roman" w:cs="Times New Roman"/>
          <w:bCs/>
          <w:i/>
        </w:rPr>
        <w:t>.</w:t>
      </w:r>
      <w:r>
        <w:rPr>
          <w:rFonts w:ascii="Times New Roman" w:hAnsi="Times New Roman" w:cs="Times New Roman"/>
          <w:bCs/>
          <w:i/>
        </w:rPr>
        <w:t xml:space="preserve"> lantschouensis</w:t>
      </w:r>
      <w:r>
        <w:rPr>
          <w:rFonts w:hint="eastAsia"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/>
        </w:rPr>
        <w:t xml:space="preserve"> (C) </w:t>
      </w:r>
      <w:r>
        <w:rPr>
          <w:rFonts w:ascii="Times New Roman" w:hAnsi="Times New Roman" w:cs="Times New Roman"/>
          <w:bCs/>
        </w:rPr>
        <w:t>Histogram of functional subcategories</w:t>
      </w:r>
      <w:r>
        <w:rPr>
          <w:rFonts w:hint="eastAsia" w:ascii="Times New Roman" w:hAnsi="Times New Roman" w:cs="Times New Roman"/>
          <w:bCs/>
        </w:rPr>
        <w:t xml:space="preserve"> with the top 30</w:t>
      </w:r>
      <w:r>
        <w:rPr>
          <w:rFonts w:ascii="Times New Roman" w:hAnsi="Times New Roman" w:cs="Times New Roman"/>
          <w:bCs/>
        </w:rPr>
        <w:t xml:space="preserve"> metabolic pathways of gut microbiota</w:t>
      </w:r>
      <w:r>
        <w:rPr>
          <w:rFonts w:hint="eastAsia" w:ascii="Times New Roman" w:hAnsi="Times New Roman" w:cs="Times New Roman"/>
          <w:bCs/>
        </w:rPr>
        <w:t xml:space="preserve"> by MetaCyc</w:t>
      </w:r>
      <w:r>
        <w:rPr>
          <w:rFonts w:ascii="Times New Roman" w:hAnsi="Times New Roman" w:cs="Times New Roman"/>
          <w:bCs/>
        </w:rPr>
        <w:t xml:space="preserve"> between two groups of </w:t>
      </w:r>
      <w:r>
        <w:rPr>
          <w:rFonts w:ascii="Times New Roman" w:hAnsi="Times New Roman" w:cs="Times New Roman"/>
          <w:bCs/>
          <w:i/>
        </w:rPr>
        <w:t>B</w:t>
      </w:r>
      <w:r>
        <w:rPr>
          <w:rFonts w:hint="eastAsia" w:ascii="Times New Roman" w:hAnsi="Times New Roman" w:cs="Times New Roman"/>
          <w:bCs/>
          <w:i/>
        </w:rPr>
        <w:t>.</w:t>
      </w:r>
      <w:r>
        <w:rPr>
          <w:rFonts w:ascii="Times New Roman" w:hAnsi="Times New Roman" w:cs="Times New Roman"/>
          <w:bCs/>
          <w:i/>
        </w:rPr>
        <w:t xml:space="preserve"> lantschouensis</w:t>
      </w:r>
      <w:r>
        <w:rPr>
          <w:rFonts w:hint="eastAsia" w:ascii="Times New Roman" w:hAnsi="Times New Roman" w:cs="Times New Roman"/>
          <w:bCs/>
          <w:i/>
        </w:rPr>
        <w:t xml:space="preserve"> </w:t>
      </w:r>
      <w:r>
        <w:rPr>
          <w:rFonts w:hint="eastAsia" w:ascii="Times New Roman" w:hAnsi="Times New Roman" w:cs="Times New Roman"/>
          <w:bCs/>
          <w:iCs/>
        </w:rPr>
        <w:t>(p&lt;0.05)</w:t>
      </w:r>
      <w:r>
        <w:rPr>
          <w:rFonts w:hint="eastAsia"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Significant differences in relative abundance of functions predicted between two groups</w:t>
      </w:r>
      <w:r>
        <w:rPr>
          <w:rFonts w:hint="eastAsia" w:ascii="Times New Roman" w:hAnsi="Times New Roman" w:cs="Times New Roman"/>
          <w:bCs/>
        </w:rPr>
        <w:t xml:space="preserve">. </w:t>
      </w:r>
      <w:bookmarkEnd w:id="3"/>
    </w:p>
    <w:p w14:paraId="5403E08D">
      <w:pPr>
        <w:spacing w:before="156" w:beforeLines="50"/>
      </w:pPr>
    </w:p>
    <w:p w14:paraId="763FB3DB">
      <w:pPr>
        <w:sectPr>
          <w:pgSz w:w="11906" w:h="16838"/>
          <w:pgMar w:top="993" w:right="1800" w:bottom="993" w:left="1800" w:header="851" w:footer="992" w:gutter="0"/>
          <w:cols w:space="425" w:num="1"/>
          <w:docGrid w:type="lines" w:linePitch="312" w:charSpace="0"/>
        </w:sectPr>
      </w:pPr>
    </w:p>
    <w:p w14:paraId="785BA0B8">
      <w:pPr>
        <w:spacing w:before="156" w:beforeLines="50" w:after="156" w:afterLines="50"/>
        <w:rPr>
          <w:rFonts w:ascii="Times New Roman" w:hAnsi="Times New Roman" w:cs="Times New Roman"/>
          <w:b/>
          <w:bCs/>
        </w:rPr>
      </w:pPr>
      <w:bookmarkStart w:id="7" w:name="OLE_LINK10"/>
      <w:r>
        <w:rPr>
          <w:rFonts w:ascii="Times New Roman" w:hAnsi="Times New Roman" w:cs="Times New Roman"/>
          <w:b/>
          <w:bCs/>
        </w:rPr>
        <w:t xml:space="preserve">Table 1. Summary of quality control in 16S rRNA amplicon sequencing of gut microbiota in </w:t>
      </w:r>
      <w:r>
        <w:rPr>
          <w:rFonts w:ascii="Times New Roman" w:hAnsi="Times New Roman" w:cs="Times New Roman"/>
          <w:b/>
          <w:bCs/>
          <w:i/>
        </w:rPr>
        <w:t>B</w:t>
      </w:r>
      <w:r>
        <w:rPr>
          <w:rFonts w:hint="eastAsia" w:ascii="Times New Roman" w:hAnsi="Times New Roman" w:cs="Times New Roman"/>
          <w:b/>
          <w:bCs/>
          <w:i/>
        </w:rPr>
        <w:t>.</w:t>
      </w:r>
      <w:r>
        <w:rPr>
          <w:rFonts w:ascii="Times New Roman" w:hAnsi="Times New Roman" w:cs="Times New Roman"/>
          <w:b/>
          <w:bCs/>
          <w:i/>
        </w:rPr>
        <w:t xml:space="preserve"> lantschouensis</w:t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Style w:val="4"/>
        <w:tblW w:w="1406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657"/>
        <w:gridCol w:w="1134"/>
        <w:gridCol w:w="1134"/>
        <w:gridCol w:w="1669"/>
        <w:gridCol w:w="1463"/>
        <w:gridCol w:w="1248"/>
        <w:gridCol w:w="1658"/>
        <w:gridCol w:w="1549"/>
        <w:gridCol w:w="1658"/>
      </w:tblGrid>
      <w:tr w14:paraId="35D035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90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6E31A4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>Id</w:t>
            </w:r>
          </w:p>
        </w:tc>
        <w:tc>
          <w:tcPr>
            <w:tcW w:w="1657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180FE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>Group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CA49E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>Input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625F9D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bookmarkStart w:id="8" w:name="_Hlk161927217"/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>Filtered</w:t>
            </w:r>
            <w:bookmarkEnd w:id="8"/>
          </w:p>
        </w:tc>
        <w:tc>
          <w:tcPr>
            <w:tcW w:w="1669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0920DF7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bookmarkStart w:id="9" w:name="_Hlk161926815"/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>Percentage of input passed filter</w:t>
            </w:r>
            <w:bookmarkEnd w:id="9"/>
          </w:p>
        </w:tc>
        <w:tc>
          <w:tcPr>
            <w:tcW w:w="1463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D29C7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bookmarkStart w:id="10" w:name="_Hlk161927265"/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>Denoised</w:t>
            </w:r>
            <w:bookmarkEnd w:id="10"/>
          </w:p>
        </w:tc>
        <w:tc>
          <w:tcPr>
            <w:tcW w:w="1248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56C60A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>Merged</w:t>
            </w:r>
          </w:p>
        </w:tc>
        <w:tc>
          <w:tcPr>
            <w:tcW w:w="1658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067A78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>Percentage of input merged</w:t>
            </w:r>
          </w:p>
        </w:tc>
        <w:tc>
          <w:tcPr>
            <w:tcW w:w="1549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3697EB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>Non-chimeric</w:t>
            </w:r>
          </w:p>
        </w:tc>
        <w:tc>
          <w:tcPr>
            <w:tcW w:w="1658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212F7C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>Percentage of input non-chimeric</w:t>
            </w:r>
          </w:p>
        </w:tc>
      </w:tr>
      <w:tr w14:paraId="53E9D7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90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0FA037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57" w:type="dxa"/>
            <w:tcBorders>
              <w:top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7479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</w:rPr>
              <w:t>W</w:t>
            </w:r>
            <w:r>
              <w:rPr>
                <w:rFonts w:ascii="Times New Roman" w:hAnsi="Times New Roman" w:cs="Times New Roman"/>
                <w:bCs/>
              </w:rPr>
              <w:t>ild</w:t>
            </w:r>
            <w:r>
              <w:rPr>
                <w:rFonts w:hint="eastAsia" w:ascii="Times New Roman" w:hAnsi="Times New Roman" w:cs="Times New Roman"/>
                <w:bCs/>
              </w:rPr>
              <w:t>-Caught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049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83586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29C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76803</w:t>
            </w:r>
          </w:p>
        </w:tc>
        <w:tc>
          <w:tcPr>
            <w:tcW w:w="166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DC3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91.89</w:t>
            </w:r>
          </w:p>
        </w:tc>
        <w:tc>
          <w:tcPr>
            <w:tcW w:w="146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2B6C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76647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B2C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76352</w:t>
            </w:r>
          </w:p>
        </w:tc>
        <w:tc>
          <w:tcPr>
            <w:tcW w:w="165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021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91.35</w:t>
            </w:r>
          </w:p>
        </w:tc>
        <w:tc>
          <w:tcPr>
            <w:tcW w:w="154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EB3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69110</w:t>
            </w:r>
          </w:p>
        </w:tc>
        <w:tc>
          <w:tcPr>
            <w:tcW w:w="165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5C8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82.68</w:t>
            </w:r>
          </w:p>
        </w:tc>
      </w:tr>
      <w:tr w14:paraId="2AF22A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shd w:val="clear" w:color="auto" w:fill="auto"/>
            <w:noWrap/>
            <w:vAlign w:val="center"/>
          </w:tcPr>
          <w:p w14:paraId="4D0509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5502F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</w:rPr>
              <w:t>W</w:t>
            </w:r>
            <w:r>
              <w:rPr>
                <w:rFonts w:ascii="Times New Roman" w:hAnsi="Times New Roman" w:cs="Times New Roman"/>
                <w:bCs/>
              </w:rPr>
              <w:t>ild</w:t>
            </w:r>
            <w:r>
              <w:rPr>
                <w:rFonts w:hint="eastAsia" w:ascii="Times New Roman" w:hAnsi="Times New Roman" w:cs="Times New Roman"/>
                <w:bCs/>
              </w:rPr>
              <w:t>-Caught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58C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81330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FA4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74475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872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91.57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D8B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74387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7F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74186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AB0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91.22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21E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68051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793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83.67</w:t>
            </w:r>
          </w:p>
        </w:tc>
      </w:tr>
      <w:tr w14:paraId="1A8AF5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90" w:type="dxa"/>
            <w:shd w:val="clear" w:color="auto" w:fill="auto"/>
            <w:noWrap/>
            <w:vAlign w:val="center"/>
          </w:tcPr>
          <w:p w14:paraId="276781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57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8F12B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</w:rPr>
              <w:t>W</w:t>
            </w:r>
            <w:r>
              <w:rPr>
                <w:rFonts w:ascii="Times New Roman" w:hAnsi="Times New Roman" w:cs="Times New Roman"/>
                <w:bCs/>
              </w:rPr>
              <w:t>ild</w:t>
            </w:r>
            <w:r>
              <w:rPr>
                <w:rFonts w:hint="eastAsia" w:ascii="Times New Roman" w:hAnsi="Times New Roman" w:cs="Times New Roman"/>
                <w:bCs/>
              </w:rPr>
              <w:t>-Caught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E3A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84237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843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75050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96E6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89.09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C8F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74935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348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74706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9BA9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88.69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72B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69649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DFE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82.68</w:t>
            </w:r>
          </w:p>
        </w:tc>
      </w:tr>
      <w:tr w14:paraId="52C74E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90" w:type="dxa"/>
            <w:shd w:val="clear" w:color="auto" w:fill="auto"/>
            <w:noWrap/>
            <w:vAlign w:val="center"/>
          </w:tcPr>
          <w:p w14:paraId="5FED19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6023A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</w:rPr>
              <w:t>W</w:t>
            </w:r>
            <w:r>
              <w:rPr>
                <w:rFonts w:ascii="Times New Roman" w:hAnsi="Times New Roman" w:cs="Times New Roman"/>
                <w:bCs/>
              </w:rPr>
              <w:t>ild</w:t>
            </w:r>
            <w:r>
              <w:rPr>
                <w:rFonts w:hint="eastAsia" w:ascii="Times New Roman" w:hAnsi="Times New Roman" w:cs="Times New Roman"/>
                <w:bCs/>
              </w:rPr>
              <w:t>-Caught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F0F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81290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355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74738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354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91.94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81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74619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D06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74307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1AE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91.41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BF8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68170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040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83.86</w:t>
            </w:r>
          </w:p>
        </w:tc>
      </w:tr>
      <w:tr w14:paraId="0B6F5A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90" w:type="dxa"/>
            <w:shd w:val="clear" w:color="auto" w:fill="auto"/>
            <w:noWrap/>
            <w:vAlign w:val="center"/>
          </w:tcPr>
          <w:p w14:paraId="430A9B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57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904CE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11" w:name="OLE_LINK9"/>
            <w:r>
              <w:rPr>
                <w:rFonts w:hint="eastAsia" w:ascii="Times New Roman" w:hAnsi="Times New Roman" w:cs="Times New Roman"/>
                <w:bCs/>
              </w:rPr>
              <w:t>W</w:t>
            </w:r>
            <w:r>
              <w:rPr>
                <w:rFonts w:ascii="Times New Roman" w:hAnsi="Times New Roman" w:cs="Times New Roman"/>
                <w:bCs/>
              </w:rPr>
              <w:t>ild</w:t>
            </w:r>
            <w:r>
              <w:rPr>
                <w:rFonts w:hint="eastAsia" w:ascii="Times New Roman" w:hAnsi="Times New Roman" w:cs="Times New Roman"/>
                <w:bCs/>
              </w:rPr>
              <w:t>-Caught</w:t>
            </w:r>
            <w:bookmarkEnd w:id="11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0D9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77502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700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70531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2D1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91.01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C50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70403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722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70099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B3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90.45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B801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66138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D41B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85.34</w:t>
            </w:r>
          </w:p>
        </w:tc>
      </w:tr>
      <w:tr w14:paraId="1E9A5A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90" w:type="dxa"/>
            <w:shd w:val="clear" w:color="auto" w:fill="auto"/>
            <w:noWrap/>
            <w:vAlign w:val="center"/>
          </w:tcPr>
          <w:p w14:paraId="49FF44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57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0E2BB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12" w:name="OLE_LINK7"/>
            <w:r>
              <w:rPr>
                <w:rFonts w:hint="eastAsia" w:ascii="Times New Roman" w:hAnsi="Times New Roman" w:cs="Times New Roman"/>
              </w:rPr>
              <w:t>Captive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hint="eastAsia"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eared</w:t>
            </w:r>
            <w:bookmarkEnd w:id="12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9BF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79229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093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72589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9BE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91.62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4B1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72459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F9C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71891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BE0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90.74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1A1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68114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A86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85.97</w:t>
            </w:r>
          </w:p>
        </w:tc>
      </w:tr>
      <w:tr w14:paraId="13B7B1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90" w:type="dxa"/>
            <w:shd w:val="clear" w:color="auto" w:fill="auto"/>
            <w:noWrap/>
            <w:vAlign w:val="center"/>
          </w:tcPr>
          <w:p w14:paraId="22970D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657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7F46E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13" w:name="OLE_LINK5"/>
            <w:r>
              <w:rPr>
                <w:rFonts w:hint="eastAsia" w:ascii="Times New Roman" w:hAnsi="Times New Roman" w:cs="Times New Roman"/>
              </w:rPr>
              <w:t>Captive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hint="eastAsia"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eared</w:t>
            </w:r>
            <w:bookmarkEnd w:id="13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3F2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B6EF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69147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DCB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92.9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08D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69022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7D4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68883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75D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92.55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5B4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66244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BBBF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14:paraId="3C1A97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90" w:type="dxa"/>
            <w:shd w:val="clear" w:color="auto" w:fill="auto"/>
            <w:noWrap/>
            <w:vAlign w:val="center"/>
          </w:tcPr>
          <w:p w14:paraId="092903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657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56DDB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>Captive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hint="eastAsia"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eared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D56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76128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B6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70650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9C8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92.8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CFA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70494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FA2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70015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F9E2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91.97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2D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66681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5D14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87.59</w:t>
            </w:r>
          </w:p>
        </w:tc>
      </w:tr>
      <w:tr w14:paraId="3F5006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90" w:type="dxa"/>
            <w:shd w:val="clear" w:color="auto" w:fill="auto"/>
            <w:noWrap/>
            <w:vAlign w:val="center"/>
          </w:tcPr>
          <w:p w14:paraId="63222D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657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14529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>Captive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hint="eastAsia"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eared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BA9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76018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F6CC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70852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CA08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93.2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62D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70608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291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70007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54A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92.09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038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66512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628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87.5</w:t>
            </w:r>
          </w:p>
        </w:tc>
      </w:tr>
      <w:tr w14:paraId="5E623C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90" w:type="dxa"/>
            <w:shd w:val="clear" w:color="auto" w:fill="auto"/>
            <w:noWrap/>
            <w:vAlign w:val="center"/>
          </w:tcPr>
          <w:p w14:paraId="7C0A2F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657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DDFBA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>Captive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hint="eastAsia"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eared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B02A6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87345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FB3B8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75059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CBD24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85.93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F3B177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74963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900BF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74405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CC12C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85.19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9E792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69420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3E049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79.48</w:t>
            </w:r>
          </w:p>
        </w:tc>
      </w:tr>
      <w:bookmarkEnd w:id="7"/>
    </w:tbl>
    <w:p w14:paraId="79C9E8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FAEA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FB6A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1EA6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F9371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AC2440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2. The abundance of sequences annotated at the genera level in wild-caught group and captive-reared group of </w:t>
      </w:r>
      <w:r>
        <w:rPr>
          <w:rFonts w:ascii="Times New Roman" w:hAnsi="Times New Roman" w:cs="Times New Roman"/>
          <w:b/>
          <w:bCs/>
          <w:i/>
          <w:iCs/>
        </w:rPr>
        <w:t>B</w:t>
      </w:r>
      <w:r>
        <w:rPr>
          <w:rFonts w:hint="eastAsia"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 xml:space="preserve"> lantschouensis</w:t>
      </w:r>
      <w:r>
        <w:rPr>
          <w:rFonts w:hint="eastAsia" w:ascii="Times New Roman" w:hAnsi="Times New Roman" w:cs="Times New Roman"/>
          <w:b/>
          <w:bCs/>
          <w:i/>
          <w:iCs/>
        </w:rPr>
        <w:t>.</w:t>
      </w:r>
    </w:p>
    <w:p w14:paraId="19B83A2D">
      <w:pPr>
        <w:rPr>
          <w:rFonts w:ascii="Times New Roman" w:hAnsi="Times New Roman" w:cs="Times New Roman"/>
          <w:b/>
          <w:bCs/>
        </w:rPr>
      </w:pPr>
    </w:p>
    <w:tbl>
      <w:tblPr>
        <w:tblStyle w:val="4"/>
        <w:tblW w:w="4515" w:type="dxa"/>
        <w:tblInd w:w="10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1722"/>
        <w:gridCol w:w="1470"/>
      </w:tblGrid>
      <w:tr w14:paraId="5B688B2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5" w:hRule="atLeast"/>
        </w:trPr>
        <w:tc>
          <w:tcPr>
            <w:tcW w:w="2865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9C99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</w:rPr>
              <w:t>G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>enus</w:t>
            </w:r>
          </w:p>
        </w:tc>
        <w:tc>
          <w:tcPr>
            <w:tcW w:w="165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B302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</w:rPr>
              <w:t>A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 xml:space="preserve">bundance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 xml:space="preserve">f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</w:rPr>
              <w:t>S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>equences</w:t>
            </w:r>
          </w:p>
        </w:tc>
      </w:tr>
      <w:tr w14:paraId="5619C44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AF90E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5745D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>Captive-Reared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1FF5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>Wild-Caught</w:t>
            </w:r>
          </w:p>
        </w:tc>
      </w:tr>
      <w:tr w14:paraId="0470458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8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58AD784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Gilliamella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ABD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8627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787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31054</w:t>
            </w:r>
          </w:p>
        </w:tc>
      </w:tr>
      <w:tr w14:paraId="15F76A8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22786CF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Snodgrassella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B93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1091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FFF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30055</w:t>
            </w:r>
          </w:p>
        </w:tc>
      </w:tr>
      <w:tr w14:paraId="72ECFB5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FBF1DD4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Lactobacillus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824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22180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AD3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16</w:t>
            </w:r>
          </w:p>
        </w:tc>
      </w:tr>
      <w:tr w14:paraId="683E3F4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8735296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Saccharibacter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402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17345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F24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15</w:t>
            </w:r>
          </w:p>
        </w:tc>
      </w:tr>
      <w:tr w14:paraId="0090D51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70EAFD5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Bifidobacterium bombi/commune/bohemicum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C4F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5945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F3C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</w:tr>
      <w:tr w14:paraId="7E60E0A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F4B9DFC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Lactobacillus Firm-5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2F8A3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3313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79586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</w:t>
            </w:r>
          </w:p>
        </w:tc>
      </w:tr>
      <w:tr w14:paraId="7E8E17B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59653E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Unassigned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31CE5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2650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698CA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122</w:t>
            </w:r>
          </w:p>
        </w:tc>
      </w:tr>
      <w:tr w14:paraId="5382FED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C2FCFBF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Gluconobacter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141A2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261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DFD8F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</w:t>
            </w:r>
          </w:p>
        </w:tc>
      </w:tr>
      <w:tr w14:paraId="229AE5A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3778DF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Staphylococcus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C8E33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547F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227</w:t>
            </w:r>
          </w:p>
        </w:tc>
      </w:tr>
      <w:tr w14:paraId="099216C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B69CA2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Bombiscardovia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47C3B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79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CF978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</w:t>
            </w:r>
          </w:p>
        </w:tc>
      </w:tr>
      <w:tr w14:paraId="5FD61DA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47FD509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Carnimonas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71C9B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F92DA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</w:t>
            </w:r>
          </w:p>
        </w:tc>
      </w:tr>
      <w:tr w14:paraId="547A664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43D24E7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Phaseolibacter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8BD8E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B0EDE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9</w:t>
            </w:r>
          </w:p>
        </w:tc>
      </w:tr>
      <w:tr w14:paraId="2A9B33A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B1CDB0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Acinetobacter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E2CBF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5B638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4</w:t>
            </w:r>
          </w:p>
        </w:tc>
      </w:tr>
      <w:tr w14:paraId="72D98A9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86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F183D72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Lactobacillus kunkeei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7FF9FA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4065A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3</w:t>
            </w:r>
          </w:p>
        </w:tc>
      </w:tr>
    </w:tbl>
    <w:p w14:paraId="1EA75BD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TM0YTI5NTc1OGU3MTA1M2U5MTBlZmQxYzQwYTEifQ=="/>
  </w:docVars>
  <w:rsids>
    <w:rsidRoot w:val="001A7A9D"/>
    <w:rsid w:val="001A7A9D"/>
    <w:rsid w:val="002F1636"/>
    <w:rsid w:val="006E711E"/>
    <w:rsid w:val="00A37EF9"/>
    <w:rsid w:val="00C67184"/>
    <w:rsid w:val="00CA25B1"/>
    <w:rsid w:val="00E56F9F"/>
    <w:rsid w:val="1C6F5B5B"/>
    <w:rsid w:val="1D5C0D59"/>
    <w:rsid w:val="21080CB3"/>
    <w:rsid w:val="35433430"/>
    <w:rsid w:val="43304616"/>
    <w:rsid w:val="52B0496C"/>
    <w:rsid w:val="59943D66"/>
    <w:rsid w:val="652E1B60"/>
    <w:rsid w:val="6FA431BE"/>
    <w:rsid w:val="72D07765"/>
    <w:rsid w:val="7BB8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9A6F1-0462-477C-9671-B482532F4F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379</Words>
  <Characters>2218</Characters>
  <Lines>18</Lines>
  <Paragraphs>5</Paragraphs>
  <TotalTime>0</TotalTime>
  <ScaleCrop>false</ScaleCrop>
  <LinksUpToDate>false</LinksUpToDate>
  <CharactersWithSpaces>2435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2024-05-26T02:55:00Z</dcterms:created>
  <dc:creator>Lenovo</dc:creator>
  <cp:lastModifiedBy>零零</cp:lastModifiedBy>
  <dcterms:modified xsi:type="dcterms:W3CDTF">2024-10-26T09:14:24Z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D10A12E444584EC5804CF54686AAC2B1_12</vt:lpwstr>
  </property>
</Properties>
</file>