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505F" w14:textId="4499539B" w:rsidR="004D053D" w:rsidRPr="004D053D" w:rsidRDefault="004D053D" w:rsidP="004D053D">
      <w:pPr>
        <w:ind w:firstLineChars="0" w:firstLine="0"/>
        <w:jc w:val="left"/>
        <w:rPr>
          <w:rFonts w:cs="Arial"/>
          <w:b/>
          <w:bCs/>
          <w:sz w:val="21"/>
          <w:szCs w:val="21"/>
        </w:rPr>
      </w:pPr>
      <w:bookmarkStart w:id="0" w:name="_Hlk164264972"/>
      <w:bookmarkStart w:id="1" w:name="_Hlk165901025"/>
      <w:r w:rsidRPr="004D053D">
        <w:rPr>
          <w:rFonts w:cs="Arial"/>
          <w:b/>
          <w:bCs/>
          <w:sz w:val="21"/>
          <w:szCs w:val="21"/>
        </w:rPr>
        <w:t>Appendix 1</w:t>
      </w:r>
      <w:bookmarkEnd w:id="0"/>
      <w:r w:rsidRPr="004D053D">
        <w:rPr>
          <w:rFonts w:cs="Arial"/>
          <w:b/>
          <w:bCs/>
          <w:sz w:val="21"/>
          <w:szCs w:val="21"/>
        </w:rPr>
        <w:t xml:space="preserve"> Description and </w:t>
      </w:r>
      <w:r w:rsidR="00B33AA0">
        <w:rPr>
          <w:rFonts w:cs="Arial" w:hint="eastAsia"/>
          <w:b/>
          <w:bCs/>
          <w:sz w:val="21"/>
          <w:szCs w:val="21"/>
        </w:rPr>
        <w:t>c</w:t>
      </w:r>
      <w:r w:rsidR="00B33AA0" w:rsidRPr="00B33AA0">
        <w:rPr>
          <w:rFonts w:cs="Arial"/>
          <w:b/>
          <w:bCs/>
          <w:sz w:val="21"/>
          <w:szCs w:val="21"/>
        </w:rPr>
        <w:t>ategories</w:t>
      </w:r>
      <w:r w:rsidRPr="004D053D">
        <w:rPr>
          <w:rFonts w:cs="Arial"/>
          <w:b/>
          <w:bCs/>
          <w:sz w:val="21"/>
          <w:szCs w:val="21"/>
        </w:rPr>
        <w:t xml:space="preserve"> of habitat factors</w:t>
      </w:r>
    </w:p>
    <w:tbl>
      <w:tblPr>
        <w:tblStyle w:val="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3954"/>
        <w:gridCol w:w="2862"/>
      </w:tblGrid>
      <w:tr w:rsidR="004D053D" w:rsidRPr="004D053D" w14:paraId="5C4D3FE4" w14:textId="77777777" w:rsidTr="004D053D">
        <w:trPr>
          <w:trHeight w:val="238"/>
          <w:jc w:val="center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6664FEA3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Variable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14:paraId="4B89A0E9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Description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14:paraId="79EEE17C" w14:textId="2D222D5F" w:rsidR="004D053D" w:rsidRPr="004D053D" w:rsidRDefault="00D72E26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Categories</w:t>
            </w:r>
          </w:p>
        </w:tc>
      </w:tr>
      <w:tr w:rsidR="004D053D" w:rsidRPr="004D053D" w14:paraId="2E36B807" w14:textId="77777777" w:rsidTr="004D053D">
        <w:trPr>
          <w:trHeight w:val="238"/>
          <w:jc w:val="center"/>
        </w:trPr>
        <w:tc>
          <w:tcPr>
            <w:tcW w:w="2176" w:type="dxa"/>
            <w:tcBorders>
              <w:top w:val="single" w:sz="4" w:space="0" w:color="auto"/>
            </w:tcBorders>
          </w:tcPr>
          <w:p w14:paraId="1A98F2C2" w14:textId="77777777" w:rsidR="004D053D" w:rsidRPr="004D053D" w:rsidRDefault="004D053D" w:rsidP="004D053D">
            <w:pPr>
              <w:spacing w:line="240" w:lineRule="auto"/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Altitude</w:t>
            </w:r>
            <w:r w:rsidRPr="004D053D">
              <w:rPr>
                <w:rFonts w:cs="Times New Roman"/>
                <w:color w:val="000000"/>
                <w:sz w:val="21"/>
                <w:szCs w:val="21"/>
              </w:rPr>
              <w:t xml:space="preserve"> (m)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78A5C9A6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Altitude</w:t>
            </w:r>
            <w:r w:rsidRPr="004D053D" w:rsidDel="00F0143C">
              <w:rPr>
                <w:rFonts w:cs="Times New Roman"/>
                <w:sz w:val="21"/>
                <w:szCs w:val="21"/>
              </w:rPr>
              <w:t xml:space="preserve"> </w:t>
            </w:r>
            <w:r w:rsidRPr="004D053D">
              <w:rPr>
                <w:rFonts w:cs="Times New Roman"/>
                <w:sz w:val="21"/>
                <w:szCs w:val="21"/>
              </w:rPr>
              <w:t>in quadrat was directly measured by GPS.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14:paraId="0B35E8F5" w14:textId="42DFA6D0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200 m; 2. 200–</w:t>
            </w:r>
            <w:r w:rsidR="00D72E26">
              <w:rPr>
                <w:rFonts w:cs="Times New Roman" w:hint="eastAsia"/>
                <w:sz w:val="21"/>
                <w:szCs w:val="21"/>
              </w:rPr>
              <w:t>4</w:t>
            </w:r>
            <w:r w:rsidRPr="004D053D">
              <w:rPr>
                <w:rFonts w:cs="Times New Roman"/>
                <w:sz w:val="21"/>
                <w:szCs w:val="21"/>
              </w:rPr>
              <w:t xml:space="preserve">00 m; 3. &gt; </w:t>
            </w:r>
            <w:r w:rsidR="00D72E26">
              <w:rPr>
                <w:rFonts w:cs="Times New Roman" w:hint="eastAsia"/>
                <w:sz w:val="21"/>
                <w:szCs w:val="21"/>
              </w:rPr>
              <w:t>4</w:t>
            </w:r>
            <w:r w:rsidRPr="004D053D">
              <w:rPr>
                <w:rFonts w:cs="Times New Roman"/>
                <w:sz w:val="21"/>
                <w:szCs w:val="21"/>
              </w:rPr>
              <w:t>00 m.</w:t>
            </w:r>
          </w:p>
        </w:tc>
      </w:tr>
      <w:tr w:rsidR="004D053D" w:rsidRPr="004D053D" w14:paraId="5C29C392" w14:textId="77777777" w:rsidTr="004D053D">
        <w:trPr>
          <w:trHeight w:val="238"/>
          <w:jc w:val="center"/>
        </w:trPr>
        <w:tc>
          <w:tcPr>
            <w:tcW w:w="2176" w:type="dxa"/>
          </w:tcPr>
          <w:p w14:paraId="043EA0CA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color w:val="000000"/>
                <w:sz w:val="21"/>
                <w:szCs w:val="21"/>
              </w:rPr>
              <w:t>Temperature (℃)</w:t>
            </w:r>
          </w:p>
        </w:tc>
        <w:tc>
          <w:tcPr>
            <w:tcW w:w="4392" w:type="dxa"/>
          </w:tcPr>
          <w:p w14:paraId="71AB1A5B" w14:textId="4295AAA9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Ambient temperature in quadrat was measured using a portable hand-held electronic temperature and hygrometer</w:t>
            </w:r>
            <w:r w:rsidR="00124FAD">
              <w:rPr>
                <w:rFonts w:cs="Times New Roman" w:hint="eastAsia"/>
                <w:sz w:val="21"/>
                <w:szCs w:val="21"/>
              </w:rPr>
              <w:t xml:space="preserve"> (DL333006, +0.1</w:t>
            </w:r>
            <w:r w:rsidR="00124FAD" w:rsidRPr="004D053D">
              <w:rPr>
                <w:rFonts w:cs="Times New Roman"/>
                <w:sz w:val="21"/>
                <w:szCs w:val="21"/>
              </w:rPr>
              <w:t>℃</w:t>
            </w:r>
            <w:r w:rsidR="00124FAD">
              <w:rPr>
                <w:rFonts w:cs="Times New Roman" w:hint="eastAsia"/>
                <w:sz w:val="21"/>
                <w:szCs w:val="21"/>
              </w:rPr>
              <w:t xml:space="preserve">; </w:t>
            </w:r>
            <w:r w:rsidR="00124FAD" w:rsidRPr="00124FAD">
              <w:rPr>
                <w:rFonts w:cs="Times New Roman"/>
                <w:sz w:val="21"/>
                <w:szCs w:val="21"/>
              </w:rPr>
              <w:t>Deli</w:t>
            </w:r>
            <w:r w:rsidR="00124FAD">
              <w:rPr>
                <w:rFonts w:cs="Times New Roman" w:hint="eastAsia"/>
                <w:sz w:val="21"/>
                <w:szCs w:val="21"/>
              </w:rPr>
              <w:t>, Ningbo, China)</w:t>
            </w:r>
            <w:r w:rsidRPr="004D053D">
              <w:rPr>
                <w:rFonts w:cs="Times New Roman"/>
                <w:sz w:val="21"/>
                <w:szCs w:val="21"/>
              </w:rPr>
              <w:t xml:space="preserve">. During measurement, </w:t>
            </w:r>
            <w:proofErr w:type="spellStart"/>
            <w:r w:rsidRPr="004D053D">
              <w:rPr>
                <w:rFonts w:cs="Times New Roman"/>
                <w:sz w:val="21"/>
                <w:szCs w:val="21"/>
              </w:rPr>
              <w:t>thermohygrometer</w:t>
            </w:r>
            <w:proofErr w:type="spellEnd"/>
            <w:r w:rsidRPr="004D053D">
              <w:rPr>
                <w:rFonts w:cs="Times New Roman"/>
                <w:sz w:val="21"/>
                <w:szCs w:val="21"/>
              </w:rPr>
              <w:t xml:space="preserve"> was placed </w:t>
            </w:r>
            <w:r w:rsidR="007D5713" w:rsidRPr="007D5713">
              <w:rPr>
                <w:rFonts w:cs="Times New Roman"/>
                <w:sz w:val="21"/>
                <w:szCs w:val="21"/>
              </w:rPr>
              <w:t>on the substrate where the snake is located</w:t>
            </w:r>
            <w:r w:rsidRPr="004D053D">
              <w:rPr>
                <w:rFonts w:cs="Times New Roman"/>
                <w:sz w:val="21"/>
                <w:szCs w:val="21"/>
              </w:rPr>
              <w:t>. Once values stabilized, readings were recorded. Procedure was repeated three times consecutively, and average value was calculated.</w:t>
            </w:r>
          </w:p>
        </w:tc>
        <w:tc>
          <w:tcPr>
            <w:tcW w:w="3178" w:type="dxa"/>
          </w:tcPr>
          <w:p w14:paraId="4C1EFF02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20 ℃; 2. 20–30 ℃; 3. &gt; 30 ℃.</w:t>
            </w:r>
          </w:p>
        </w:tc>
      </w:tr>
      <w:tr w:rsidR="004D053D" w:rsidRPr="004D053D" w14:paraId="2EE7E78F" w14:textId="77777777" w:rsidTr="004D053D">
        <w:trPr>
          <w:trHeight w:val="238"/>
          <w:jc w:val="center"/>
        </w:trPr>
        <w:tc>
          <w:tcPr>
            <w:tcW w:w="2176" w:type="dxa"/>
          </w:tcPr>
          <w:p w14:paraId="49409BB2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color w:val="000000"/>
                <w:sz w:val="21"/>
                <w:szCs w:val="21"/>
              </w:rPr>
              <w:t>Humidity (%)</w:t>
            </w:r>
          </w:p>
        </w:tc>
        <w:tc>
          <w:tcPr>
            <w:tcW w:w="4392" w:type="dxa"/>
          </w:tcPr>
          <w:p w14:paraId="4EA1C578" w14:textId="0FE44FAB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Ambient humidity in quadrat was measured using a portable hand-held electronic temperature and hygrometer</w:t>
            </w:r>
            <w:r w:rsidR="00124FAD">
              <w:rPr>
                <w:rFonts w:cs="Times New Roman" w:hint="eastAsia"/>
                <w:sz w:val="21"/>
                <w:szCs w:val="21"/>
              </w:rPr>
              <w:t xml:space="preserve"> (DL333006, +0.1%RH; </w:t>
            </w:r>
            <w:r w:rsidR="00124FAD" w:rsidRPr="00124FAD">
              <w:rPr>
                <w:rFonts w:cs="Times New Roman"/>
                <w:sz w:val="21"/>
                <w:szCs w:val="21"/>
              </w:rPr>
              <w:t>Deli</w:t>
            </w:r>
            <w:r w:rsidR="00124FAD">
              <w:rPr>
                <w:rFonts w:cs="Times New Roman" w:hint="eastAsia"/>
                <w:sz w:val="21"/>
                <w:szCs w:val="21"/>
              </w:rPr>
              <w:t>, Ningbo, China)</w:t>
            </w:r>
            <w:r w:rsidRPr="004D053D">
              <w:rPr>
                <w:rFonts w:cs="Times New Roman"/>
                <w:sz w:val="21"/>
                <w:szCs w:val="21"/>
              </w:rPr>
              <w:t>. Measurement was analogous to temperature measurement.</w:t>
            </w:r>
          </w:p>
        </w:tc>
        <w:tc>
          <w:tcPr>
            <w:tcW w:w="3178" w:type="dxa"/>
          </w:tcPr>
          <w:p w14:paraId="2F216336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40%; 2. 40%–70%; 3. &gt; 70%.</w:t>
            </w:r>
          </w:p>
        </w:tc>
      </w:tr>
      <w:tr w:rsidR="004D053D" w:rsidRPr="004D053D" w14:paraId="2BC610CA" w14:textId="77777777" w:rsidTr="004D053D">
        <w:trPr>
          <w:trHeight w:val="238"/>
          <w:jc w:val="center"/>
        </w:trPr>
        <w:tc>
          <w:tcPr>
            <w:tcW w:w="2176" w:type="dxa"/>
          </w:tcPr>
          <w:p w14:paraId="11AB23BB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Landscape habitat</w:t>
            </w:r>
          </w:p>
        </w:tc>
        <w:tc>
          <w:tcPr>
            <w:tcW w:w="4392" w:type="dxa"/>
          </w:tcPr>
          <w:p w14:paraId="6D867B0C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Habitat types within 300 m of quadrat were assessed.</w:t>
            </w:r>
          </w:p>
        </w:tc>
        <w:tc>
          <w:tcPr>
            <w:tcW w:w="3178" w:type="dxa"/>
          </w:tcPr>
          <w:p w14:paraId="5B2B6B73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Stream; 2. Forest; 3. Agricultural.</w:t>
            </w:r>
          </w:p>
        </w:tc>
      </w:tr>
      <w:tr w:rsidR="004D053D" w:rsidRPr="004D053D" w14:paraId="7158E86E" w14:textId="77777777" w:rsidTr="004D053D">
        <w:trPr>
          <w:trHeight w:val="238"/>
          <w:jc w:val="center"/>
        </w:trPr>
        <w:tc>
          <w:tcPr>
            <w:tcW w:w="2176" w:type="dxa"/>
          </w:tcPr>
          <w:p w14:paraId="687EF271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Vegetation type</w:t>
            </w:r>
          </w:p>
        </w:tc>
        <w:tc>
          <w:tcPr>
            <w:tcW w:w="4392" w:type="dxa"/>
          </w:tcPr>
          <w:p w14:paraId="6927C9D1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Main vegetation types in quadrat were assessed.</w:t>
            </w:r>
          </w:p>
        </w:tc>
        <w:tc>
          <w:tcPr>
            <w:tcW w:w="3178" w:type="dxa"/>
          </w:tcPr>
          <w:p w14:paraId="36763EED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Grass; 2. Shrub; 3. Tree.</w:t>
            </w:r>
          </w:p>
        </w:tc>
      </w:tr>
      <w:tr w:rsidR="004D053D" w:rsidRPr="004D053D" w14:paraId="4DDE236D" w14:textId="77777777" w:rsidTr="004D053D">
        <w:trPr>
          <w:trHeight w:val="238"/>
          <w:jc w:val="center"/>
        </w:trPr>
        <w:tc>
          <w:tcPr>
            <w:tcW w:w="2176" w:type="dxa"/>
          </w:tcPr>
          <w:p w14:paraId="7AD9B819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color w:val="000000"/>
                <w:sz w:val="21"/>
                <w:szCs w:val="21"/>
              </w:rPr>
              <w:t>Vegetation height (m)</w:t>
            </w:r>
          </w:p>
        </w:tc>
        <w:tc>
          <w:tcPr>
            <w:tcW w:w="4392" w:type="dxa"/>
          </w:tcPr>
          <w:p w14:paraId="0D7885E8" w14:textId="11B9CAE2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Vegetation height of herbs and shrubs was measured by tape measure, arbor height was calculated by trigonometric function.</w:t>
            </w:r>
            <w:r w:rsidR="00F7596D">
              <w:t xml:space="preserve"> </w:t>
            </w:r>
            <w:r w:rsidR="00F7596D" w:rsidRPr="00F7596D">
              <w:rPr>
                <w:rFonts w:cs="Times New Roman"/>
                <w:sz w:val="21"/>
                <w:szCs w:val="21"/>
              </w:rPr>
              <w:t>We categorized based on the height of shrubs and herbaceous plants, broadleaf trees, and coniferous trees in the study area.</w:t>
            </w:r>
          </w:p>
        </w:tc>
        <w:tc>
          <w:tcPr>
            <w:tcW w:w="3178" w:type="dxa"/>
          </w:tcPr>
          <w:p w14:paraId="63B5BB45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0–2 m; 2. 2–5 m; 3. &gt; 5 m.</w:t>
            </w:r>
          </w:p>
        </w:tc>
      </w:tr>
      <w:tr w:rsidR="004D053D" w:rsidRPr="004D053D" w14:paraId="7A0A3D72" w14:textId="77777777" w:rsidTr="004D053D">
        <w:trPr>
          <w:trHeight w:val="238"/>
          <w:jc w:val="center"/>
        </w:trPr>
        <w:tc>
          <w:tcPr>
            <w:tcW w:w="2176" w:type="dxa"/>
          </w:tcPr>
          <w:p w14:paraId="5E01F2E0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color w:val="000000"/>
                <w:sz w:val="21"/>
                <w:szCs w:val="21"/>
              </w:rPr>
              <w:t>Vegetation coverage (%)</w:t>
            </w:r>
          </w:p>
        </w:tc>
        <w:tc>
          <w:tcPr>
            <w:tcW w:w="4392" w:type="dxa"/>
          </w:tcPr>
          <w:p w14:paraId="0BCF52E5" w14:textId="12DBA2C5" w:rsidR="004D053D" w:rsidRPr="004D053D" w:rsidRDefault="007D5713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7D5713">
              <w:rPr>
                <w:rFonts w:cs="Times New Roman"/>
                <w:sz w:val="21"/>
                <w:szCs w:val="21"/>
              </w:rPr>
              <w:t>when the sun was positioned highest above the horizon</w:t>
            </w:r>
            <w:r w:rsidR="004D053D" w:rsidRPr="004D053D">
              <w:rPr>
                <w:rFonts w:cs="Times New Roman"/>
                <w:sz w:val="21"/>
                <w:szCs w:val="21"/>
              </w:rPr>
              <w:t>, long (a) and short diameters (b) of shadows were measured with a tape measure, then calculated using the formula 1/4πab.</w:t>
            </w:r>
          </w:p>
        </w:tc>
        <w:tc>
          <w:tcPr>
            <w:tcW w:w="3178" w:type="dxa"/>
          </w:tcPr>
          <w:p w14:paraId="2BABD4AA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20%; 2. 20%–70%; 3. &gt; 70%.</w:t>
            </w:r>
          </w:p>
        </w:tc>
      </w:tr>
      <w:tr w:rsidR="004D053D" w:rsidRPr="004D053D" w14:paraId="68A80F96" w14:textId="77777777" w:rsidTr="004D053D">
        <w:trPr>
          <w:trHeight w:val="238"/>
          <w:jc w:val="center"/>
        </w:trPr>
        <w:tc>
          <w:tcPr>
            <w:tcW w:w="2176" w:type="dxa"/>
          </w:tcPr>
          <w:p w14:paraId="75E42763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Slope (°)</w:t>
            </w:r>
          </w:p>
        </w:tc>
        <w:tc>
          <w:tcPr>
            <w:tcW w:w="4392" w:type="dxa"/>
          </w:tcPr>
          <w:p w14:paraId="4CC7ED3C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Average slope of quadrat was measured using a handheld GPS.</w:t>
            </w:r>
          </w:p>
        </w:tc>
        <w:tc>
          <w:tcPr>
            <w:tcW w:w="3178" w:type="dxa"/>
          </w:tcPr>
          <w:p w14:paraId="2CE502C5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0°–15°; 2. 15°–40°; 3. &gt; 40°.</w:t>
            </w:r>
          </w:p>
        </w:tc>
      </w:tr>
      <w:tr w:rsidR="004D053D" w:rsidRPr="004D053D" w14:paraId="707BAF43" w14:textId="77777777" w:rsidTr="004D053D">
        <w:trPr>
          <w:trHeight w:val="238"/>
          <w:jc w:val="center"/>
        </w:trPr>
        <w:tc>
          <w:tcPr>
            <w:tcW w:w="2176" w:type="dxa"/>
          </w:tcPr>
          <w:p w14:paraId="126AED66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Slope position</w:t>
            </w:r>
          </w:p>
        </w:tc>
        <w:tc>
          <w:tcPr>
            <w:tcW w:w="4392" w:type="dxa"/>
          </w:tcPr>
          <w:p w14:paraId="2B2217DB" w14:textId="69B837AC" w:rsidR="004D053D" w:rsidRPr="004D053D" w:rsidRDefault="00A01EA1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S</w:t>
            </w:r>
            <w:r w:rsidRPr="00A01EA1">
              <w:rPr>
                <w:rFonts w:cs="Times New Roman"/>
                <w:sz w:val="21"/>
                <w:szCs w:val="21"/>
              </w:rPr>
              <w:t xml:space="preserve">lope position is estimated based on the location of the </w:t>
            </w:r>
            <w:r w:rsidRPr="004D053D">
              <w:rPr>
                <w:rFonts w:cs="Times New Roman"/>
                <w:sz w:val="21"/>
                <w:szCs w:val="21"/>
              </w:rPr>
              <w:t>quadrat</w:t>
            </w:r>
            <w:r w:rsidRPr="00A01EA1">
              <w:rPr>
                <w:rFonts w:cs="Times New Roman"/>
                <w:sz w:val="21"/>
                <w:szCs w:val="21"/>
              </w:rPr>
              <w:t xml:space="preserve"> within the entire hillside.</w:t>
            </w:r>
          </w:p>
        </w:tc>
        <w:tc>
          <w:tcPr>
            <w:tcW w:w="3178" w:type="dxa"/>
          </w:tcPr>
          <w:p w14:paraId="55F9F011" w14:textId="77777777" w:rsidR="004D053D" w:rsidRPr="004D053D" w:rsidRDefault="004D053D" w:rsidP="004D053D">
            <w:pPr>
              <w:spacing w:line="240" w:lineRule="auto"/>
              <w:ind w:firstLineChars="0" w:firstLine="0"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Down</w:t>
            </w:r>
            <w:r w:rsidRPr="004D053D">
              <w:rPr>
                <w:rFonts w:cs="Times New Roman" w:hint="eastAsia"/>
                <w:sz w:val="21"/>
                <w:szCs w:val="21"/>
              </w:rPr>
              <w:t>-slope</w:t>
            </w:r>
            <w:r w:rsidRPr="004D053D">
              <w:rPr>
                <w:rFonts w:cs="Times New Roman"/>
                <w:sz w:val="21"/>
                <w:szCs w:val="21"/>
              </w:rPr>
              <w:t xml:space="preserve"> position; 2. Mid-slope position; 3. Up</w:t>
            </w:r>
            <w:r w:rsidRPr="004D053D">
              <w:rPr>
                <w:rFonts w:cs="Times New Roman" w:hint="eastAsia"/>
                <w:sz w:val="21"/>
                <w:szCs w:val="21"/>
              </w:rPr>
              <w:t>-slope</w:t>
            </w:r>
            <w:r w:rsidRPr="004D053D">
              <w:rPr>
                <w:rFonts w:cs="Times New Roman"/>
                <w:sz w:val="21"/>
                <w:szCs w:val="21"/>
              </w:rPr>
              <w:t xml:space="preserve"> position.</w:t>
            </w:r>
          </w:p>
        </w:tc>
      </w:tr>
      <w:tr w:rsidR="004D053D" w:rsidRPr="004D053D" w14:paraId="79175134" w14:textId="77777777" w:rsidTr="004D053D">
        <w:trPr>
          <w:trHeight w:val="238"/>
          <w:jc w:val="center"/>
        </w:trPr>
        <w:tc>
          <w:tcPr>
            <w:tcW w:w="2176" w:type="dxa"/>
          </w:tcPr>
          <w:p w14:paraId="53FF9D8B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lastRenderedPageBreak/>
              <w:t>Aspect (°)</w:t>
            </w:r>
          </w:p>
        </w:tc>
        <w:tc>
          <w:tcPr>
            <w:tcW w:w="4392" w:type="dxa"/>
          </w:tcPr>
          <w:p w14:paraId="104BAF3F" w14:textId="522A0CEB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Quadrat aspect was recorded with GPS.</w:t>
            </w:r>
            <w:r w:rsidR="003B75A1">
              <w:t xml:space="preserve"> </w:t>
            </w:r>
            <w:r w:rsidR="003B75A1">
              <w:rPr>
                <w:rFonts w:hint="eastAsia"/>
              </w:rPr>
              <w:t>And c</w:t>
            </w:r>
            <w:r w:rsidR="003B75A1" w:rsidRPr="003B75A1">
              <w:rPr>
                <w:rFonts w:cs="Times New Roman"/>
                <w:sz w:val="21"/>
                <w:szCs w:val="21"/>
              </w:rPr>
              <w:t xml:space="preserve">lassification of different aspect </w:t>
            </w:r>
            <w:r w:rsidR="003B75A1">
              <w:rPr>
                <w:rFonts w:cs="Times New Roman" w:hint="eastAsia"/>
                <w:sz w:val="21"/>
                <w:szCs w:val="21"/>
              </w:rPr>
              <w:t>c</w:t>
            </w:r>
            <w:r w:rsidR="003B75A1" w:rsidRPr="003B75A1">
              <w:rPr>
                <w:rFonts w:cs="Times New Roman"/>
                <w:sz w:val="21"/>
                <w:szCs w:val="21"/>
              </w:rPr>
              <w:t>ategories based on the duration of solar radiation throughout the day.</w:t>
            </w:r>
          </w:p>
        </w:tc>
        <w:tc>
          <w:tcPr>
            <w:tcW w:w="3178" w:type="dxa"/>
          </w:tcPr>
          <w:p w14:paraId="428EBDE2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Sunny slope (135° half-shaded and half-sunny slope (45°–135°, 225°–315°).</w:t>
            </w:r>
          </w:p>
        </w:tc>
      </w:tr>
      <w:tr w:rsidR="004D053D" w:rsidRPr="004D053D" w14:paraId="231ABEF7" w14:textId="77777777" w:rsidTr="004D053D">
        <w:trPr>
          <w:trHeight w:val="238"/>
          <w:jc w:val="center"/>
        </w:trPr>
        <w:tc>
          <w:tcPr>
            <w:tcW w:w="2176" w:type="dxa"/>
          </w:tcPr>
          <w:p w14:paraId="0E932A62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from roads (m)</w:t>
            </w:r>
          </w:p>
        </w:tc>
        <w:tc>
          <w:tcPr>
            <w:tcW w:w="4392" w:type="dxa"/>
          </w:tcPr>
          <w:p w14:paraId="3ECDBA0F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of quadrat from the road (m) was measured using a tape measure.</w:t>
            </w:r>
          </w:p>
        </w:tc>
        <w:tc>
          <w:tcPr>
            <w:tcW w:w="3178" w:type="dxa"/>
          </w:tcPr>
          <w:p w14:paraId="75679DB9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0–10 m; 2. 10–30 m; 3. &gt; 30 m.</w:t>
            </w:r>
          </w:p>
        </w:tc>
      </w:tr>
      <w:tr w:rsidR="004D053D" w:rsidRPr="004D053D" w14:paraId="396AE2BA" w14:textId="77777777" w:rsidTr="004D053D">
        <w:trPr>
          <w:trHeight w:val="238"/>
          <w:jc w:val="center"/>
        </w:trPr>
        <w:tc>
          <w:tcPr>
            <w:tcW w:w="2176" w:type="dxa"/>
          </w:tcPr>
          <w:p w14:paraId="541CCDD7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from water (m)</w:t>
            </w:r>
          </w:p>
        </w:tc>
        <w:tc>
          <w:tcPr>
            <w:tcW w:w="4392" w:type="dxa"/>
          </w:tcPr>
          <w:p w14:paraId="70118F36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of quadrat from water was measured using a tape measure.</w:t>
            </w:r>
          </w:p>
        </w:tc>
        <w:tc>
          <w:tcPr>
            <w:tcW w:w="3178" w:type="dxa"/>
          </w:tcPr>
          <w:p w14:paraId="6CB01036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5 m; 2. 5–20 m; 3. &gt; 20 m.</w:t>
            </w:r>
          </w:p>
        </w:tc>
      </w:tr>
      <w:tr w:rsidR="004D053D" w:rsidRPr="004D053D" w14:paraId="57B42A41" w14:textId="77777777" w:rsidTr="004D053D">
        <w:trPr>
          <w:trHeight w:val="238"/>
          <w:jc w:val="center"/>
        </w:trPr>
        <w:tc>
          <w:tcPr>
            <w:tcW w:w="2176" w:type="dxa"/>
          </w:tcPr>
          <w:p w14:paraId="5488BDD4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from residential sites (m)</w:t>
            </w:r>
          </w:p>
        </w:tc>
        <w:tc>
          <w:tcPr>
            <w:tcW w:w="4392" w:type="dxa"/>
          </w:tcPr>
          <w:p w14:paraId="1CE75A11" w14:textId="616FBFA2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Distance of quadrat from residential sites</w:t>
            </w:r>
            <w:r w:rsidR="003B1BC2">
              <w:rPr>
                <w:rFonts w:cs="Times New Roman" w:hint="eastAsia"/>
                <w:sz w:val="21"/>
                <w:szCs w:val="21"/>
              </w:rPr>
              <w:t xml:space="preserve"> (</w:t>
            </w:r>
            <w:r w:rsidR="003B1BC2" w:rsidRPr="003B1BC2">
              <w:rPr>
                <w:rFonts w:cs="Times New Roman"/>
                <w:sz w:val="21"/>
                <w:szCs w:val="21"/>
              </w:rPr>
              <w:t>The nearest residential buildings on the map</w:t>
            </w:r>
            <w:r w:rsidR="003B1BC2">
              <w:rPr>
                <w:rFonts w:cs="Times New Roman" w:hint="eastAsia"/>
                <w:sz w:val="21"/>
                <w:szCs w:val="21"/>
              </w:rPr>
              <w:t>)</w:t>
            </w:r>
            <w:r w:rsidRPr="004D053D">
              <w:rPr>
                <w:rFonts w:cs="Times New Roman"/>
                <w:sz w:val="21"/>
                <w:szCs w:val="21"/>
              </w:rPr>
              <w:t xml:space="preserve"> was measured using the ArcGIS v10.8 Mapping tool.</w:t>
            </w:r>
          </w:p>
        </w:tc>
        <w:tc>
          <w:tcPr>
            <w:tcW w:w="3178" w:type="dxa"/>
          </w:tcPr>
          <w:p w14:paraId="7276EECD" w14:textId="77777777" w:rsidR="004D053D" w:rsidRPr="004D053D" w:rsidRDefault="004D053D" w:rsidP="004D053D">
            <w:pPr>
              <w:spacing w:line="240" w:lineRule="auto"/>
              <w:ind w:firstLineChars="0" w:firstLine="0"/>
              <w:contextualSpacing/>
              <w:jc w:val="left"/>
              <w:rPr>
                <w:rFonts w:cs="Times New Roman"/>
                <w:sz w:val="21"/>
                <w:szCs w:val="21"/>
              </w:rPr>
            </w:pPr>
            <w:r w:rsidRPr="004D053D">
              <w:rPr>
                <w:rFonts w:cs="Times New Roman"/>
                <w:sz w:val="21"/>
                <w:szCs w:val="21"/>
              </w:rPr>
              <w:t>1. &lt; 100 m; 2. 100–500 m; 3. &gt; 500 m.</w:t>
            </w:r>
          </w:p>
        </w:tc>
      </w:tr>
    </w:tbl>
    <w:p w14:paraId="35C5DC27" w14:textId="77777777" w:rsidR="004D053D" w:rsidRPr="004D053D" w:rsidRDefault="004D053D" w:rsidP="004D053D">
      <w:pPr>
        <w:ind w:firstLineChars="0" w:firstLine="0"/>
        <w:jc w:val="left"/>
        <w:rPr>
          <w:rFonts w:cs="Arial"/>
          <w:szCs w:val="24"/>
        </w:rPr>
        <w:sectPr w:rsidR="004D053D" w:rsidRPr="004D053D" w:rsidSect="007901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bookmarkEnd w:id="1"/>
    <w:p w14:paraId="50611086" w14:textId="6E2A6213" w:rsidR="00C31211" w:rsidRDefault="00C31211" w:rsidP="00971552">
      <w:pPr>
        <w:pStyle w:val="a7"/>
        <w:jc w:val="left"/>
      </w:pPr>
    </w:p>
    <w:sectPr w:rsidR="00C31211" w:rsidSect="007901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5F17" w14:textId="77777777" w:rsidR="00100045" w:rsidRDefault="00100045" w:rsidP="003F41BF">
      <w:pPr>
        <w:spacing w:line="240" w:lineRule="auto"/>
        <w:ind w:firstLine="480"/>
      </w:pPr>
      <w:r>
        <w:separator/>
      </w:r>
    </w:p>
  </w:endnote>
  <w:endnote w:type="continuationSeparator" w:id="0">
    <w:p w14:paraId="6F59078C" w14:textId="77777777" w:rsidR="00100045" w:rsidRDefault="00100045" w:rsidP="003F41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C3B9" w14:textId="77777777" w:rsidR="00D72E26" w:rsidRDefault="00D72E26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138F" w14:textId="77777777" w:rsidR="00D72E26" w:rsidRDefault="00D72E26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7B3E" w14:textId="77777777" w:rsidR="00D72E26" w:rsidRDefault="00D72E26">
    <w:pPr>
      <w:pStyle w:val="a5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619D" w14:textId="77777777" w:rsidR="00971552" w:rsidRDefault="00971552">
    <w:pPr>
      <w:pStyle w:val="a5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0BB7" w14:textId="77777777" w:rsidR="00971552" w:rsidRDefault="00971552">
    <w:pPr>
      <w:pStyle w:val="a5"/>
      <w:rPr>
        <w:rFonts w:hint="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F3FD" w14:textId="77777777" w:rsidR="00971552" w:rsidRDefault="0097155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98B8" w14:textId="77777777" w:rsidR="00100045" w:rsidRDefault="00100045" w:rsidP="003F41BF">
      <w:pPr>
        <w:spacing w:line="240" w:lineRule="auto"/>
        <w:ind w:firstLine="480"/>
      </w:pPr>
      <w:r>
        <w:separator/>
      </w:r>
    </w:p>
  </w:footnote>
  <w:footnote w:type="continuationSeparator" w:id="0">
    <w:p w14:paraId="30D5D2CE" w14:textId="77777777" w:rsidR="00100045" w:rsidRDefault="00100045" w:rsidP="003F41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BEDE" w14:textId="77777777" w:rsidR="00D72E26" w:rsidRDefault="00D72E26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3D7A" w14:textId="77777777" w:rsidR="00D72E26" w:rsidRDefault="00D72E26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5F38" w14:textId="77777777" w:rsidR="00D72E26" w:rsidRDefault="00D72E26">
    <w:pPr>
      <w:pStyle w:val="a3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A45" w14:textId="77777777" w:rsidR="00971552" w:rsidRDefault="00971552">
    <w:pPr>
      <w:pStyle w:val="a3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9563" w14:textId="77777777" w:rsidR="00971552" w:rsidRDefault="00971552">
    <w:pPr>
      <w:pStyle w:val="a3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A3AB" w14:textId="77777777" w:rsidR="00971552" w:rsidRDefault="0097155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1"/>
    <w:rsid w:val="00071230"/>
    <w:rsid w:val="000A39F6"/>
    <w:rsid w:val="000C0A36"/>
    <w:rsid w:val="00100045"/>
    <w:rsid w:val="00124FAD"/>
    <w:rsid w:val="00146DA2"/>
    <w:rsid w:val="001E318F"/>
    <w:rsid w:val="0033286D"/>
    <w:rsid w:val="00363198"/>
    <w:rsid w:val="003B1BC2"/>
    <w:rsid w:val="003B75A1"/>
    <w:rsid w:val="003F41BF"/>
    <w:rsid w:val="004709A1"/>
    <w:rsid w:val="004D053D"/>
    <w:rsid w:val="00531757"/>
    <w:rsid w:val="00536570"/>
    <w:rsid w:val="00571E93"/>
    <w:rsid w:val="00771828"/>
    <w:rsid w:val="007901C7"/>
    <w:rsid w:val="007A7B6A"/>
    <w:rsid w:val="007D5713"/>
    <w:rsid w:val="007D7962"/>
    <w:rsid w:val="007F5A6D"/>
    <w:rsid w:val="00836D80"/>
    <w:rsid w:val="00867F46"/>
    <w:rsid w:val="00877C17"/>
    <w:rsid w:val="00971552"/>
    <w:rsid w:val="009B64F5"/>
    <w:rsid w:val="00A01EA1"/>
    <w:rsid w:val="00A202F4"/>
    <w:rsid w:val="00A773A9"/>
    <w:rsid w:val="00AE1267"/>
    <w:rsid w:val="00B33AA0"/>
    <w:rsid w:val="00C1522A"/>
    <w:rsid w:val="00C31211"/>
    <w:rsid w:val="00D0541C"/>
    <w:rsid w:val="00D72E26"/>
    <w:rsid w:val="00F7596D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07E0"/>
  <w15:chartTrackingRefBased/>
  <w15:docId w15:val="{B4E8B153-877E-4C82-AF8B-0A615EE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1BF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F4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1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F41BF"/>
    <w:rPr>
      <w:sz w:val="18"/>
      <w:szCs w:val="18"/>
    </w:rPr>
  </w:style>
  <w:style w:type="paragraph" w:customStyle="1" w:styleId="a7">
    <w:name w:val="图表标题"/>
    <w:basedOn w:val="a"/>
    <w:link w:val="a8"/>
    <w:qFormat/>
    <w:rsid w:val="003F41BF"/>
    <w:pPr>
      <w:spacing w:line="500" w:lineRule="exact"/>
      <w:ind w:firstLineChars="0" w:firstLine="0"/>
      <w:jc w:val="center"/>
    </w:pPr>
    <w:rPr>
      <w:rFonts w:eastAsia="黑体" w:cs="Times New Roman"/>
      <w:sz w:val="21"/>
      <w:szCs w:val="21"/>
    </w:rPr>
  </w:style>
  <w:style w:type="character" w:customStyle="1" w:styleId="a8">
    <w:name w:val="图表标题 字符"/>
    <w:link w:val="a7"/>
    <w:qFormat/>
    <w:rsid w:val="003F41BF"/>
    <w:rPr>
      <w:rFonts w:ascii="Times New Roman" w:eastAsia="黑体" w:hAnsi="Times New Roman" w:cs="Times New Roman"/>
      <w:sz w:val="21"/>
      <w:szCs w:val="21"/>
      <w14:ligatures w14:val="none"/>
    </w:rPr>
  </w:style>
  <w:style w:type="table" w:customStyle="1" w:styleId="11">
    <w:name w:val="网格型11"/>
    <w:basedOn w:val="a1"/>
    <w:uiPriority w:val="39"/>
    <w:qFormat/>
    <w:rsid w:val="003F41BF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表格文字"/>
    <w:qFormat/>
    <w:rsid w:val="003F41BF"/>
    <w:rPr>
      <w:rFonts w:ascii="Times New Roman" w:eastAsiaTheme="minorEastAsia" w:hAnsi="Times New Roman" w:cs="Times New Roman" w:hint="default"/>
      <w:color w:val="000000"/>
      <w:sz w:val="21"/>
      <w:szCs w:val="22"/>
    </w:rPr>
  </w:style>
  <w:style w:type="table" w:styleId="a9">
    <w:name w:val="Table Grid"/>
    <w:basedOn w:val="a1"/>
    <w:uiPriority w:val="39"/>
    <w:qFormat/>
    <w:rsid w:val="0097155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4D053D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宋文 谭</dc:creator>
  <cp:keywords/>
  <dc:description/>
  <cp:lastModifiedBy>宋文 谭</cp:lastModifiedBy>
  <cp:revision>17</cp:revision>
  <dcterms:created xsi:type="dcterms:W3CDTF">2024-05-06T07:13:00Z</dcterms:created>
  <dcterms:modified xsi:type="dcterms:W3CDTF">2024-11-01T08:55:00Z</dcterms:modified>
</cp:coreProperties>
</file>