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62225" w14:textId="5A14054F" w:rsidR="00B7322A" w:rsidRPr="0002298C" w:rsidRDefault="0002298C" w:rsidP="00DC4D20">
      <w:pPr>
        <w:spacing w:line="480" w:lineRule="exact"/>
        <w:jc w:val="center"/>
        <w:rPr>
          <w:rFonts w:ascii="Calibri" w:eastAsia="標楷體" w:hAnsi="Calibri" w:cs="Calibri"/>
          <w:b/>
          <w:bCs/>
          <w:color w:val="000000" w:themeColor="text1"/>
          <w:sz w:val="40"/>
          <w:szCs w:val="40"/>
        </w:rPr>
      </w:pPr>
      <w:r w:rsidRPr="0002298C">
        <w:rPr>
          <w:rFonts w:ascii="Calibri" w:eastAsia="標楷體" w:hAnsi="Calibri" w:cs="Calibri"/>
          <w:b/>
          <w:bCs/>
          <w:color w:val="000000" w:themeColor="text1"/>
          <w:sz w:val="40"/>
          <w:szCs w:val="40"/>
        </w:rPr>
        <w:t>Proposal</w:t>
      </w:r>
    </w:p>
    <w:tbl>
      <w:tblPr>
        <w:tblW w:w="0" w:type="auto"/>
        <w:tblInd w:w="-26"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0441"/>
      </w:tblGrid>
      <w:tr w:rsidR="00B7322A" w:rsidRPr="00E4215B" w14:paraId="72E1DF93" w14:textId="77777777">
        <w:trPr>
          <w:trHeight w:val="7455"/>
        </w:trPr>
        <w:tc>
          <w:tcPr>
            <w:tcW w:w="10441" w:type="dxa"/>
            <w:tcBorders>
              <w:top w:val="single" w:sz="6" w:space="0" w:color="auto"/>
              <w:bottom w:val="single" w:sz="6" w:space="0" w:color="auto"/>
            </w:tcBorders>
          </w:tcPr>
          <w:p w14:paraId="0FC8AA4E" w14:textId="77777777" w:rsidR="00B7322A" w:rsidRPr="00A4721D" w:rsidRDefault="00B7322A" w:rsidP="00293149">
            <w:pPr>
              <w:ind w:rightChars="50" w:right="120"/>
              <w:rPr>
                <w:rFonts w:eastAsia="標楷體"/>
                <w:b/>
                <w:color w:val="000000" w:themeColor="text1"/>
              </w:rPr>
            </w:pPr>
            <w:r w:rsidRPr="00A4721D">
              <w:rPr>
                <w:rFonts w:eastAsia="標楷體"/>
                <w:b/>
                <w:color w:val="000000" w:themeColor="text1"/>
              </w:rPr>
              <w:t>一、計畫名稱：</w:t>
            </w:r>
          </w:p>
          <w:p w14:paraId="203A230B" w14:textId="42A4604C" w:rsidR="0074093D" w:rsidRPr="00A4721D" w:rsidRDefault="00B7322A" w:rsidP="008351B0">
            <w:pPr>
              <w:pBdr>
                <w:top w:val="nil"/>
                <w:left w:val="nil"/>
                <w:bottom w:val="nil"/>
                <w:right w:val="nil"/>
                <w:between w:val="nil"/>
              </w:pBdr>
              <w:ind w:hanging="2"/>
              <w:jc w:val="both"/>
              <w:rPr>
                <w:rFonts w:ascii="Calibri" w:eastAsia="Calibri" w:hAnsi="Calibri" w:cs="Calibri"/>
                <w:color w:val="000000" w:themeColor="text1"/>
              </w:rPr>
            </w:pPr>
            <w:r w:rsidRPr="00A4721D">
              <w:rPr>
                <w:rFonts w:eastAsia="標楷體"/>
                <w:color w:val="000000" w:themeColor="text1"/>
              </w:rPr>
              <w:t>中文</w:t>
            </w:r>
            <w:r w:rsidRPr="00A4721D">
              <w:rPr>
                <w:rFonts w:eastAsia="標楷體"/>
                <w:color w:val="000000" w:themeColor="text1"/>
              </w:rPr>
              <w:t>:</w:t>
            </w:r>
            <w:r w:rsidR="0074093D" w:rsidRPr="00A4721D">
              <w:rPr>
                <w:rFonts w:ascii="Calibri" w:eastAsia="Calibri" w:hAnsi="Calibri" w:cs="Calibri"/>
                <w:color w:val="000000" w:themeColor="text1"/>
              </w:rPr>
              <w:t xml:space="preserve"> </w:t>
            </w:r>
            <w:r w:rsidR="0074093D" w:rsidRPr="00A4721D">
              <w:rPr>
                <w:rFonts w:eastAsia="標楷體"/>
                <w:color w:val="000000" w:themeColor="text1"/>
              </w:rPr>
              <w:t>口服尿毒素吸附劑</w:t>
            </w:r>
            <w:r w:rsidR="00F16C76" w:rsidRPr="00A4721D">
              <w:rPr>
                <w:rFonts w:eastAsia="標楷體"/>
                <w:color w:val="000000" w:themeColor="text1"/>
              </w:rPr>
              <w:t>活性碳</w:t>
            </w:r>
            <w:r w:rsidR="007644B5" w:rsidRPr="00A4721D">
              <w:rPr>
                <w:rFonts w:eastAsia="標楷體" w:hint="eastAsia"/>
                <w:color w:val="000000" w:themeColor="text1"/>
              </w:rPr>
              <w:t>及益生菌</w:t>
            </w:r>
            <w:r w:rsidR="0074093D" w:rsidRPr="00A4721D">
              <w:rPr>
                <w:rFonts w:eastAsia="標楷體"/>
                <w:color w:val="000000" w:themeColor="text1"/>
              </w:rPr>
              <w:t>對於減緩慢性腎臟病</w:t>
            </w:r>
            <w:r w:rsidR="00037728" w:rsidRPr="00A4721D">
              <w:rPr>
                <w:rFonts w:eastAsia="標楷體" w:hint="eastAsia"/>
                <w:color w:val="000000" w:themeColor="text1"/>
              </w:rPr>
              <w:t>進展</w:t>
            </w:r>
            <w:r w:rsidR="0074093D" w:rsidRPr="00A4721D">
              <w:rPr>
                <w:rFonts w:eastAsia="標楷體"/>
                <w:color w:val="000000" w:themeColor="text1"/>
              </w:rPr>
              <w:t>之</w:t>
            </w:r>
            <w:r w:rsidR="001B65F6">
              <w:rPr>
                <w:rFonts w:eastAsia="標楷體" w:hint="eastAsia"/>
                <w:color w:val="000000" w:themeColor="text1"/>
              </w:rPr>
              <w:t>前導隨機對照</w:t>
            </w:r>
            <w:r w:rsidR="0074093D" w:rsidRPr="00A4721D">
              <w:rPr>
                <w:rFonts w:eastAsia="標楷體"/>
                <w:color w:val="000000" w:themeColor="text1"/>
              </w:rPr>
              <w:t>研究</w:t>
            </w:r>
          </w:p>
          <w:p w14:paraId="4FEF9930" w14:textId="0B2CA2FA" w:rsidR="00786D11" w:rsidRPr="00A4721D" w:rsidRDefault="00B7322A" w:rsidP="008351B0">
            <w:pPr>
              <w:pBdr>
                <w:top w:val="nil"/>
                <w:left w:val="nil"/>
                <w:bottom w:val="nil"/>
                <w:right w:val="nil"/>
                <w:between w:val="nil"/>
              </w:pBdr>
              <w:ind w:hanging="2"/>
              <w:jc w:val="both"/>
              <w:rPr>
                <w:rFonts w:ascii="Calibri" w:eastAsia="Calibri" w:hAnsi="Calibri" w:cs="Calibri"/>
                <w:color w:val="000000" w:themeColor="text1"/>
              </w:rPr>
            </w:pPr>
            <w:r w:rsidRPr="00A4721D">
              <w:rPr>
                <w:rFonts w:eastAsia="標楷體"/>
                <w:color w:val="000000" w:themeColor="text1"/>
              </w:rPr>
              <w:t>英文</w:t>
            </w:r>
            <w:r w:rsidRPr="00A4721D">
              <w:rPr>
                <w:rFonts w:eastAsia="標楷體"/>
                <w:color w:val="000000" w:themeColor="text1"/>
              </w:rPr>
              <w:t>:</w:t>
            </w:r>
            <w:r w:rsidR="0074093D" w:rsidRPr="00A4721D">
              <w:rPr>
                <w:rFonts w:ascii="新細明體" w:hAnsi="新細明體" w:cs="新細明體"/>
                <w:color w:val="000000" w:themeColor="text1"/>
              </w:rPr>
              <w:t xml:space="preserve"> </w:t>
            </w:r>
            <w:r w:rsidR="001B65F6" w:rsidRPr="001B65F6">
              <w:rPr>
                <w:rFonts w:asciiTheme="minorHAnsi" w:hAnsiTheme="minorHAnsi" w:cstheme="minorHAnsi"/>
                <w:color w:val="000000" w:themeColor="text1"/>
              </w:rPr>
              <w:t xml:space="preserve">A pilot randomized control </w:t>
            </w:r>
            <w:r w:rsidR="00037728" w:rsidRPr="001B65F6">
              <w:rPr>
                <w:rFonts w:asciiTheme="minorHAnsi" w:eastAsia="Calibri" w:hAnsiTheme="minorHAnsi" w:cstheme="minorHAnsi"/>
                <w:color w:val="000000" w:themeColor="text1"/>
              </w:rPr>
              <w:t>St</w:t>
            </w:r>
            <w:r w:rsidR="0074093D" w:rsidRPr="001B65F6">
              <w:rPr>
                <w:rFonts w:asciiTheme="minorHAnsi" w:eastAsia="Calibri" w:hAnsiTheme="minorHAnsi" w:cstheme="minorHAnsi"/>
                <w:color w:val="000000" w:themeColor="text1"/>
              </w:rPr>
              <w:t>udy of oral uremic toxin absorbent</w:t>
            </w:r>
            <w:r w:rsidR="007644B5" w:rsidRPr="001B65F6">
              <w:rPr>
                <w:rFonts w:asciiTheme="minorHAnsi" w:eastAsia="Calibri" w:hAnsiTheme="minorHAnsi" w:cstheme="minorHAnsi"/>
                <w:color w:val="000000" w:themeColor="text1"/>
              </w:rPr>
              <w:t xml:space="preserve"> and probiotics</w:t>
            </w:r>
            <w:r w:rsidR="0074093D" w:rsidRPr="001B65F6">
              <w:rPr>
                <w:rFonts w:asciiTheme="minorHAnsi" w:eastAsia="Calibri" w:hAnsiTheme="minorHAnsi" w:cstheme="minorHAnsi"/>
                <w:color w:val="000000" w:themeColor="text1"/>
              </w:rPr>
              <w:t xml:space="preserve"> to retard the progression of chronic kidney</w:t>
            </w:r>
            <w:r w:rsidR="0074093D" w:rsidRPr="00A4721D">
              <w:rPr>
                <w:rFonts w:ascii="Calibri" w:eastAsia="Calibri" w:hAnsi="Calibri" w:cs="Calibri"/>
                <w:color w:val="000000" w:themeColor="text1"/>
              </w:rPr>
              <w:t xml:space="preserve"> </w:t>
            </w:r>
          </w:p>
          <w:p w14:paraId="715F1304" w14:textId="7A3FF83C" w:rsidR="0074093D" w:rsidRPr="00A4721D" w:rsidRDefault="00786D11" w:rsidP="008351B0">
            <w:pPr>
              <w:pBdr>
                <w:top w:val="nil"/>
                <w:left w:val="nil"/>
                <w:bottom w:val="nil"/>
                <w:right w:val="nil"/>
                <w:between w:val="nil"/>
              </w:pBdr>
              <w:ind w:hanging="2"/>
              <w:jc w:val="both"/>
              <w:rPr>
                <w:rFonts w:ascii="Calibri" w:eastAsia="Calibri" w:hAnsi="Calibri" w:cs="Calibri"/>
                <w:color w:val="000000" w:themeColor="text1"/>
              </w:rPr>
            </w:pPr>
            <w:r w:rsidRPr="00A4721D">
              <w:rPr>
                <w:rFonts w:asciiTheme="minorEastAsia" w:eastAsiaTheme="minorEastAsia" w:hAnsiTheme="minorEastAsia" w:cs="Calibri" w:hint="eastAsia"/>
                <w:color w:val="000000" w:themeColor="text1"/>
              </w:rPr>
              <w:t xml:space="preserve">     </w:t>
            </w:r>
            <w:r w:rsidR="0074093D" w:rsidRPr="00A4721D">
              <w:rPr>
                <w:rFonts w:ascii="Calibri" w:eastAsia="Calibri" w:hAnsi="Calibri" w:cs="Calibri"/>
                <w:color w:val="000000" w:themeColor="text1"/>
              </w:rPr>
              <w:t xml:space="preserve">disease </w:t>
            </w:r>
          </w:p>
          <w:p w14:paraId="5542E129" w14:textId="219A5175" w:rsidR="007F1D9E" w:rsidRPr="00A4721D" w:rsidRDefault="00ED4DC4" w:rsidP="00293149">
            <w:pPr>
              <w:ind w:rightChars="50" w:right="120"/>
              <w:rPr>
                <w:rFonts w:eastAsia="標楷體"/>
                <w:b/>
                <w:color w:val="000000" w:themeColor="text1"/>
              </w:rPr>
            </w:pPr>
            <w:r>
              <w:rPr>
                <w:rFonts w:eastAsia="標楷體" w:hint="eastAsia"/>
                <w:b/>
                <w:color w:val="000000" w:themeColor="text1"/>
              </w:rPr>
              <w:t>二</w:t>
            </w:r>
            <w:r w:rsidR="00B7322A" w:rsidRPr="00A4721D">
              <w:rPr>
                <w:rFonts w:eastAsia="標楷體"/>
                <w:b/>
                <w:color w:val="000000" w:themeColor="text1"/>
              </w:rPr>
              <w:t>、研究主題說明：</w:t>
            </w:r>
            <w:r w:rsidR="000B2549" w:rsidRPr="00A4721D">
              <w:rPr>
                <w:rFonts w:eastAsia="標楷體"/>
                <w:b/>
                <w:color w:val="000000" w:themeColor="text1"/>
              </w:rPr>
              <w:t xml:space="preserve"> </w:t>
            </w:r>
          </w:p>
          <w:p w14:paraId="01C4BCDD" w14:textId="77777777" w:rsidR="0074093D" w:rsidRPr="00A4721D" w:rsidRDefault="00D03D1D" w:rsidP="007B7BDF">
            <w:pPr>
              <w:ind w:hanging="2"/>
              <w:jc w:val="both"/>
              <w:rPr>
                <w:rFonts w:ascii="標楷體" w:eastAsia="標楷體" w:hAnsi="標楷體" w:cs="Calibri"/>
                <w:color w:val="000000" w:themeColor="text1"/>
              </w:rPr>
            </w:pPr>
            <w:r w:rsidRPr="00A4721D">
              <w:rPr>
                <w:rFonts w:ascii="標楷體" w:eastAsia="標楷體" w:hAnsi="標楷體" w:cs="微軟正黑體" w:hint="eastAsia"/>
                <w:color w:val="000000" w:themeColor="text1"/>
              </w:rPr>
              <w:t xml:space="preserve">    </w:t>
            </w:r>
            <w:r w:rsidR="00A7614E" w:rsidRPr="00A4721D">
              <w:rPr>
                <w:rFonts w:ascii="標楷體" w:eastAsia="標楷體" w:hAnsi="標楷體" w:cs="微軟正黑體" w:hint="eastAsia"/>
                <w:color w:val="000000" w:themeColor="text1"/>
              </w:rPr>
              <w:t>口服活性碳尿毒素吸附劑</w:t>
            </w:r>
            <w:r w:rsidR="0093076D" w:rsidRPr="00A4721D">
              <w:rPr>
                <w:rFonts w:ascii="標楷體" w:eastAsia="標楷體" w:hAnsi="標楷體" w:cs="微軟正黑體" w:hint="eastAsia"/>
                <w:color w:val="000000" w:themeColor="text1"/>
              </w:rPr>
              <w:t>活性碳</w:t>
            </w:r>
            <w:r w:rsidR="007E508F" w:rsidRPr="00A4721D">
              <w:rPr>
                <w:rFonts w:eastAsia="標楷體" w:hint="eastAsia"/>
                <w:color w:val="000000" w:themeColor="text1"/>
              </w:rPr>
              <w:t>及益生菌</w:t>
            </w:r>
            <w:r w:rsidR="00A7614E" w:rsidRPr="00A4721D">
              <w:rPr>
                <w:rFonts w:ascii="標楷體" w:eastAsia="標楷體" w:hAnsi="標楷體" w:cs="微軟正黑體" w:hint="eastAsia"/>
                <w:color w:val="000000" w:themeColor="text1"/>
              </w:rPr>
              <w:t>是否會改善及減緩慢性腎臟病</w:t>
            </w:r>
            <w:r w:rsidR="007D1F0D" w:rsidRPr="00A4721D">
              <w:rPr>
                <w:rFonts w:ascii="標楷體" w:eastAsia="標楷體" w:hAnsi="標楷體" w:cs="微軟正黑體" w:hint="eastAsia"/>
                <w:color w:val="000000" w:themeColor="text1"/>
              </w:rPr>
              <w:t>患者的預後</w:t>
            </w:r>
          </w:p>
          <w:p w14:paraId="738E0B07" w14:textId="537C5A1E" w:rsidR="0074093D" w:rsidRPr="00A4721D" w:rsidRDefault="00ED4DC4" w:rsidP="00A7614E">
            <w:pPr>
              <w:ind w:rightChars="50" w:right="120"/>
              <w:rPr>
                <w:rFonts w:eastAsia="標楷體"/>
                <w:b/>
                <w:color w:val="000000" w:themeColor="text1"/>
              </w:rPr>
            </w:pPr>
            <w:r>
              <w:rPr>
                <w:rFonts w:eastAsia="標楷體" w:hint="eastAsia"/>
                <w:b/>
                <w:color w:val="000000" w:themeColor="text1"/>
              </w:rPr>
              <w:t>三</w:t>
            </w:r>
            <w:r w:rsidR="00B7322A" w:rsidRPr="00A4721D">
              <w:rPr>
                <w:rFonts w:eastAsia="標楷體"/>
                <w:b/>
                <w:color w:val="000000" w:themeColor="text1"/>
              </w:rPr>
              <w:t>、研究目的及背景說明（包括學理根據及有關文獻報告）：</w:t>
            </w:r>
          </w:p>
          <w:p w14:paraId="2B49F3D9" w14:textId="77777777" w:rsidR="00D92084" w:rsidRPr="00A4721D" w:rsidRDefault="00B7322A" w:rsidP="00722CD6">
            <w:pPr>
              <w:ind w:leftChars="50" w:left="120" w:rightChars="50" w:right="120"/>
              <w:rPr>
                <w:rFonts w:eastAsia="標楷體"/>
                <w:b/>
                <w:color w:val="000000" w:themeColor="text1"/>
              </w:rPr>
            </w:pPr>
            <w:r w:rsidRPr="00A4721D">
              <w:rPr>
                <w:rFonts w:eastAsia="標楷體"/>
                <w:b/>
                <w:color w:val="000000" w:themeColor="text1"/>
              </w:rPr>
              <w:t>研究目的：</w:t>
            </w:r>
          </w:p>
          <w:p w14:paraId="4F1C9064" w14:textId="081A5D56" w:rsidR="008351B0" w:rsidRPr="00A4721D" w:rsidRDefault="00293149" w:rsidP="008351B0">
            <w:pPr>
              <w:spacing w:line="240" w:lineRule="atLeast"/>
              <w:ind w:rightChars="165" w:right="396"/>
              <w:jc w:val="both"/>
              <w:rPr>
                <w:rFonts w:eastAsia="標楷體"/>
                <w:color w:val="000000" w:themeColor="text1"/>
              </w:rPr>
            </w:pPr>
            <w:r w:rsidRPr="00A4721D">
              <w:rPr>
                <w:rFonts w:eastAsia="標楷體" w:hint="eastAsia"/>
                <w:color w:val="000000" w:themeColor="text1"/>
              </w:rPr>
              <w:t xml:space="preserve"> </w:t>
            </w:r>
            <w:r w:rsidR="00786D11" w:rsidRPr="00A4721D">
              <w:rPr>
                <w:rFonts w:eastAsia="標楷體" w:hint="eastAsia"/>
                <w:color w:val="000000" w:themeColor="text1"/>
              </w:rPr>
              <w:t xml:space="preserve"> </w:t>
            </w:r>
            <w:r w:rsidR="008351B0" w:rsidRPr="00A4721D">
              <w:rPr>
                <w:rFonts w:eastAsia="標楷體" w:hint="eastAsia"/>
                <w:color w:val="000000" w:themeColor="text1"/>
              </w:rPr>
              <w:t>測</w:t>
            </w:r>
            <w:r w:rsidR="008351B0" w:rsidRPr="00A4721D">
              <w:rPr>
                <w:rFonts w:eastAsia="標楷體"/>
                <w:color w:val="000000" w:themeColor="text1"/>
              </w:rPr>
              <w:t>試以下假說：</w:t>
            </w:r>
            <w:r w:rsidR="008351B0" w:rsidRPr="00A4721D">
              <w:rPr>
                <w:rFonts w:eastAsia="標楷體" w:hint="eastAsia"/>
                <w:color w:val="000000" w:themeColor="text1"/>
              </w:rPr>
              <w:t>使</w:t>
            </w:r>
            <w:r w:rsidR="008351B0" w:rsidRPr="00A4721D">
              <w:rPr>
                <w:rFonts w:eastAsia="標楷體"/>
                <w:color w:val="000000" w:themeColor="text1"/>
              </w:rPr>
              <w:t>用</w:t>
            </w:r>
            <w:r w:rsidR="0093076D" w:rsidRPr="00A4721D">
              <w:rPr>
                <w:rFonts w:eastAsia="標楷體"/>
                <w:color w:val="000000" w:themeColor="text1"/>
              </w:rPr>
              <w:t>口服竹炭活性碳</w:t>
            </w:r>
            <w:r w:rsidR="0093076D" w:rsidRPr="00A4721D">
              <w:rPr>
                <w:rFonts w:eastAsia="標楷體"/>
                <w:color w:val="000000" w:themeColor="text1"/>
              </w:rPr>
              <w:t>(activated bamboo charcoal, ABC)</w:t>
            </w:r>
            <w:r w:rsidR="000C764A" w:rsidRPr="00A4721D">
              <w:rPr>
                <w:rFonts w:ascii="Arial" w:eastAsia="標楷體" w:hAnsi="Arial" w:cs="Arial" w:hint="eastAsia"/>
                <w:color w:val="000000" w:themeColor="text1"/>
              </w:rPr>
              <w:t xml:space="preserve"> </w:t>
            </w:r>
            <w:r w:rsidR="000C764A" w:rsidRPr="00A4721D">
              <w:rPr>
                <w:rFonts w:ascii="Arial" w:eastAsia="標楷體" w:hAnsi="Arial" w:cs="Arial" w:hint="eastAsia"/>
                <w:color w:val="000000" w:themeColor="text1"/>
                <w:u w:val="single"/>
              </w:rPr>
              <w:t>+</w:t>
            </w:r>
            <w:r w:rsidR="000C764A" w:rsidRPr="00A4721D">
              <w:rPr>
                <w:rFonts w:ascii="Arial" w:eastAsia="標楷體" w:hAnsi="Arial" w:cs="Arial"/>
                <w:color w:val="000000" w:themeColor="text1"/>
              </w:rPr>
              <w:t xml:space="preserve"> </w:t>
            </w:r>
            <w:r w:rsidR="000C764A" w:rsidRPr="00A4721D">
              <w:rPr>
                <w:rFonts w:ascii="Arial" w:eastAsia="標楷體" w:hAnsi="Arial" w:cs="Arial" w:hint="eastAsia"/>
                <w:color w:val="000000" w:themeColor="text1"/>
              </w:rPr>
              <w:t>益生菌</w:t>
            </w:r>
            <w:r w:rsidR="008351B0" w:rsidRPr="00A4721D">
              <w:rPr>
                <w:rFonts w:eastAsia="標楷體" w:hint="eastAsia"/>
                <w:color w:val="000000" w:themeColor="text1"/>
              </w:rPr>
              <w:t>可</w:t>
            </w:r>
            <w:r w:rsidR="008351B0" w:rsidRPr="00A4721D">
              <w:rPr>
                <w:rFonts w:eastAsia="標楷體"/>
                <w:color w:val="000000" w:themeColor="text1"/>
              </w:rPr>
              <w:t>以</w:t>
            </w:r>
            <w:r w:rsidR="0002298C">
              <w:rPr>
                <w:rFonts w:eastAsia="標楷體" w:hint="eastAsia"/>
                <w:color w:val="000000" w:themeColor="text1"/>
              </w:rPr>
              <w:t>降低血中尿毒素及</w:t>
            </w:r>
            <w:r w:rsidRPr="00A4721D">
              <w:rPr>
                <w:rFonts w:eastAsia="標楷體"/>
                <w:color w:val="000000" w:themeColor="text1"/>
              </w:rPr>
              <w:t>減緩慢性腎臟病之</w:t>
            </w:r>
            <w:r w:rsidR="0093076D" w:rsidRPr="00A4721D">
              <w:rPr>
                <w:rFonts w:eastAsia="標楷體" w:hint="eastAsia"/>
                <w:color w:val="000000" w:themeColor="text1"/>
              </w:rPr>
              <w:t>進展</w:t>
            </w:r>
            <w:r w:rsidR="008351B0" w:rsidRPr="00A4721D">
              <w:rPr>
                <w:rFonts w:eastAsia="標楷體" w:hint="eastAsia"/>
                <w:color w:val="000000" w:themeColor="text1"/>
              </w:rPr>
              <w:t>，</w:t>
            </w:r>
            <w:r w:rsidR="008351B0" w:rsidRPr="00A4721D">
              <w:rPr>
                <w:rFonts w:eastAsia="標楷體"/>
                <w:color w:val="000000" w:themeColor="text1"/>
              </w:rPr>
              <w:t>包</w:t>
            </w:r>
            <w:r w:rsidR="008351B0" w:rsidRPr="00A4721D">
              <w:rPr>
                <w:rFonts w:eastAsia="標楷體" w:hint="eastAsia"/>
                <w:color w:val="000000" w:themeColor="text1"/>
              </w:rPr>
              <w:t>括</w:t>
            </w:r>
            <w:r w:rsidR="008351B0" w:rsidRPr="00A4721D">
              <w:rPr>
                <w:rFonts w:eastAsia="標楷體"/>
                <w:color w:val="000000" w:themeColor="text1"/>
              </w:rPr>
              <w:t>：</w:t>
            </w:r>
          </w:p>
          <w:p w14:paraId="4056C0E2" w14:textId="77777777" w:rsidR="0002298C" w:rsidRPr="00A4721D" w:rsidRDefault="0002298C" w:rsidP="0002298C">
            <w:pPr>
              <w:numPr>
                <w:ilvl w:val="0"/>
                <w:numId w:val="9"/>
              </w:numPr>
              <w:spacing w:line="240" w:lineRule="atLeast"/>
              <w:ind w:rightChars="165" w:right="396"/>
              <w:jc w:val="both"/>
              <w:rPr>
                <w:rFonts w:eastAsia="標楷體"/>
                <w:color w:val="000000" w:themeColor="text1"/>
              </w:rPr>
            </w:pPr>
            <w:r w:rsidRPr="00A4721D">
              <w:rPr>
                <w:rFonts w:eastAsia="標楷體" w:hint="eastAsia"/>
                <w:color w:val="000000" w:themeColor="text1"/>
              </w:rPr>
              <w:t>血清中尿毒素量改善或減緩上升。</w:t>
            </w:r>
          </w:p>
          <w:p w14:paraId="5D00D34E" w14:textId="5D5432F2" w:rsidR="000C22D1" w:rsidRPr="00A4721D" w:rsidRDefault="000C22D1" w:rsidP="000C22D1">
            <w:pPr>
              <w:numPr>
                <w:ilvl w:val="0"/>
                <w:numId w:val="9"/>
              </w:numPr>
              <w:spacing w:line="240" w:lineRule="atLeast"/>
              <w:ind w:rightChars="165" w:right="396"/>
              <w:jc w:val="both"/>
              <w:rPr>
                <w:rFonts w:eastAsia="標楷體"/>
                <w:color w:val="000000" w:themeColor="text1"/>
              </w:rPr>
            </w:pPr>
            <w:r w:rsidRPr="00A4721D">
              <w:rPr>
                <w:rFonts w:eastAsia="標楷體" w:hint="eastAsia"/>
                <w:color w:val="000000" w:themeColor="text1"/>
              </w:rPr>
              <w:t>腎功能指標減緩下降。</w:t>
            </w:r>
          </w:p>
          <w:p w14:paraId="146774E9" w14:textId="3BC0DCC7" w:rsidR="0079473F" w:rsidRPr="00A4721D" w:rsidRDefault="000C22D1" w:rsidP="0002298C">
            <w:pPr>
              <w:ind w:rightChars="50" w:right="120" w:firstLineChars="100" w:firstLine="240"/>
              <w:rPr>
                <w:rFonts w:eastAsia="標楷體"/>
                <w:b/>
                <w:color w:val="000000" w:themeColor="text1"/>
              </w:rPr>
            </w:pPr>
            <w:r w:rsidRPr="00A4721D">
              <w:rPr>
                <w:rFonts w:eastAsia="標楷體" w:hint="eastAsia"/>
                <w:color w:val="000000" w:themeColor="text1"/>
              </w:rPr>
              <w:t>這些指標將在第</w:t>
            </w:r>
            <w:r w:rsidRPr="00A4721D">
              <w:rPr>
                <w:rFonts w:eastAsia="標楷體" w:hint="eastAsia"/>
                <w:color w:val="000000" w:themeColor="text1"/>
              </w:rPr>
              <w:t>3</w:t>
            </w:r>
            <w:r w:rsidRPr="00A4721D">
              <w:rPr>
                <w:rFonts w:eastAsia="標楷體" w:hint="eastAsia"/>
                <w:color w:val="000000" w:themeColor="text1"/>
              </w:rPr>
              <w:t>個月與基線相比的</w:t>
            </w:r>
            <w:r w:rsidR="0002298C" w:rsidRPr="00A4721D">
              <w:rPr>
                <w:rFonts w:eastAsia="標楷體" w:hint="eastAsia"/>
                <w:color w:val="000000" w:themeColor="text1"/>
              </w:rPr>
              <w:t>血清中尿毒素</w:t>
            </w:r>
            <w:r w:rsidR="0002298C">
              <w:rPr>
                <w:rFonts w:eastAsia="標楷體" w:hint="eastAsia"/>
                <w:color w:val="000000" w:themeColor="text1"/>
              </w:rPr>
              <w:t>與</w:t>
            </w:r>
            <w:r w:rsidRPr="00A4721D">
              <w:rPr>
                <w:rFonts w:eastAsia="標楷體" w:hint="eastAsia"/>
                <w:color w:val="000000" w:themeColor="text1"/>
              </w:rPr>
              <w:t>腎功能變化評估。</w:t>
            </w:r>
          </w:p>
          <w:p w14:paraId="5813070B" w14:textId="77777777" w:rsidR="0079473F" w:rsidRPr="00A4721D" w:rsidRDefault="0079473F" w:rsidP="00722CD6">
            <w:pPr>
              <w:ind w:leftChars="50" w:left="120" w:rightChars="50" w:right="120"/>
              <w:rPr>
                <w:rFonts w:eastAsia="標楷體"/>
                <w:b/>
                <w:color w:val="000000" w:themeColor="text1"/>
              </w:rPr>
            </w:pPr>
          </w:p>
          <w:p w14:paraId="4391CA2D" w14:textId="0D92E976" w:rsidR="00D92084" w:rsidRPr="00A4721D" w:rsidRDefault="00B7322A" w:rsidP="00722CD6">
            <w:pPr>
              <w:ind w:leftChars="50" w:left="120" w:rightChars="50" w:right="120"/>
              <w:rPr>
                <w:rFonts w:eastAsia="標楷體"/>
                <w:b/>
                <w:color w:val="000000" w:themeColor="text1"/>
              </w:rPr>
            </w:pPr>
            <w:r w:rsidRPr="00A4721D">
              <w:rPr>
                <w:rFonts w:eastAsia="標楷體"/>
                <w:b/>
                <w:color w:val="000000" w:themeColor="text1"/>
              </w:rPr>
              <w:t>背景說明</w:t>
            </w:r>
            <w:r w:rsidR="00D92084" w:rsidRPr="00A4721D">
              <w:rPr>
                <w:rFonts w:eastAsia="標楷體"/>
                <w:b/>
                <w:color w:val="000000" w:themeColor="text1"/>
              </w:rPr>
              <w:t>：</w:t>
            </w:r>
          </w:p>
          <w:p w14:paraId="4B06025A" w14:textId="77777777" w:rsidR="0074093D" w:rsidRPr="00A4721D" w:rsidRDefault="0074093D" w:rsidP="00C85C84">
            <w:pPr>
              <w:pBdr>
                <w:top w:val="nil"/>
                <w:left w:val="nil"/>
                <w:bottom w:val="nil"/>
                <w:right w:val="nil"/>
                <w:between w:val="nil"/>
              </w:pBdr>
              <w:ind w:firstLineChars="200" w:firstLine="480"/>
              <w:jc w:val="both"/>
              <w:rPr>
                <w:rFonts w:ascii="Calibri" w:eastAsia="Calibri" w:hAnsi="Calibri" w:cs="Calibri"/>
                <w:color w:val="000000" w:themeColor="text1"/>
              </w:rPr>
            </w:pPr>
            <w:r w:rsidRPr="00A4721D">
              <w:rPr>
                <w:rFonts w:ascii="Calibri" w:eastAsia="Calibri" w:hAnsi="Calibri" w:cs="Calibri"/>
                <w:color w:val="000000" w:themeColor="text1"/>
              </w:rPr>
              <w:t>In patients with chronic kidney disease (CKD), uremic toxins accumulate when kidney function declines. Those uremic toxins, by definition, have adverse impacts on patients’ outcomes, or biochemical profiles.[1] Uremic toxins may be classified according to their sizes or affinity to plasma protein. Those uremic toxins had a greater affinity to circulating proteins are called “protein bound uremic toxins, PBUT.” Apart from traditional small or middle molecule uremic toxins, the PBUTs can be rarely eliminated using traditional renal replacement therapy, even using high flux dialysis modalities. European Uremic Toxin Work Group (EUTWG) recently updated their list of uremic toxins. PUBTs are provided in Table 1.</w:t>
            </w:r>
          </w:p>
          <w:p w14:paraId="7249D9A8" w14:textId="65D7A6E7" w:rsidR="0079473F" w:rsidRPr="00A4721D" w:rsidRDefault="0079473F" w:rsidP="0079473F">
            <w:pPr>
              <w:pBdr>
                <w:top w:val="nil"/>
                <w:left w:val="nil"/>
                <w:bottom w:val="nil"/>
                <w:right w:val="nil"/>
                <w:between w:val="nil"/>
              </w:pBdr>
              <w:ind w:firstLineChars="200" w:firstLine="480"/>
              <w:jc w:val="both"/>
              <w:rPr>
                <w:rFonts w:ascii="Calibri" w:eastAsia="Calibri" w:hAnsi="Calibri" w:cs="Calibri"/>
                <w:color w:val="000000" w:themeColor="text1"/>
              </w:rPr>
            </w:pPr>
            <w:r w:rsidRPr="00A4721D">
              <w:rPr>
                <w:rFonts w:ascii="Calibri" w:eastAsia="Calibri" w:hAnsi="Calibri" w:cs="Calibri"/>
                <w:color w:val="000000" w:themeColor="text1"/>
              </w:rPr>
              <w:t>Among these molecules identified, indoxyl sulfate (IS), and p-cresol (PC</w:t>
            </w:r>
            <w:proofErr w:type="gramStart"/>
            <w:r w:rsidRPr="00A4721D">
              <w:rPr>
                <w:rFonts w:ascii="Calibri" w:eastAsia="Calibri" w:hAnsi="Calibri" w:cs="Calibri"/>
                <w:color w:val="000000" w:themeColor="text1"/>
              </w:rPr>
              <w:t>)[</w:t>
            </w:r>
            <w:proofErr w:type="gramEnd"/>
            <w:r w:rsidRPr="00A4721D">
              <w:rPr>
                <w:rFonts w:ascii="Calibri" w:eastAsia="Calibri" w:hAnsi="Calibri" w:cs="Calibri"/>
                <w:color w:val="000000" w:themeColor="text1"/>
              </w:rPr>
              <w:t xml:space="preserve">2, 3] are mostly studied. Both in vitro and in vivo study, IS </w:t>
            </w:r>
            <w:proofErr w:type="spellStart"/>
            <w:r w:rsidRPr="00A4721D">
              <w:rPr>
                <w:rFonts w:ascii="Calibri" w:eastAsia="Calibri" w:hAnsi="Calibri" w:cs="Calibri"/>
                <w:color w:val="000000" w:themeColor="text1"/>
              </w:rPr>
              <w:t>is</w:t>
            </w:r>
            <w:proofErr w:type="spellEnd"/>
            <w:r w:rsidRPr="00A4721D">
              <w:rPr>
                <w:rFonts w:ascii="Calibri" w:eastAsia="Calibri" w:hAnsi="Calibri" w:cs="Calibri"/>
                <w:color w:val="000000" w:themeColor="text1"/>
              </w:rPr>
              <w:t xml:space="preserve"> associated with endothelial dysfunction, vascular smooth muscle proliferation, and increased risk for atherosclerosis.[2, 3] In vitro study also demonstrated that p-cresol has a toxic impact on endothelial cells. Circulating p-cresol is also positively associated with CV outcomes. The kidney, specifically the renal tubular cells, is most likely to be the first target of injury caused by retention of IS. IS accelerates the progression of CKD mainly because of its profibrotic and oxidative stress-inducing effects. Renal fibrosis is a common sequelae and contributor for </w:t>
            </w:r>
            <w:proofErr w:type="gramStart"/>
            <w:r w:rsidRPr="00A4721D">
              <w:rPr>
                <w:rFonts w:ascii="Calibri" w:eastAsia="Calibri" w:hAnsi="Calibri" w:cs="Calibri"/>
                <w:color w:val="000000" w:themeColor="text1"/>
              </w:rPr>
              <w:t>CKD[</w:t>
            </w:r>
            <w:proofErr w:type="gramEnd"/>
            <w:r w:rsidRPr="00A4721D">
              <w:rPr>
                <w:rFonts w:ascii="Calibri" w:eastAsia="Calibri" w:hAnsi="Calibri" w:cs="Calibri"/>
                <w:color w:val="000000" w:themeColor="text1"/>
              </w:rPr>
              <w:t>4, 5]. A profibrotic effect of IS administration has been widely reported on the kidney. Oral administration of IS in 5/6-STNx rats induced renal tubular injury, renal interstitial fibrosis, and glomerular sclerosis, leading to functional impairment, determined by increased serum creatinine and blood urea nitrogen. Glomerular sclerosis in association with renal impairment also has been demonstrated in 5/6-STNx rats receiving indole.</w:t>
            </w:r>
          </w:p>
          <w:p w14:paraId="350682A5" w14:textId="3CBE798D" w:rsidR="0074093D" w:rsidRPr="00A4721D" w:rsidRDefault="0074093D" w:rsidP="0079473F">
            <w:pPr>
              <w:pBdr>
                <w:top w:val="nil"/>
                <w:left w:val="nil"/>
                <w:bottom w:val="nil"/>
                <w:right w:val="nil"/>
                <w:between w:val="nil"/>
              </w:pBdr>
              <w:jc w:val="both"/>
              <w:rPr>
                <w:rFonts w:ascii="Calibri" w:eastAsia="Calibri" w:hAnsi="Calibri" w:cs="Calibri"/>
                <w:color w:val="000000" w:themeColor="text1"/>
              </w:rPr>
            </w:pPr>
            <w:r w:rsidRPr="00A4721D">
              <w:rPr>
                <w:rFonts w:ascii="Calibri" w:eastAsia="Calibri" w:hAnsi="Calibri" w:cs="Calibri"/>
                <w:color w:val="000000" w:themeColor="text1"/>
              </w:rPr>
              <w:t>Table 1. Mean and highest concentrations of uremic retention solutes found in uremic population and normal concentration found in the general population: protein-bound molecules.</w:t>
            </w:r>
          </w:p>
          <w:p w14:paraId="785A931A" w14:textId="1D2AE3BB" w:rsidR="0074093D" w:rsidRPr="00A4721D" w:rsidRDefault="00037728" w:rsidP="0079473F">
            <w:pPr>
              <w:pBdr>
                <w:top w:val="nil"/>
                <w:left w:val="nil"/>
                <w:bottom w:val="nil"/>
                <w:right w:val="nil"/>
                <w:between w:val="nil"/>
              </w:pBdr>
              <w:ind w:hanging="2"/>
              <w:jc w:val="both"/>
              <w:rPr>
                <w:rFonts w:ascii="Calibri" w:eastAsia="Calibri" w:hAnsi="Calibri" w:cs="Calibri"/>
                <w:color w:val="000000" w:themeColor="text1"/>
              </w:rPr>
            </w:pPr>
            <w:r w:rsidRPr="00A4721D">
              <w:rPr>
                <w:rFonts w:ascii="Calibri" w:eastAsia="Calibri" w:hAnsi="Calibri" w:cs="Calibri"/>
                <w:noProof/>
                <w:color w:val="000000" w:themeColor="text1"/>
              </w:rPr>
              <w:lastRenderedPageBreak/>
              <w:drawing>
                <wp:inline distT="0" distB="0" distL="0" distR="0" wp14:anchorId="7D6D2A4D" wp14:editId="5FFCB984">
                  <wp:extent cx="6108700" cy="3120390"/>
                  <wp:effectExtent l="0" t="0" r="0" b="0"/>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3120390"/>
                          </a:xfrm>
                          <a:prstGeom prst="rect">
                            <a:avLst/>
                          </a:prstGeom>
                          <a:noFill/>
                          <a:ln>
                            <a:noFill/>
                          </a:ln>
                        </pic:spPr>
                      </pic:pic>
                    </a:graphicData>
                  </a:graphic>
                </wp:inline>
              </w:drawing>
            </w:r>
          </w:p>
          <w:p w14:paraId="7D7547D7" w14:textId="77777777" w:rsidR="0074093D" w:rsidRPr="00A4721D" w:rsidRDefault="0074093D" w:rsidP="00C85C84">
            <w:pPr>
              <w:pBdr>
                <w:top w:val="nil"/>
                <w:left w:val="nil"/>
                <w:bottom w:val="nil"/>
                <w:right w:val="nil"/>
                <w:between w:val="nil"/>
              </w:pBdr>
              <w:ind w:firstLineChars="200" w:firstLine="480"/>
              <w:jc w:val="both"/>
              <w:rPr>
                <w:rFonts w:ascii="Calibri" w:eastAsia="Calibri" w:hAnsi="Calibri" w:cs="Calibri"/>
                <w:color w:val="000000" w:themeColor="text1"/>
              </w:rPr>
            </w:pPr>
            <w:r w:rsidRPr="00A4721D">
              <w:rPr>
                <w:rFonts w:ascii="Calibri" w:eastAsia="Calibri" w:hAnsi="Calibri" w:cs="Calibri"/>
                <w:color w:val="000000" w:themeColor="text1"/>
              </w:rPr>
              <w:t>On the other hand, alone or together with IS, p-cresol also induces endothelial damage, inhibits wound repair, blunts cellular response to a given insult, and induces disassembly of gap junctions of cardiomyocytes.[4, 5] In clinical study, serum p-cresol level also predicts adverse outcomes in patients with different stages of CKD. Even carcinogenic effect has been reported in animals. These studies have demonstrated IS and PC’s role in adverse cellular, histological and clinical outcomes in subjects with impaired kidney function and subsequent IS/PC accumulation. But owing to their physical and chemical characteristics, these protein-bound uremic toxins are not readily removed.</w:t>
            </w:r>
          </w:p>
          <w:p w14:paraId="175203D6" w14:textId="77777777" w:rsidR="00F229A7" w:rsidRPr="00A4721D" w:rsidRDefault="0074093D" w:rsidP="00901A4E">
            <w:pPr>
              <w:pBdr>
                <w:top w:val="nil"/>
                <w:left w:val="nil"/>
                <w:bottom w:val="nil"/>
                <w:right w:val="nil"/>
                <w:between w:val="nil"/>
              </w:pBdr>
              <w:ind w:firstLineChars="150" w:firstLine="360"/>
              <w:jc w:val="both"/>
              <w:rPr>
                <w:rFonts w:asciiTheme="minorHAnsi" w:eastAsia="Calibri" w:hAnsiTheme="minorHAnsi" w:cstheme="minorHAnsi"/>
                <w:color w:val="000000" w:themeColor="text1"/>
              </w:rPr>
            </w:pPr>
            <w:r w:rsidRPr="00A4721D">
              <w:rPr>
                <w:rFonts w:ascii="Calibri" w:eastAsia="Calibri" w:hAnsi="Calibri" w:cs="Calibri"/>
                <w:color w:val="000000" w:themeColor="text1"/>
              </w:rPr>
              <w:t xml:space="preserve">The uremic toxins (IS and PC) are originated in the endogenous environment, mainly from the protein metabolism, food intake, or produced by gut microbiota. In fact recent studies have documented the role of gut microbiota as the primary source of several well-known pro-inflammatory/pro-oxidant uremic toxins as well as many as-yet unidentified retained compounds.[6] Dysbiosis[7] denominated an imbalance in the gut microbiota that precipitates changes in the usual activities of gastrointestinal tract, resulting in production of toxins and deleterious effects in the organism. Dysbiosis is frequently found in uremic state, leads to retention of uremic toxins, most of them derived from the unbalanced fermentation of nitrogen compounds in relation to non-digestible carbohydrates, especially IS and PC. </w:t>
            </w:r>
            <w:r w:rsidR="00901A4E" w:rsidRPr="00A4721D">
              <w:rPr>
                <w:rFonts w:asciiTheme="minorHAnsi" w:hAnsiTheme="minorHAnsi" w:cstheme="minorHAnsi"/>
                <w:color w:val="000000" w:themeColor="text1"/>
                <w:shd w:val="clear" w:color="auto" w:fill="FFFFFF"/>
              </w:rPr>
              <w:t xml:space="preserve">Increasing urea concentration during chronic kidney disease (CKD) leads to alterations in the intestinal flora that can increase production of gut-derived toxins and alter the intestinal epithelial barrier. </w:t>
            </w:r>
            <w:r w:rsidRPr="00A4721D">
              <w:rPr>
                <w:rFonts w:ascii="Calibri" w:eastAsia="Calibri" w:hAnsi="Calibri" w:cs="Calibri"/>
                <w:color w:val="000000" w:themeColor="text1"/>
              </w:rPr>
              <w:t>The vicious cycle is noted between dysbiosis, uremic toxins and CKD in published literature.</w:t>
            </w:r>
            <w:r w:rsidR="00901A4E" w:rsidRPr="00A4721D">
              <w:rPr>
                <w:rFonts w:ascii="Arial" w:hAnsi="Arial" w:cs="Arial"/>
                <w:color w:val="000000" w:themeColor="text1"/>
              </w:rPr>
              <w:t xml:space="preserve"> </w:t>
            </w:r>
            <w:r w:rsidR="00482391" w:rsidRPr="00A4721D">
              <w:rPr>
                <w:rFonts w:asciiTheme="minorHAnsi" w:hAnsiTheme="minorHAnsi" w:cstheme="minorHAnsi"/>
                <w:color w:val="000000" w:themeColor="text1"/>
                <w:shd w:val="clear" w:color="auto" w:fill="FFFFFF"/>
              </w:rPr>
              <w:t>A number of strategies have been proposed to interrupt this pathway of injury in CKD.</w:t>
            </w:r>
          </w:p>
          <w:p w14:paraId="4069DE9E" w14:textId="77777777" w:rsidR="004820C8" w:rsidRPr="00A4721D" w:rsidRDefault="004820C8" w:rsidP="004820C8">
            <w:pPr>
              <w:pBdr>
                <w:top w:val="nil"/>
                <w:left w:val="nil"/>
                <w:bottom w:val="nil"/>
                <w:right w:val="nil"/>
                <w:between w:val="nil"/>
              </w:pBdr>
              <w:ind w:firstLineChars="150" w:firstLine="360"/>
              <w:jc w:val="both"/>
              <w:rPr>
                <w:rFonts w:asciiTheme="minorHAnsi" w:eastAsia="Calibri" w:hAnsiTheme="minorHAnsi" w:cstheme="minorHAnsi"/>
                <w:color w:val="000000" w:themeColor="text1"/>
              </w:rPr>
            </w:pPr>
            <w:r w:rsidRPr="00A4721D">
              <w:rPr>
                <w:rFonts w:ascii="Calibri" w:eastAsia="Calibri" w:hAnsi="Calibri" w:cs="Calibri"/>
                <w:color w:val="000000" w:themeColor="text1"/>
              </w:rPr>
              <w:t>Prevention of IS precursors from being absorbed across the intestinal tract has been extensively studied in the renal literature by use of oral adsorbents. In animal models, activated charcoal reduces the serum concentration of creatinine (</w:t>
            </w:r>
            <w:proofErr w:type="spellStart"/>
            <w:r w:rsidRPr="00A4721D">
              <w:rPr>
                <w:rFonts w:ascii="Calibri" w:eastAsia="Calibri" w:hAnsi="Calibri" w:cs="Calibri"/>
                <w:color w:val="000000" w:themeColor="text1"/>
              </w:rPr>
              <w:t>cre</w:t>
            </w:r>
            <w:proofErr w:type="spellEnd"/>
            <w:r w:rsidRPr="00A4721D">
              <w:rPr>
                <w:rFonts w:ascii="Calibri" w:eastAsia="Calibri" w:hAnsi="Calibri" w:cs="Calibri"/>
                <w:color w:val="000000" w:themeColor="text1"/>
              </w:rPr>
              <w:t xml:space="preserve">) and may delay CKD progression by alleviating IS overload. An improvement in renal structure and function with activated charcoal treatment has been observed in uremic animal models. </w:t>
            </w:r>
            <w:r w:rsidR="00104337" w:rsidRPr="00A4721D">
              <w:rPr>
                <w:rFonts w:ascii="Calibri" w:eastAsia="Calibri" w:hAnsi="Calibri" w:cs="Calibri"/>
                <w:color w:val="000000" w:themeColor="text1"/>
              </w:rPr>
              <w:t xml:space="preserve">[8,9, 10] </w:t>
            </w:r>
            <w:r w:rsidRPr="00A4721D">
              <w:rPr>
                <w:rFonts w:ascii="Calibri" w:eastAsia="Calibri" w:hAnsi="Calibri" w:cs="Calibri"/>
                <w:color w:val="000000" w:themeColor="text1"/>
              </w:rPr>
              <w:t xml:space="preserve">In addition, treatment with activated charcoal may also improve survival in patients with end stage kidney disease (ESRD). </w:t>
            </w:r>
            <w:r w:rsidR="00104337" w:rsidRPr="00A4721D">
              <w:rPr>
                <w:rFonts w:ascii="Calibri" w:eastAsia="Calibri" w:hAnsi="Calibri" w:cs="Calibri"/>
                <w:color w:val="000000" w:themeColor="text1"/>
              </w:rPr>
              <w:t xml:space="preserve">[11] </w:t>
            </w:r>
            <w:r w:rsidRPr="00A4721D">
              <w:rPr>
                <w:rFonts w:ascii="Calibri" w:eastAsia="Calibri" w:hAnsi="Calibri" w:cs="Calibri"/>
                <w:color w:val="000000" w:themeColor="text1"/>
              </w:rPr>
              <w:t xml:space="preserve">An oral form of non-absorbable surface-modified activated bamboo charcoal (ABC), has been demonstrated to effectively reduce circulating and renal IS levels in animal models. </w:t>
            </w:r>
            <w:r w:rsidRPr="00A4721D">
              <w:rPr>
                <w:rFonts w:ascii="Calibri" w:eastAsia="Calibri" w:hAnsi="Calibri" w:cs="Calibri"/>
                <w:color w:val="000000" w:themeColor="text1"/>
              </w:rPr>
              <w:lastRenderedPageBreak/>
              <w:t>We thus wonder if removal of uremic toxins with ABC would improve outcomes in patients with CKD.</w:t>
            </w:r>
            <w:r w:rsidRPr="00A4721D">
              <w:rPr>
                <w:rFonts w:asciiTheme="minorHAnsi" w:eastAsia="Calibri" w:hAnsiTheme="minorHAnsi" w:cstheme="minorHAnsi"/>
                <w:color w:val="000000" w:themeColor="text1"/>
              </w:rPr>
              <w:t xml:space="preserve"> </w:t>
            </w:r>
          </w:p>
          <w:p w14:paraId="388E1DE1" w14:textId="77777777" w:rsidR="00F229A7" w:rsidRPr="00A4721D" w:rsidRDefault="00F229A7" w:rsidP="00AE0D5F">
            <w:pPr>
              <w:ind w:firstLine="480"/>
              <w:jc w:val="both"/>
              <w:textAlignment w:val="bottom"/>
              <w:rPr>
                <w:rFonts w:asciiTheme="minorHAnsi" w:eastAsia="標楷體" w:hAnsiTheme="minorHAnsi" w:cstheme="minorHAnsi"/>
                <w:color w:val="000000" w:themeColor="text1"/>
              </w:rPr>
            </w:pPr>
            <w:r w:rsidRPr="00A4721D">
              <w:rPr>
                <w:rFonts w:asciiTheme="minorHAnsi" w:hAnsiTheme="minorHAnsi" w:cstheme="minorHAnsi"/>
                <w:color w:val="000000" w:themeColor="text1"/>
              </w:rPr>
              <w:t>Probiotics refer to the living microorganisms which colonize or implant in the host’s gastrointestinal (GI) environment and exert beneficial health effects.</w:t>
            </w:r>
            <w:r w:rsidR="004B5E3B" w:rsidRPr="00A4721D">
              <w:rPr>
                <w:rFonts w:asciiTheme="minorHAnsi" w:hAnsiTheme="minorHAnsi" w:cstheme="minorHAnsi"/>
                <w:color w:val="000000" w:themeColor="text1"/>
              </w:rPr>
              <w:t>[</w:t>
            </w:r>
            <w:r w:rsidR="00104337" w:rsidRPr="00A4721D">
              <w:rPr>
                <w:rFonts w:asciiTheme="minorHAnsi" w:hAnsiTheme="minorHAnsi" w:cstheme="minorHAnsi"/>
                <w:color w:val="000000" w:themeColor="text1"/>
              </w:rPr>
              <w:t>12</w:t>
            </w:r>
            <w:r w:rsidR="004B5E3B" w:rsidRPr="00A4721D">
              <w:rPr>
                <w:rFonts w:asciiTheme="minorHAnsi" w:hAnsiTheme="minorHAnsi" w:cstheme="minorHAnsi"/>
                <w:color w:val="000000" w:themeColor="text1"/>
              </w:rPr>
              <w:t>,</w:t>
            </w:r>
            <w:r w:rsidR="00104337" w:rsidRPr="00A4721D">
              <w:rPr>
                <w:rFonts w:asciiTheme="minorHAnsi" w:hAnsiTheme="minorHAnsi" w:cstheme="minorHAnsi"/>
                <w:color w:val="000000" w:themeColor="text1"/>
              </w:rPr>
              <w:t>13</w:t>
            </w:r>
            <w:r w:rsidR="001D6554" w:rsidRPr="00A4721D">
              <w:rPr>
                <w:rFonts w:asciiTheme="minorHAnsi" w:hAnsiTheme="minorHAnsi" w:cstheme="minorHAnsi"/>
                <w:color w:val="000000" w:themeColor="text1"/>
              </w:rPr>
              <w:t xml:space="preserve">] </w:t>
            </w:r>
            <w:r w:rsidRPr="00A4721D">
              <w:rPr>
                <w:rFonts w:asciiTheme="minorHAnsi" w:hAnsiTheme="minorHAnsi" w:cstheme="minorHAnsi"/>
                <w:color w:val="000000" w:themeColor="text1"/>
              </w:rPr>
              <w:t>Prebiotics are defined as non-digestible food ingredients that induce the growth and/or activity of beneficial microorganisms in the host.</w:t>
            </w:r>
            <w:r w:rsidR="001D6554" w:rsidRPr="00A4721D">
              <w:rPr>
                <w:rFonts w:asciiTheme="minorHAnsi" w:hAnsiTheme="minorHAnsi" w:cstheme="minorHAnsi"/>
                <w:color w:val="000000" w:themeColor="text1"/>
              </w:rPr>
              <w:t>[</w:t>
            </w:r>
            <w:r w:rsidR="00104337" w:rsidRPr="00A4721D">
              <w:rPr>
                <w:rFonts w:asciiTheme="minorHAnsi" w:hAnsiTheme="minorHAnsi" w:cstheme="minorHAnsi"/>
                <w:color w:val="000000" w:themeColor="text1"/>
              </w:rPr>
              <w:t>12</w:t>
            </w:r>
            <w:r w:rsidR="001D6554" w:rsidRPr="00A4721D">
              <w:rPr>
                <w:rFonts w:asciiTheme="minorHAnsi" w:hAnsiTheme="minorHAnsi" w:cstheme="minorHAnsi"/>
                <w:color w:val="000000" w:themeColor="text1"/>
              </w:rPr>
              <w:t>,</w:t>
            </w:r>
            <w:r w:rsidR="00104337" w:rsidRPr="00A4721D">
              <w:rPr>
                <w:rFonts w:asciiTheme="minorHAnsi" w:hAnsiTheme="minorHAnsi" w:cstheme="minorHAnsi"/>
                <w:color w:val="000000" w:themeColor="text1"/>
              </w:rPr>
              <w:t>13</w:t>
            </w:r>
            <w:r w:rsidR="001D6554" w:rsidRPr="00A4721D">
              <w:rPr>
                <w:rFonts w:asciiTheme="minorHAnsi" w:hAnsiTheme="minorHAnsi" w:cstheme="minorHAnsi"/>
                <w:color w:val="000000" w:themeColor="text1"/>
              </w:rPr>
              <w:t xml:space="preserve">] </w:t>
            </w:r>
            <w:proofErr w:type="spellStart"/>
            <w:r w:rsidRPr="00A4721D">
              <w:rPr>
                <w:rFonts w:asciiTheme="minorHAnsi" w:hAnsiTheme="minorHAnsi" w:cstheme="minorHAnsi"/>
                <w:color w:val="000000" w:themeColor="text1"/>
              </w:rPr>
              <w:t>Synbiotics</w:t>
            </w:r>
            <w:proofErr w:type="spellEnd"/>
            <w:r w:rsidRPr="00A4721D">
              <w:rPr>
                <w:rFonts w:asciiTheme="minorHAnsi" w:hAnsiTheme="minorHAnsi" w:cstheme="minorHAnsi"/>
                <w:color w:val="000000" w:themeColor="text1"/>
              </w:rPr>
              <w:t xml:space="preserve"> are a mixture of probiotics and prebiotics. Recently, probiotics, prebiotics or </w:t>
            </w:r>
            <w:proofErr w:type="spellStart"/>
            <w:r w:rsidRPr="00A4721D">
              <w:rPr>
                <w:rFonts w:asciiTheme="minorHAnsi" w:hAnsiTheme="minorHAnsi" w:cstheme="minorHAnsi"/>
                <w:color w:val="000000" w:themeColor="text1"/>
              </w:rPr>
              <w:t>synbiotics</w:t>
            </w:r>
            <w:proofErr w:type="spellEnd"/>
            <w:r w:rsidRPr="00A4721D">
              <w:rPr>
                <w:rFonts w:asciiTheme="minorHAnsi" w:hAnsiTheme="minorHAnsi" w:cstheme="minorHAnsi"/>
                <w:color w:val="000000" w:themeColor="text1"/>
              </w:rPr>
              <w:t xml:space="preserve"> have been reported to reduce inflammation, improve kidney function and retard progression of CKD by restoring the symbiosis of gut microflora in patients with CKD. A randomized trial found </w:t>
            </w:r>
            <w:proofErr w:type="spellStart"/>
            <w:r w:rsidRPr="00A4721D">
              <w:rPr>
                <w:rFonts w:asciiTheme="minorHAnsi" w:hAnsiTheme="minorHAnsi" w:cstheme="minorHAnsi"/>
                <w:color w:val="000000" w:themeColor="text1"/>
              </w:rPr>
              <w:t>synbiotics</w:t>
            </w:r>
            <w:proofErr w:type="spellEnd"/>
            <w:r w:rsidRPr="00A4721D">
              <w:rPr>
                <w:rFonts w:asciiTheme="minorHAnsi" w:hAnsiTheme="minorHAnsi" w:cstheme="minorHAnsi"/>
                <w:color w:val="000000" w:themeColor="text1"/>
              </w:rPr>
              <w:t xml:space="preserve"> decreased serum PCS without reducing serum IS in non-dialysis CKD.</w:t>
            </w:r>
            <w:r w:rsidR="001D6554" w:rsidRPr="00A4721D">
              <w:rPr>
                <w:rFonts w:asciiTheme="minorHAnsi" w:hAnsiTheme="minorHAnsi" w:cstheme="minorHAnsi"/>
                <w:color w:val="000000" w:themeColor="text1"/>
              </w:rPr>
              <w:t>[1</w:t>
            </w:r>
            <w:r w:rsidR="00104337" w:rsidRPr="00A4721D">
              <w:rPr>
                <w:rFonts w:asciiTheme="minorHAnsi" w:hAnsiTheme="minorHAnsi" w:cstheme="minorHAnsi"/>
                <w:color w:val="000000" w:themeColor="text1"/>
              </w:rPr>
              <w:t>4</w:t>
            </w:r>
            <w:r w:rsidR="001D6554" w:rsidRPr="00A4721D">
              <w:rPr>
                <w:rFonts w:asciiTheme="minorHAnsi" w:hAnsiTheme="minorHAnsi" w:cstheme="minorHAnsi"/>
                <w:color w:val="000000" w:themeColor="text1"/>
              </w:rPr>
              <w:t>]</w:t>
            </w:r>
            <w:r w:rsidRPr="00A4721D">
              <w:rPr>
                <w:rFonts w:asciiTheme="minorHAnsi" w:hAnsiTheme="minorHAnsi" w:cstheme="minorHAnsi"/>
                <w:color w:val="000000" w:themeColor="text1"/>
              </w:rPr>
              <w:t xml:space="preserve"> A pilot study suggested probiotic dietary supplements are more effective than placebo in reducing blood urea nitrogen (BUN) and improving the quality of life of patients with stage 3 or 4 CKD.</w:t>
            </w:r>
            <w:r w:rsidR="001D6554" w:rsidRPr="00A4721D">
              <w:rPr>
                <w:rFonts w:asciiTheme="minorHAnsi" w:hAnsiTheme="minorHAnsi" w:cstheme="minorHAnsi"/>
                <w:color w:val="000000" w:themeColor="text1"/>
              </w:rPr>
              <w:t>[1</w:t>
            </w:r>
            <w:r w:rsidR="00104337" w:rsidRPr="00A4721D">
              <w:rPr>
                <w:rFonts w:asciiTheme="minorHAnsi" w:hAnsiTheme="minorHAnsi" w:cstheme="minorHAnsi"/>
                <w:color w:val="000000" w:themeColor="text1"/>
              </w:rPr>
              <w:t>5</w:t>
            </w:r>
            <w:r w:rsidR="001D6554" w:rsidRPr="00A4721D">
              <w:rPr>
                <w:rFonts w:asciiTheme="minorHAnsi" w:hAnsiTheme="minorHAnsi" w:cstheme="minorHAnsi"/>
                <w:color w:val="000000" w:themeColor="text1"/>
              </w:rPr>
              <w:t>]</w:t>
            </w:r>
            <w:r w:rsidRPr="00A4721D">
              <w:rPr>
                <w:rStyle w:val="apple-converted-space"/>
                <w:rFonts w:asciiTheme="minorHAnsi" w:hAnsiTheme="minorHAnsi" w:cstheme="minorHAnsi"/>
                <w:color w:val="000000" w:themeColor="text1"/>
              </w:rPr>
              <w:t> </w:t>
            </w:r>
            <w:r w:rsidRPr="00A4721D">
              <w:rPr>
                <w:rFonts w:asciiTheme="minorHAnsi" w:hAnsiTheme="minorHAnsi" w:cstheme="minorHAnsi"/>
                <w:color w:val="000000" w:themeColor="text1"/>
              </w:rPr>
              <w:t>Another study found that </w:t>
            </w:r>
            <w:proofErr w:type="spellStart"/>
            <w:r w:rsidRPr="00A4721D">
              <w:rPr>
                <w:rFonts w:asciiTheme="minorHAnsi" w:hAnsiTheme="minorHAnsi" w:cstheme="minorHAnsi"/>
                <w:color w:val="000000" w:themeColor="text1"/>
              </w:rPr>
              <w:t>synbiotics</w:t>
            </w:r>
            <w:proofErr w:type="spellEnd"/>
            <w:r w:rsidRPr="00A4721D">
              <w:rPr>
                <w:rFonts w:asciiTheme="minorHAnsi" w:hAnsiTheme="minorHAnsi" w:cstheme="minorHAnsi"/>
                <w:color w:val="000000" w:themeColor="text1"/>
              </w:rPr>
              <w:t xml:space="preserve"> delayed CKD progression.</w:t>
            </w:r>
            <w:r w:rsidR="001D6554" w:rsidRPr="00A4721D">
              <w:rPr>
                <w:rFonts w:asciiTheme="minorHAnsi" w:hAnsiTheme="minorHAnsi" w:cstheme="minorHAnsi"/>
                <w:color w:val="000000" w:themeColor="text1"/>
              </w:rPr>
              <w:t>[1</w:t>
            </w:r>
            <w:r w:rsidR="00104337" w:rsidRPr="00A4721D">
              <w:rPr>
                <w:rFonts w:asciiTheme="minorHAnsi" w:hAnsiTheme="minorHAnsi" w:cstheme="minorHAnsi"/>
                <w:color w:val="000000" w:themeColor="text1"/>
              </w:rPr>
              <w:t>6</w:t>
            </w:r>
            <w:r w:rsidR="001D6554" w:rsidRPr="00A4721D">
              <w:rPr>
                <w:rFonts w:asciiTheme="minorHAnsi" w:hAnsiTheme="minorHAnsi" w:cstheme="minorHAnsi"/>
                <w:color w:val="000000" w:themeColor="text1"/>
              </w:rPr>
              <w:t>]</w:t>
            </w:r>
            <w:r w:rsidRPr="00A4721D">
              <w:rPr>
                <w:rFonts w:asciiTheme="minorHAnsi" w:hAnsiTheme="minorHAnsi" w:cstheme="minorHAnsi"/>
                <w:color w:val="000000" w:themeColor="text1"/>
              </w:rPr>
              <w:t xml:space="preserve"> A systematic review found prebiotic and probiotic therapies reduced IS and PCS in patients with end stage kidney disease (ESKD) on </w:t>
            </w:r>
            <w:proofErr w:type="spellStart"/>
            <w:r w:rsidRPr="00A4721D">
              <w:rPr>
                <w:rFonts w:asciiTheme="minorHAnsi" w:hAnsiTheme="minorHAnsi" w:cstheme="minorHAnsi"/>
                <w:color w:val="000000" w:themeColor="text1"/>
              </w:rPr>
              <w:t>haemodialysis</w:t>
            </w:r>
            <w:proofErr w:type="spellEnd"/>
            <w:r w:rsidRPr="00A4721D">
              <w:rPr>
                <w:rFonts w:asciiTheme="minorHAnsi" w:hAnsiTheme="minorHAnsi" w:cstheme="minorHAnsi"/>
                <w:color w:val="000000" w:themeColor="text1"/>
              </w:rPr>
              <w:t>.</w:t>
            </w:r>
            <w:r w:rsidR="002B4C3B" w:rsidRPr="00A4721D">
              <w:rPr>
                <w:rFonts w:asciiTheme="minorHAnsi" w:hAnsiTheme="minorHAnsi" w:cstheme="minorHAnsi"/>
                <w:color w:val="000000" w:themeColor="text1"/>
              </w:rPr>
              <w:t>[1</w:t>
            </w:r>
            <w:r w:rsidR="00104337" w:rsidRPr="00A4721D">
              <w:rPr>
                <w:rFonts w:asciiTheme="minorHAnsi" w:hAnsiTheme="minorHAnsi" w:cstheme="minorHAnsi"/>
                <w:color w:val="000000" w:themeColor="text1"/>
              </w:rPr>
              <w:t>7</w:t>
            </w:r>
            <w:r w:rsidR="002B4C3B" w:rsidRPr="00A4721D">
              <w:rPr>
                <w:rFonts w:asciiTheme="minorHAnsi" w:hAnsiTheme="minorHAnsi" w:cstheme="minorHAnsi"/>
                <w:color w:val="000000" w:themeColor="text1"/>
              </w:rPr>
              <w:t>]</w:t>
            </w:r>
            <w:r w:rsidRPr="00A4721D">
              <w:rPr>
                <w:rStyle w:val="apple-converted-space"/>
                <w:rFonts w:asciiTheme="minorHAnsi" w:hAnsiTheme="minorHAnsi" w:cstheme="minorHAnsi"/>
                <w:color w:val="000000" w:themeColor="text1"/>
              </w:rPr>
              <w:t> </w:t>
            </w:r>
            <w:r w:rsidRPr="00A4721D">
              <w:rPr>
                <w:rFonts w:asciiTheme="minorHAnsi" w:hAnsiTheme="minorHAnsi" w:cstheme="minorHAnsi"/>
                <w:color w:val="000000" w:themeColor="text1"/>
              </w:rPr>
              <w:t>However, it is unclear whether the results hold true for other patients with CKD.</w:t>
            </w:r>
          </w:p>
          <w:p w14:paraId="57FC4F2E" w14:textId="6765A0ED" w:rsidR="0074093D" w:rsidRPr="00A4721D" w:rsidRDefault="0074093D" w:rsidP="0079473F">
            <w:pPr>
              <w:pBdr>
                <w:top w:val="nil"/>
                <w:left w:val="nil"/>
                <w:bottom w:val="nil"/>
                <w:right w:val="nil"/>
                <w:between w:val="nil"/>
              </w:pBdr>
              <w:ind w:firstLineChars="150" w:firstLine="360"/>
              <w:jc w:val="both"/>
              <w:rPr>
                <w:rFonts w:ascii="Calibri" w:eastAsia="Calibri" w:hAnsi="Calibri" w:cs="Calibri"/>
                <w:color w:val="000000" w:themeColor="text1"/>
              </w:rPr>
            </w:pPr>
            <w:r w:rsidRPr="00A4721D">
              <w:rPr>
                <w:rFonts w:asciiTheme="minorHAnsi" w:eastAsia="Calibri" w:hAnsiTheme="minorHAnsi" w:cstheme="minorHAnsi"/>
                <w:color w:val="000000" w:themeColor="text1"/>
              </w:rPr>
              <w:t xml:space="preserve">Based on </w:t>
            </w:r>
            <w:r w:rsidR="00AE0D5F" w:rsidRPr="00A4721D">
              <w:rPr>
                <w:rFonts w:asciiTheme="minorHAnsi" w:eastAsia="Calibri" w:hAnsiTheme="minorHAnsi" w:cstheme="minorHAnsi"/>
                <w:color w:val="000000" w:themeColor="text1"/>
              </w:rPr>
              <w:t>t</w:t>
            </w:r>
            <w:r w:rsidR="00AE0D5F" w:rsidRPr="00A4721D">
              <w:rPr>
                <w:rFonts w:ascii="Calibri" w:eastAsia="Calibri" w:hAnsi="Calibri" w:cs="Calibri"/>
                <w:color w:val="000000" w:themeColor="text1"/>
              </w:rPr>
              <w:t xml:space="preserve">hese </w:t>
            </w:r>
            <w:r w:rsidRPr="00A4721D">
              <w:rPr>
                <w:rFonts w:ascii="Calibri" w:eastAsia="Calibri" w:hAnsi="Calibri" w:cs="Calibri"/>
                <w:color w:val="000000" w:themeColor="text1"/>
              </w:rPr>
              <w:t>previous finding</w:t>
            </w:r>
            <w:r w:rsidR="00AE0D5F" w:rsidRPr="00A4721D">
              <w:rPr>
                <w:rFonts w:ascii="Calibri" w:eastAsia="Calibri" w:hAnsi="Calibri" w:cs="Calibri"/>
                <w:color w:val="000000" w:themeColor="text1"/>
              </w:rPr>
              <w:t>s</w:t>
            </w:r>
            <w:r w:rsidRPr="00A4721D">
              <w:rPr>
                <w:rFonts w:ascii="Calibri" w:eastAsia="Calibri" w:hAnsi="Calibri" w:cs="Calibri"/>
                <w:color w:val="000000" w:themeColor="text1"/>
              </w:rPr>
              <w:t xml:space="preserve">, we will conduct a </w:t>
            </w:r>
            <w:r w:rsidR="00A905C0" w:rsidRPr="00A4721D">
              <w:rPr>
                <w:rFonts w:ascii="Calibri" w:eastAsia="Calibri" w:hAnsi="Calibri" w:cs="Calibri"/>
                <w:color w:val="000000"/>
              </w:rPr>
              <w:t>prospective randomized open blinded end-point (PROBE) s</w:t>
            </w:r>
            <w:r w:rsidRPr="00A4721D">
              <w:rPr>
                <w:rFonts w:ascii="Calibri" w:eastAsia="Calibri" w:hAnsi="Calibri" w:cs="Calibri"/>
                <w:color w:val="000000" w:themeColor="text1"/>
              </w:rPr>
              <w:t xml:space="preserve">tudy to see if </w:t>
            </w:r>
            <w:r w:rsidR="00AE0D5F" w:rsidRPr="00A4721D">
              <w:rPr>
                <w:rFonts w:ascii="Calibri" w:eastAsia="Calibri" w:hAnsi="Calibri" w:cs="Calibri"/>
                <w:color w:val="000000" w:themeColor="text1"/>
              </w:rPr>
              <w:t xml:space="preserve">oral uremic toxin absorbent </w:t>
            </w:r>
            <w:r w:rsidR="00AE0D5F" w:rsidRPr="00A4721D">
              <w:rPr>
                <w:rFonts w:ascii="Calibri" w:eastAsia="Calibri" w:hAnsi="Calibri" w:cs="Calibri"/>
                <w:color w:val="000000" w:themeColor="text1"/>
                <w:u w:val="single"/>
              </w:rPr>
              <w:t>+</w:t>
            </w:r>
            <w:r w:rsidR="00AE0D5F" w:rsidRPr="00A4721D">
              <w:rPr>
                <w:rFonts w:ascii="Calibri" w:eastAsia="Calibri" w:hAnsi="Calibri" w:cs="Calibri"/>
                <w:color w:val="000000" w:themeColor="text1"/>
              </w:rPr>
              <w:t xml:space="preserve"> probiotics </w:t>
            </w:r>
            <w:r w:rsidR="00BA26B5">
              <w:rPr>
                <w:rFonts w:ascii="Calibri" w:eastAsia="Calibri" w:hAnsi="Calibri" w:cs="Calibri"/>
                <w:color w:val="000000" w:themeColor="text1"/>
              </w:rPr>
              <w:t xml:space="preserve">could </w:t>
            </w:r>
            <w:r w:rsidR="00AE0D5F" w:rsidRPr="00A4721D">
              <w:rPr>
                <w:rFonts w:ascii="Calibri" w:eastAsia="Calibri" w:hAnsi="Calibri" w:cs="Calibri"/>
                <w:color w:val="000000" w:themeColor="text1"/>
              </w:rPr>
              <w:t>prevent CKD progression</w:t>
            </w:r>
            <w:r w:rsidRPr="00A4721D">
              <w:rPr>
                <w:rFonts w:ascii="Calibri" w:eastAsia="Calibri" w:hAnsi="Calibri" w:cs="Calibri"/>
                <w:color w:val="000000" w:themeColor="text1"/>
              </w:rPr>
              <w:t>.</w:t>
            </w:r>
          </w:p>
          <w:p w14:paraId="02BFA169" w14:textId="77777777" w:rsidR="0079473F" w:rsidRPr="00A4721D" w:rsidRDefault="0079473F" w:rsidP="00293149">
            <w:pPr>
              <w:ind w:rightChars="50" w:right="120"/>
              <w:rPr>
                <w:rFonts w:eastAsia="標楷體"/>
                <w:b/>
                <w:color w:val="000000" w:themeColor="text1"/>
              </w:rPr>
            </w:pPr>
          </w:p>
          <w:p w14:paraId="05768C3A" w14:textId="465E256F" w:rsidR="00B7322A" w:rsidRPr="00A4721D" w:rsidRDefault="00ED4DC4" w:rsidP="00293149">
            <w:pPr>
              <w:ind w:rightChars="50" w:right="120"/>
              <w:rPr>
                <w:rFonts w:eastAsia="標楷體"/>
                <w:b/>
                <w:color w:val="000000" w:themeColor="text1"/>
              </w:rPr>
            </w:pPr>
            <w:r>
              <w:rPr>
                <w:rFonts w:eastAsia="標楷體" w:hint="eastAsia"/>
                <w:b/>
                <w:color w:val="000000" w:themeColor="text1"/>
              </w:rPr>
              <w:t>四</w:t>
            </w:r>
            <w:r w:rsidR="00B7322A" w:rsidRPr="00A4721D">
              <w:rPr>
                <w:rFonts w:eastAsia="標楷體"/>
                <w:b/>
                <w:color w:val="000000" w:themeColor="text1"/>
              </w:rPr>
              <w:t>、研究方法與程序：</w:t>
            </w:r>
          </w:p>
          <w:p w14:paraId="2FEE51DB" w14:textId="2155B0E7" w:rsidR="0074093D" w:rsidRPr="00A4721D" w:rsidRDefault="00293149" w:rsidP="00FC3D9E">
            <w:pPr>
              <w:pBdr>
                <w:top w:val="nil"/>
                <w:left w:val="nil"/>
                <w:bottom w:val="nil"/>
                <w:right w:val="nil"/>
                <w:between w:val="nil"/>
              </w:pBdr>
              <w:ind w:hanging="2"/>
              <w:jc w:val="both"/>
              <w:rPr>
                <w:rFonts w:ascii="Calibri" w:eastAsia="Calibri" w:hAnsi="Calibri" w:cs="Calibri"/>
                <w:color w:val="000000" w:themeColor="text1"/>
              </w:rPr>
            </w:pPr>
            <w:r w:rsidRPr="00A4721D">
              <w:rPr>
                <w:rFonts w:ascii="新細明體" w:hAnsi="新細明體" w:cs="Calibri" w:hint="eastAsia"/>
                <w:color w:val="000000" w:themeColor="text1"/>
              </w:rPr>
              <w:t xml:space="preserve"> </w:t>
            </w:r>
            <w:r w:rsidR="00EC38AF" w:rsidRPr="00A4721D">
              <w:rPr>
                <w:rFonts w:ascii="新細明體" w:hAnsi="新細明體" w:cs="Calibri" w:hint="eastAsia"/>
                <w:color w:val="000000" w:themeColor="text1"/>
              </w:rPr>
              <w:t xml:space="preserve">   </w:t>
            </w:r>
            <w:r w:rsidR="0074093D" w:rsidRPr="00A4721D">
              <w:rPr>
                <w:rFonts w:ascii="Calibri" w:eastAsia="Calibri" w:hAnsi="Calibri" w:cs="Calibri"/>
                <w:color w:val="000000" w:themeColor="text1"/>
              </w:rPr>
              <w:t>This is a</w:t>
            </w:r>
            <w:r w:rsidR="00ED4DC4">
              <w:rPr>
                <w:rFonts w:asciiTheme="minorEastAsia" w:eastAsiaTheme="minorEastAsia" w:hAnsiTheme="minorEastAsia" w:cs="Calibri" w:hint="eastAsia"/>
                <w:color w:val="000000" w:themeColor="text1"/>
              </w:rPr>
              <w:t xml:space="preserve"> </w:t>
            </w:r>
            <w:r w:rsidR="00ED4DC4">
              <w:rPr>
                <w:rFonts w:ascii="Calibri" w:eastAsiaTheme="minorEastAsia" w:hAnsi="Calibri" w:cs="Calibri" w:hint="eastAsia"/>
                <w:color w:val="000000" w:themeColor="text1"/>
              </w:rPr>
              <w:t xml:space="preserve">pilot and </w:t>
            </w:r>
            <w:r w:rsidR="0074093D" w:rsidRPr="00A4721D">
              <w:rPr>
                <w:rFonts w:ascii="Calibri" w:eastAsia="Calibri" w:hAnsi="Calibri" w:cs="Calibri"/>
                <w:color w:val="000000" w:themeColor="text1"/>
              </w:rPr>
              <w:t xml:space="preserve">prospective, randomized study for </w:t>
            </w:r>
            <w:r w:rsidR="0002298C">
              <w:rPr>
                <w:rFonts w:ascii="Calibri" w:eastAsia="Calibri" w:hAnsi="Calibri" w:cs="Calibri"/>
                <w:color w:val="000000" w:themeColor="text1"/>
              </w:rPr>
              <w:t>3</w:t>
            </w:r>
            <w:r w:rsidR="0074093D" w:rsidRPr="00A4721D">
              <w:rPr>
                <w:rFonts w:ascii="Calibri" w:eastAsia="Calibri" w:hAnsi="Calibri" w:cs="Calibri"/>
                <w:color w:val="000000" w:themeColor="text1"/>
              </w:rPr>
              <w:t xml:space="preserve"> months. All patients presented to the clinics of participating sites with CKD with eGFR </w:t>
            </w:r>
            <w:r w:rsidR="00F21997">
              <w:rPr>
                <w:rFonts w:ascii="Calibri" w:eastAsia="Calibri" w:hAnsi="Calibri" w:cs="Calibri"/>
                <w:color w:val="000000" w:themeColor="text1"/>
              </w:rPr>
              <w:t>30</w:t>
            </w:r>
            <w:r w:rsidR="0074093D" w:rsidRPr="00A4721D">
              <w:rPr>
                <w:rFonts w:ascii="Calibri" w:eastAsia="Calibri" w:hAnsi="Calibri" w:cs="Calibri"/>
                <w:color w:val="000000" w:themeColor="text1"/>
                <w:u w:val="single"/>
              </w:rPr>
              <w:t>&lt;</w:t>
            </w:r>
            <w:r w:rsidR="0074093D" w:rsidRPr="00A4721D">
              <w:rPr>
                <w:rFonts w:ascii="Calibri" w:eastAsia="Calibri" w:hAnsi="Calibri" w:cs="Calibri"/>
                <w:color w:val="000000" w:themeColor="text1"/>
              </w:rPr>
              <w:t xml:space="preserve"> eGFR &lt; </w:t>
            </w:r>
            <w:r w:rsidR="00F21997">
              <w:rPr>
                <w:rFonts w:ascii="Calibri" w:eastAsia="Calibri" w:hAnsi="Calibri" w:cs="Calibri"/>
                <w:color w:val="000000" w:themeColor="text1"/>
              </w:rPr>
              <w:t>60</w:t>
            </w:r>
            <w:r w:rsidR="0074093D" w:rsidRPr="00A4721D">
              <w:rPr>
                <w:rFonts w:ascii="Calibri" w:eastAsia="Calibri" w:hAnsi="Calibri" w:cs="Calibri"/>
                <w:color w:val="000000" w:themeColor="text1"/>
              </w:rPr>
              <w:t xml:space="preserve"> ml/min/1.73m</w:t>
            </w:r>
            <w:r w:rsidR="0074093D" w:rsidRPr="00A4721D">
              <w:rPr>
                <w:rFonts w:ascii="Calibri" w:eastAsia="Calibri" w:hAnsi="Calibri" w:cs="Calibri"/>
                <w:color w:val="000000" w:themeColor="text1"/>
                <w:vertAlign w:val="superscript"/>
              </w:rPr>
              <w:t>2</w:t>
            </w:r>
            <w:r w:rsidR="0074093D" w:rsidRPr="00A4721D">
              <w:rPr>
                <w:rFonts w:ascii="Calibri" w:eastAsia="Calibri" w:hAnsi="Calibri" w:cs="Calibri"/>
                <w:color w:val="000000" w:themeColor="text1"/>
              </w:rPr>
              <w:t xml:space="preserve"> will be screened for eligibility. Patients who fulfill the inclusion/exclusion criteria will be invited to participate in the current study. After the patient provides the written informed consents, detailed demographic data including genders, ages, body weights, body heights, smoking status (never, past, or active), the baseline creatinine (the nadir value in the past three months) and its corresponding eGFR and CKD stages, degrees of proteinuria (</w:t>
            </w:r>
            <w:r w:rsidR="00067203" w:rsidRPr="00A4721D">
              <w:rPr>
                <w:rFonts w:ascii="Calibri" w:eastAsia="Calibri" w:hAnsi="Calibri" w:cs="Calibri"/>
                <w:color w:val="000000" w:themeColor="text1"/>
              </w:rPr>
              <w:t>Urine albumin creatinine ratio, UACR</w:t>
            </w:r>
            <w:r w:rsidR="0074093D" w:rsidRPr="00A4721D">
              <w:rPr>
                <w:rFonts w:ascii="Calibri" w:eastAsia="Calibri" w:hAnsi="Calibri" w:cs="Calibri"/>
                <w:color w:val="000000" w:themeColor="text1"/>
              </w:rPr>
              <w:t xml:space="preserve">), </w:t>
            </w:r>
            <w:r w:rsidR="00BA26B5">
              <w:rPr>
                <w:rFonts w:ascii="Calibri" w:eastAsia="Calibri" w:hAnsi="Calibri" w:cs="Calibri"/>
                <w:color w:val="000000" w:themeColor="text1"/>
              </w:rPr>
              <w:t>will be recorded</w:t>
            </w:r>
            <w:r w:rsidR="0074093D" w:rsidRPr="00A4721D">
              <w:rPr>
                <w:rFonts w:ascii="Calibri" w:eastAsia="Calibri" w:hAnsi="Calibri" w:cs="Calibri"/>
                <w:color w:val="000000" w:themeColor="text1"/>
              </w:rPr>
              <w:t>. Detailed medication list will also be obtained, with the focus on angiotensin receptor blocker or angiotensin converting enzyme inhibitors, statins, and beta-blockers.</w:t>
            </w:r>
          </w:p>
          <w:p w14:paraId="16FE799A" w14:textId="77777777" w:rsidR="0074093D" w:rsidRPr="00A4721D" w:rsidRDefault="0074093D" w:rsidP="0007340E">
            <w:pPr>
              <w:pBdr>
                <w:top w:val="nil"/>
                <w:left w:val="nil"/>
                <w:bottom w:val="nil"/>
                <w:right w:val="nil"/>
                <w:between w:val="nil"/>
              </w:pBdr>
              <w:ind w:hanging="2"/>
              <w:jc w:val="both"/>
              <w:rPr>
                <w:rFonts w:ascii="Calibri" w:eastAsia="Calibri" w:hAnsi="Calibri" w:cs="Calibri"/>
                <w:color w:val="000000" w:themeColor="text1"/>
                <w:u w:val="single"/>
              </w:rPr>
            </w:pPr>
            <w:r w:rsidRPr="00A4721D">
              <w:rPr>
                <w:rFonts w:ascii="Calibri" w:eastAsia="Calibri" w:hAnsi="Calibri" w:cs="Calibri"/>
                <w:b/>
                <w:color w:val="000000" w:themeColor="text1"/>
                <w:u w:val="single"/>
              </w:rPr>
              <w:t>Processing urine and blood sample</w:t>
            </w:r>
          </w:p>
          <w:p w14:paraId="3B8BB621" w14:textId="63D883C2" w:rsidR="0074093D" w:rsidRPr="00A4721D" w:rsidRDefault="00EC38AF" w:rsidP="00175C99">
            <w:pPr>
              <w:pBdr>
                <w:top w:val="nil"/>
                <w:left w:val="nil"/>
                <w:bottom w:val="nil"/>
                <w:right w:val="nil"/>
                <w:between w:val="nil"/>
              </w:pBdr>
              <w:ind w:hanging="2"/>
              <w:jc w:val="both"/>
              <w:rPr>
                <w:rFonts w:ascii="Calibri" w:eastAsia="Calibri" w:hAnsi="Calibri" w:cs="Calibri"/>
                <w:color w:val="000000" w:themeColor="text1"/>
              </w:rPr>
            </w:pPr>
            <w:r w:rsidRPr="00A4721D">
              <w:rPr>
                <w:rFonts w:asciiTheme="minorEastAsia" w:eastAsiaTheme="minorEastAsia" w:hAnsiTheme="minorEastAsia" w:cs="Calibri" w:hint="eastAsia"/>
                <w:color w:val="000000" w:themeColor="text1"/>
              </w:rPr>
              <w:t xml:space="preserve">    </w:t>
            </w:r>
            <w:r w:rsidR="0074093D" w:rsidRPr="00A4721D">
              <w:rPr>
                <w:rFonts w:ascii="Calibri" w:eastAsia="Calibri" w:hAnsi="Calibri" w:cs="Calibri"/>
                <w:color w:val="000000" w:themeColor="text1"/>
              </w:rPr>
              <w:t>After being processed, urine</w:t>
            </w:r>
            <w:r w:rsidR="00BA26B5">
              <w:rPr>
                <w:rFonts w:ascii="Calibri" w:eastAsia="Calibri" w:hAnsi="Calibri" w:cs="Calibri"/>
                <w:color w:val="000000" w:themeColor="text1"/>
              </w:rPr>
              <w:t xml:space="preserve"> </w:t>
            </w:r>
            <w:r w:rsidR="0074093D" w:rsidRPr="00A4721D">
              <w:rPr>
                <w:rFonts w:ascii="Calibri" w:eastAsia="Calibri" w:hAnsi="Calibri" w:cs="Calibri"/>
                <w:color w:val="000000" w:themeColor="text1"/>
              </w:rPr>
              <w:t xml:space="preserve">and </w:t>
            </w:r>
            <w:r w:rsidR="00BA26B5">
              <w:rPr>
                <w:rFonts w:ascii="Calibri" w:eastAsia="Calibri" w:hAnsi="Calibri" w:cs="Calibri"/>
                <w:color w:val="000000" w:themeColor="text1"/>
              </w:rPr>
              <w:t>serum</w:t>
            </w:r>
            <w:r w:rsidR="0074093D" w:rsidRPr="00A4721D">
              <w:rPr>
                <w:rFonts w:ascii="Calibri" w:eastAsia="Calibri" w:hAnsi="Calibri" w:cs="Calibri"/>
                <w:color w:val="000000" w:themeColor="text1"/>
              </w:rPr>
              <w:t xml:space="preserve"> samples will be stored in -80°C for further examinations. The names and chart numbers </w:t>
            </w:r>
            <w:r w:rsidR="00BA26B5">
              <w:rPr>
                <w:rFonts w:ascii="Calibri" w:eastAsia="Calibri" w:hAnsi="Calibri" w:cs="Calibri"/>
                <w:color w:val="000000" w:themeColor="text1"/>
              </w:rPr>
              <w:t xml:space="preserve">of the </w:t>
            </w:r>
            <w:r w:rsidR="0074093D" w:rsidRPr="00A4721D">
              <w:rPr>
                <w:rFonts w:ascii="Calibri" w:eastAsia="Calibri" w:hAnsi="Calibri" w:cs="Calibri"/>
                <w:color w:val="000000" w:themeColor="text1"/>
              </w:rPr>
              <w:t xml:space="preserve">participants will be masked to provide adequate privacy. The coding book connecting codes and individual patients will be filed separately in order to protect patients’ privacy. </w:t>
            </w:r>
          </w:p>
          <w:p w14:paraId="79D6D7C4" w14:textId="77777777" w:rsidR="0074093D" w:rsidRPr="00A4721D" w:rsidRDefault="0074093D" w:rsidP="0007340E">
            <w:pPr>
              <w:pBdr>
                <w:top w:val="nil"/>
                <w:left w:val="nil"/>
                <w:bottom w:val="nil"/>
                <w:right w:val="nil"/>
                <w:between w:val="nil"/>
              </w:pBdr>
              <w:ind w:hanging="2"/>
              <w:jc w:val="both"/>
              <w:rPr>
                <w:rFonts w:ascii="Calibri" w:eastAsia="Calibri" w:hAnsi="Calibri" w:cs="Calibri"/>
                <w:color w:val="000000" w:themeColor="text1"/>
                <w:u w:val="single"/>
              </w:rPr>
            </w:pPr>
            <w:r w:rsidRPr="00A4721D">
              <w:rPr>
                <w:rFonts w:ascii="Calibri" w:eastAsia="Calibri" w:hAnsi="Calibri" w:cs="Calibri"/>
                <w:b/>
                <w:color w:val="000000" w:themeColor="text1"/>
                <w:u w:val="single"/>
              </w:rPr>
              <w:t>Serum and urine biomarker</w:t>
            </w:r>
          </w:p>
          <w:p w14:paraId="65D31DA1" w14:textId="5BC085D5" w:rsidR="00175C99" w:rsidRPr="0002298C" w:rsidRDefault="00EC38AF" w:rsidP="0002298C">
            <w:pPr>
              <w:widowControl/>
              <w:jc w:val="both"/>
              <w:rPr>
                <w:rFonts w:asciiTheme="minorHAnsi" w:eastAsia="Calibri" w:hAnsiTheme="minorHAnsi" w:cstheme="minorHAnsi"/>
                <w:color w:val="000000" w:themeColor="text1"/>
              </w:rPr>
            </w:pPr>
            <w:r w:rsidRPr="00A4721D">
              <w:rPr>
                <w:rFonts w:asciiTheme="minorEastAsia" w:eastAsiaTheme="minorEastAsia" w:hAnsiTheme="minorEastAsia" w:cs="Calibri" w:hint="eastAsia"/>
                <w:color w:val="000000" w:themeColor="text1"/>
              </w:rPr>
              <w:t xml:space="preserve">    </w:t>
            </w:r>
            <w:r w:rsidR="0074093D" w:rsidRPr="00A4721D">
              <w:rPr>
                <w:rFonts w:ascii="Calibri" w:eastAsia="Calibri" w:hAnsi="Calibri" w:cs="Calibri"/>
                <w:color w:val="000000" w:themeColor="text1"/>
              </w:rPr>
              <w:t xml:space="preserve">In addition to serum </w:t>
            </w:r>
            <w:r w:rsidR="0074093D" w:rsidRPr="00A4721D">
              <w:rPr>
                <w:rFonts w:asciiTheme="minorHAnsi" w:eastAsia="Calibri" w:hAnsiTheme="minorHAnsi" w:cstheme="minorHAnsi"/>
                <w:color w:val="000000" w:themeColor="text1"/>
              </w:rPr>
              <w:t>BUN</w:t>
            </w:r>
            <w:r w:rsidR="0002298C">
              <w:rPr>
                <w:rFonts w:asciiTheme="minorHAnsi" w:eastAsia="Calibri" w:hAnsiTheme="minorHAnsi" w:cstheme="minorHAnsi"/>
                <w:color w:val="000000" w:themeColor="text1"/>
              </w:rPr>
              <w:t xml:space="preserve"> and</w:t>
            </w:r>
            <w:r w:rsidR="0074093D" w:rsidRPr="00A4721D">
              <w:rPr>
                <w:rFonts w:asciiTheme="minorHAnsi" w:eastAsia="Calibri" w:hAnsiTheme="minorHAnsi" w:cstheme="minorHAnsi" w:hint="eastAsia"/>
                <w:color w:val="000000" w:themeColor="text1"/>
              </w:rPr>
              <w:t xml:space="preserve"> </w:t>
            </w:r>
            <w:r w:rsidR="0074093D" w:rsidRPr="00A4721D">
              <w:rPr>
                <w:rFonts w:asciiTheme="minorHAnsi" w:eastAsia="Calibri" w:hAnsiTheme="minorHAnsi" w:cstheme="minorHAnsi"/>
                <w:color w:val="000000" w:themeColor="text1"/>
              </w:rPr>
              <w:t xml:space="preserve">creatinine, urine </w:t>
            </w:r>
            <w:r w:rsidR="00067203" w:rsidRPr="00A4721D">
              <w:rPr>
                <w:rFonts w:asciiTheme="minorHAnsi" w:eastAsia="Calibri" w:hAnsiTheme="minorHAnsi" w:cstheme="minorHAnsi"/>
                <w:color w:val="000000" w:themeColor="text1"/>
              </w:rPr>
              <w:t xml:space="preserve">albumin </w:t>
            </w:r>
            <w:r w:rsidR="0074093D" w:rsidRPr="00A4721D">
              <w:rPr>
                <w:rFonts w:asciiTheme="minorHAnsi" w:eastAsia="Calibri" w:hAnsiTheme="minorHAnsi" w:cstheme="minorHAnsi"/>
                <w:color w:val="000000" w:themeColor="text1"/>
              </w:rPr>
              <w:t>and creatinine</w:t>
            </w:r>
            <w:r w:rsidR="00AE770A" w:rsidRPr="00A4721D">
              <w:rPr>
                <w:rFonts w:asciiTheme="minorHAnsi" w:eastAsia="Calibri" w:hAnsiTheme="minorHAnsi" w:cstheme="minorHAnsi"/>
                <w:color w:val="000000" w:themeColor="text1"/>
              </w:rPr>
              <w:t xml:space="preserve"> </w:t>
            </w:r>
            <w:r w:rsidR="0031754A" w:rsidRPr="00A4721D">
              <w:rPr>
                <w:rFonts w:asciiTheme="minorHAnsi" w:eastAsia="Calibri" w:hAnsiTheme="minorHAnsi" w:cstheme="minorHAnsi"/>
                <w:color w:val="000000" w:themeColor="text1"/>
              </w:rPr>
              <w:t xml:space="preserve">will be also assessed. </w:t>
            </w:r>
            <w:r w:rsidR="0074093D" w:rsidRPr="00A4721D">
              <w:rPr>
                <w:rFonts w:asciiTheme="minorHAnsi" w:eastAsia="Calibri" w:hAnsiTheme="minorHAnsi" w:cstheme="minorHAnsi"/>
                <w:color w:val="000000" w:themeColor="text1"/>
              </w:rPr>
              <w:t xml:space="preserve">The concentrations of indoxyl sulfate </w:t>
            </w:r>
            <w:r w:rsidR="00BA26B5">
              <w:rPr>
                <w:rFonts w:asciiTheme="minorHAnsi" w:eastAsia="Calibri" w:hAnsiTheme="minorHAnsi" w:cstheme="minorHAnsi"/>
                <w:color w:val="000000" w:themeColor="text1"/>
              </w:rPr>
              <w:t xml:space="preserve">(IS) </w:t>
            </w:r>
            <w:r w:rsidR="0074093D" w:rsidRPr="00A4721D">
              <w:rPr>
                <w:rFonts w:asciiTheme="minorHAnsi" w:eastAsia="Calibri" w:hAnsiTheme="minorHAnsi" w:cstheme="minorHAnsi"/>
                <w:color w:val="000000" w:themeColor="text1"/>
              </w:rPr>
              <w:t xml:space="preserve">and p-cresol </w:t>
            </w:r>
            <w:r w:rsidR="00BA26B5">
              <w:rPr>
                <w:rFonts w:asciiTheme="minorHAnsi" w:eastAsia="Calibri" w:hAnsiTheme="minorHAnsi" w:cstheme="minorHAnsi"/>
                <w:color w:val="000000" w:themeColor="text1"/>
              </w:rPr>
              <w:t xml:space="preserve">(p-CS) </w:t>
            </w:r>
            <w:r w:rsidR="0074093D" w:rsidRPr="00A4721D">
              <w:rPr>
                <w:rFonts w:asciiTheme="minorHAnsi" w:eastAsia="Calibri" w:hAnsiTheme="minorHAnsi" w:cstheme="minorHAnsi"/>
                <w:color w:val="000000" w:themeColor="text1"/>
              </w:rPr>
              <w:t>levels will be determined by liquid chromatography. The serum trimethylamine N-oxide (TMAO) concentration will be determined by LC-MS/MS.</w:t>
            </w:r>
            <w:bookmarkStart w:id="0" w:name="gjdgxs" w:colFirst="0" w:colLast="0"/>
            <w:bookmarkEnd w:id="0"/>
          </w:p>
          <w:p w14:paraId="6F248F8A" w14:textId="77777777" w:rsidR="0074093D" w:rsidRPr="00A4721D" w:rsidRDefault="0074093D" w:rsidP="0007340E">
            <w:pPr>
              <w:pBdr>
                <w:top w:val="nil"/>
                <w:left w:val="nil"/>
                <w:bottom w:val="nil"/>
                <w:right w:val="nil"/>
                <w:between w:val="nil"/>
              </w:pBdr>
              <w:ind w:hanging="2"/>
              <w:jc w:val="both"/>
              <w:rPr>
                <w:rFonts w:ascii="Calibri" w:eastAsia="Calibri" w:hAnsi="Calibri" w:cs="Calibri"/>
                <w:color w:val="000000" w:themeColor="text1"/>
                <w:u w:val="single"/>
              </w:rPr>
            </w:pPr>
            <w:r w:rsidRPr="00A4721D">
              <w:rPr>
                <w:rFonts w:ascii="Calibri" w:eastAsia="Calibri" w:hAnsi="Calibri" w:cs="Calibri"/>
                <w:b/>
                <w:color w:val="000000" w:themeColor="text1"/>
                <w:u w:val="single"/>
              </w:rPr>
              <w:t>End Points</w:t>
            </w:r>
          </w:p>
          <w:p w14:paraId="68A38A1B" w14:textId="00758815" w:rsidR="0074093D" w:rsidRPr="00A4721D" w:rsidRDefault="0074093D" w:rsidP="0074093D">
            <w:pPr>
              <w:pBdr>
                <w:top w:val="nil"/>
                <w:left w:val="nil"/>
                <w:bottom w:val="nil"/>
                <w:right w:val="nil"/>
                <w:between w:val="nil"/>
              </w:pBdr>
              <w:ind w:hanging="2"/>
              <w:jc w:val="both"/>
              <w:rPr>
                <w:rFonts w:ascii="Calibri" w:eastAsia="Calibri" w:hAnsi="Calibri" w:cs="Calibri"/>
                <w:color w:val="000000" w:themeColor="text1"/>
              </w:rPr>
            </w:pPr>
            <w:r w:rsidRPr="00A4721D">
              <w:rPr>
                <w:rFonts w:ascii="Calibri" w:eastAsia="Calibri" w:hAnsi="Calibri" w:cs="Calibri"/>
                <w:color w:val="000000" w:themeColor="text1"/>
              </w:rPr>
              <w:t>The primary endpoint is the % change of</w:t>
            </w:r>
            <w:r w:rsidR="0007340E" w:rsidRPr="00A4721D">
              <w:rPr>
                <w:rFonts w:ascii="Calibri" w:eastAsia="Calibri" w:hAnsi="Calibri" w:cs="Calibri"/>
                <w:color w:val="000000" w:themeColor="text1"/>
              </w:rPr>
              <w:t xml:space="preserve"> UACR</w:t>
            </w:r>
            <w:r w:rsidR="00C9764A" w:rsidRPr="00A4721D">
              <w:rPr>
                <w:rFonts w:ascii="Calibri" w:eastAsia="Calibri" w:hAnsi="Calibri" w:cs="Calibri"/>
                <w:color w:val="000000" w:themeColor="text1"/>
              </w:rPr>
              <w:t xml:space="preserve">, </w:t>
            </w:r>
            <w:r w:rsidR="001B2608">
              <w:rPr>
                <w:rFonts w:ascii="Calibri" w:eastAsia="Calibri" w:hAnsi="Calibri" w:cs="Calibri"/>
                <w:color w:val="000000" w:themeColor="text1"/>
              </w:rPr>
              <w:t xml:space="preserve">serum IS, p-CS, TMAO, </w:t>
            </w:r>
            <w:r w:rsidR="00C9764A" w:rsidRPr="00A4721D">
              <w:rPr>
                <w:rFonts w:ascii="Calibri" w:eastAsia="Calibri" w:hAnsi="Calibri" w:cs="Calibri"/>
                <w:color w:val="000000" w:themeColor="text1"/>
              </w:rPr>
              <w:t>Cre,</w:t>
            </w:r>
            <w:r w:rsidRPr="00A4721D">
              <w:rPr>
                <w:rFonts w:ascii="Calibri" w:eastAsia="Calibri" w:hAnsi="Calibri" w:cs="Calibri"/>
                <w:color w:val="000000" w:themeColor="text1"/>
              </w:rPr>
              <w:t xml:space="preserve"> </w:t>
            </w:r>
            <w:r w:rsidR="001B2608">
              <w:rPr>
                <w:rFonts w:ascii="Calibri" w:eastAsia="Calibri" w:hAnsi="Calibri" w:cs="Calibri"/>
                <w:color w:val="000000" w:themeColor="text1"/>
              </w:rPr>
              <w:t xml:space="preserve">and </w:t>
            </w:r>
            <w:r w:rsidRPr="00A4721D">
              <w:rPr>
                <w:rFonts w:ascii="Calibri" w:eastAsia="Calibri" w:hAnsi="Calibri" w:cs="Calibri"/>
                <w:color w:val="000000" w:themeColor="text1"/>
              </w:rPr>
              <w:t xml:space="preserve">eGFR from baseline at </w:t>
            </w:r>
            <w:r w:rsidR="0007340E" w:rsidRPr="00A4721D">
              <w:rPr>
                <w:rFonts w:ascii="Calibri" w:eastAsia="Calibri" w:hAnsi="Calibri" w:cs="Calibri"/>
                <w:color w:val="000000" w:themeColor="text1"/>
              </w:rPr>
              <w:t>3</w:t>
            </w:r>
            <w:r w:rsidRPr="00A4721D">
              <w:rPr>
                <w:rFonts w:ascii="Calibri" w:eastAsia="Calibri" w:hAnsi="Calibri" w:cs="Calibri"/>
                <w:color w:val="000000" w:themeColor="text1"/>
              </w:rPr>
              <w:t xml:space="preserve">M. </w:t>
            </w:r>
          </w:p>
          <w:p w14:paraId="6C5137F0" w14:textId="77777777" w:rsidR="0079473F" w:rsidRPr="00A4721D" w:rsidRDefault="0079473F" w:rsidP="00293149">
            <w:pPr>
              <w:ind w:rightChars="50" w:right="120"/>
              <w:rPr>
                <w:rFonts w:eastAsia="標楷體"/>
                <w:b/>
                <w:color w:val="000000" w:themeColor="text1"/>
              </w:rPr>
            </w:pPr>
          </w:p>
          <w:p w14:paraId="78EC6771" w14:textId="31EF968D" w:rsidR="00B7322A" w:rsidRPr="00A4721D" w:rsidRDefault="00ED4DC4" w:rsidP="00293149">
            <w:pPr>
              <w:ind w:rightChars="50" w:right="120"/>
              <w:rPr>
                <w:rFonts w:eastAsia="標楷體"/>
                <w:b/>
                <w:color w:val="000000" w:themeColor="text1"/>
              </w:rPr>
            </w:pPr>
            <w:r>
              <w:rPr>
                <w:rFonts w:eastAsia="標楷體" w:hint="eastAsia"/>
                <w:b/>
                <w:color w:val="000000" w:themeColor="text1"/>
              </w:rPr>
              <w:t>五</w:t>
            </w:r>
            <w:r w:rsidR="00B7322A" w:rsidRPr="00A4721D">
              <w:rPr>
                <w:rFonts w:eastAsia="標楷體"/>
                <w:b/>
                <w:color w:val="000000" w:themeColor="text1"/>
              </w:rPr>
              <w:t>、受試者選擇標準（</w:t>
            </w:r>
            <w:r w:rsidR="00B7322A" w:rsidRPr="00A4721D">
              <w:rPr>
                <w:rFonts w:eastAsia="標楷體"/>
                <w:b/>
                <w:color w:val="000000" w:themeColor="text1"/>
              </w:rPr>
              <w:t>Patient eligibility</w:t>
            </w:r>
            <w:r w:rsidR="00B7322A" w:rsidRPr="00A4721D">
              <w:rPr>
                <w:rFonts w:eastAsia="標楷體"/>
                <w:b/>
                <w:color w:val="000000" w:themeColor="text1"/>
              </w:rPr>
              <w:t>）</w:t>
            </w:r>
          </w:p>
          <w:p w14:paraId="20494187" w14:textId="77777777" w:rsidR="0074093D" w:rsidRPr="00A4721D" w:rsidRDefault="0074093D" w:rsidP="0074093D">
            <w:pPr>
              <w:pBdr>
                <w:top w:val="nil"/>
                <w:left w:val="nil"/>
                <w:bottom w:val="nil"/>
                <w:right w:val="nil"/>
                <w:between w:val="nil"/>
              </w:pBdr>
              <w:ind w:hanging="2"/>
              <w:jc w:val="both"/>
              <w:rPr>
                <w:rFonts w:ascii="Calibri" w:eastAsia="Calibri" w:hAnsi="Calibri" w:cs="Calibri"/>
                <w:b/>
                <w:color w:val="000000" w:themeColor="text1"/>
              </w:rPr>
            </w:pPr>
            <w:r w:rsidRPr="00A4721D">
              <w:rPr>
                <w:rFonts w:ascii="Calibri" w:eastAsia="Calibri" w:hAnsi="Calibri" w:cs="Calibri"/>
                <w:b/>
                <w:color w:val="000000" w:themeColor="text1"/>
              </w:rPr>
              <w:t xml:space="preserve">The inclusion criteria </w:t>
            </w:r>
            <w:r w:rsidRPr="00A4721D">
              <w:rPr>
                <w:rFonts w:ascii="Calibri" w:eastAsia="Calibri" w:hAnsi="Calibri" w:cs="Calibri"/>
                <w:b/>
                <w:color w:val="000000" w:themeColor="text1"/>
                <w:u w:val="single"/>
              </w:rPr>
              <w:t>include</w:t>
            </w:r>
            <w:r w:rsidRPr="00A4721D">
              <w:rPr>
                <w:rFonts w:ascii="Calibri" w:eastAsia="Calibri" w:hAnsi="Calibri" w:cs="Calibri"/>
                <w:b/>
                <w:color w:val="000000" w:themeColor="text1"/>
              </w:rPr>
              <w:t>:</w:t>
            </w:r>
          </w:p>
          <w:p w14:paraId="3563AC0A" w14:textId="77777777" w:rsidR="0074093D" w:rsidRPr="00A4721D" w:rsidRDefault="0074093D" w:rsidP="0074093D">
            <w:pPr>
              <w:numPr>
                <w:ilvl w:val="0"/>
                <w:numId w:val="5"/>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000000" w:themeColor="text1"/>
              </w:rPr>
            </w:pPr>
            <w:r w:rsidRPr="00A4721D">
              <w:rPr>
                <w:rFonts w:ascii="Calibri" w:eastAsia="Calibri" w:hAnsi="Calibri" w:cs="Calibri"/>
                <w:color w:val="000000" w:themeColor="text1"/>
              </w:rPr>
              <w:t>Age ≥ 20 years old on the day of screening.</w:t>
            </w:r>
          </w:p>
          <w:p w14:paraId="4BCBC6DC" w14:textId="7241B64B" w:rsidR="0074093D" w:rsidRPr="00F21997" w:rsidRDefault="0074093D" w:rsidP="004D009F">
            <w:pPr>
              <w:numPr>
                <w:ilvl w:val="0"/>
                <w:numId w:val="5"/>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000000" w:themeColor="text1"/>
              </w:rPr>
            </w:pPr>
            <w:r w:rsidRPr="00A4721D">
              <w:rPr>
                <w:rFonts w:ascii="Calibri" w:eastAsia="Calibri" w:hAnsi="Calibri" w:cs="Calibri"/>
                <w:color w:val="000000" w:themeColor="text1"/>
              </w:rPr>
              <w:t xml:space="preserve">CKD patients with eGFR </w:t>
            </w:r>
            <w:r w:rsidR="00F21997">
              <w:rPr>
                <w:rFonts w:ascii="Calibri" w:eastAsia="Calibri" w:hAnsi="Calibri" w:cs="Calibri"/>
                <w:color w:val="000000" w:themeColor="text1"/>
              </w:rPr>
              <w:t>30</w:t>
            </w:r>
            <w:r w:rsidRPr="00A4721D">
              <w:rPr>
                <w:rFonts w:ascii="Calibri" w:eastAsia="Calibri" w:hAnsi="Calibri" w:cs="Calibri"/>
                <w:color w:val="000000" w:themeColor="text1"/>
                <w:sz w:val="22"/>
                <w:szCs w:val="22"/>
              </w:rPr>
              <w:t xml:space="preserve"> </w:t>
            </w:r>
            <w:r w:rsidRPr="00A4721D">
              <w:rPr>
                <w:rFonts w:ascii="Calibri" w:eastAsia="Calibri" w:hAnsi="Calibri" w:cs="Calibri"/>
                <w:color w:val="000000" w:themeColor="text1"/>
                <w:sz w:val="22"/>
                <w:szCs w:val="22"/>
                <w:u w:val="single"/>
              </w:rPr>
              <w:t>&lt;</w:t>
            </w:r>
            <w:r w:rsidRPr="00A4721D">
              <w:rPr>
                <w:rFonts w:ascii="Calibri" w:eastAsia="Calibri" w:hAnsi="Calibri" w:cs="Calibri"/>
                <w:color w:val="000000" w:themeColor="text1"/>
                <w:sz w:val="22"/>
                <w:szCs w:val="22"/>
              </w:rPr>
              <w:t xml:space="preserve"> eGFR &lt;</w:t>
            </w:r>
            <w:r w:rsidR="00F21997">
              <w:rPr>
                <w:rFonts w:ascii="Calibri" w:eastAsia="Calibri" w:hAnsi="Calibri" w:cs="Calibri"/>
                <w:color w:val="000000" w:themeColor="text1"/>
                <w:sz w:val="22"/>
                <w:szCs w:val="22"/>
              </w:rPr>
              <w:t xml:space="preserve"> 60</w:t>
            </w:r>
            <w:r w:rsidRPr="00A4721D">
              <w:rPr>
                <w:rFonts w:ascii="Calibri" w:eastAsia="Calibri" w:hAnsi="Calibri" w:cs="Calibri"/>
                <w:color w:val="000000" w:themeColor="text1"/>
              </w:rPr>
              <w:t xml:space="preserve"> ml/min/1.73m</w:t>
            </w:r>
            <w:r w:rsidRPr="00A4721D">
              <w:rPr>
                <w:rFonts w:ascii="Calibri" w:eastAsia="Calibri" w:hAnsi="Calibri" w:cs="Calibri"/>
                <w:color w:val="000000" w:themeColor="text1"/>
                <w:vertAlign w:val="superscript"/>
              </w:rPr>
              <w:t>2</w:t>
            </w:r>
            <w:r w:rsidRPr="00A4721D">
              <w:rPr>
                <w:rFonts w:ascii="Calibri" w:eastAsia="Calibri" w:hAnsi="Calibri" w:cs="Calibri"/>
                <w:color w:val="000000" w:themeColor="text1"/>
              </w:rPr>
              <w:t xml:space="preserve"> </w:t>
            </w:r>
            <w:r w:rsidR="00F66864" w:rsidRPr="00A4721D">
              <w:rPr>
                <w:rFonts w:asciiTheme="minorHAnsi" w:eastAsia="Calibri" w:hAnsiTheme="minorHAnsi" w:cstheme="minorHAnsi"/>
                <w:color w:val="000000" w:themeColor="text1"/>
              </w:rPr>
              <w:t xml:space="preserve">and </w:t>
            </w:r>
            <w:r w:rsidRPr="00A4721D">
              <w:rPr>
                <w:rFonts w:ascii="Calibri" w:eastAsia="Calibri" w:hAnsi="Calibri" w:cs="Calibri"/>
                <w:color w:val="000000" w:themeColor="text1"/>
              </w:rPr>
              <w:t>in a stable status</w:t>
            </w:r>
            <w:r w:rsidR="00F21997">
              <w:rPr>
                <w:rFonts w:ascii="Calibri" w:eastAsia="Calibri" w:hAnsi="Calibri" w:cs="Calibri"/>
                <w:color w:val="000000" w:themeColor="text1"/>
              </w:rPr>
              <w:t xml:space="preserve"> with </w:t>
            </w:r>
            <w:r w:rsidRPr="00F21997">
              <w:rPr>
                <w:rFonts w:ascii="Calibri" w:eastAsia="Calibri" w:hAnsi="Calibri" w:cs="Calibri"/>
                <w:color w:val="000000" w:themeColor="text1"/>
              </w:rPr>
              <w:t xml:space="preserve">creatinine elevated </w:t>
            </w:r>
            <w:r w:rsidRPr="00F21997">
              <w:rPr>
                <w:rFonts w:ascii="Calibri" w:eastAsia="Calibri" w:hAnsi="Calibri" w:cs="Calibri"/>
                <w:color w:val="000000" w:themeColor="text1"/>
              </w:rPr>
              <w:lastRenderedPageBreak/>
              <w:t xml:space="preserve">less than 0.3 mg/dL in at least 30 days before enrollment.  </w:t>
            </w:r>
          </w:p>
          <w:p w14:paraId="6398CDD8" w14:textId="77777777" w:rsidR="0074093D" w:rsidRPr="00A4721D" w:rsidRDefault="0074093D" w:rsidP="0074093D">
            <w:pPr>
              <w:pBdr>
                <w:top w:val="nil"/>
                <w:left w:val="nil"/>
                <w:bottom w:val="nil"/>
                <w:right w:val="nil"/>
                <w:between w:val="nil"/>
              </w:pBdr>
              <w:ind w:hanging="2"/>
              <w:jc w:val="both"/>
              <w:rPr>
                <w:rFonts w:ascii="Calibri" w:eastAsia="Calibri" w:hAnsi="Calibri" w:cs="Calibri"/>
                <w:b/>
                <w:color w:val="000000" w:themeColor="text1"/>
                <w:u w:val="single"/>
              </w:rPr>
            </w:pPr>
            <w:r w:rsidRPr="00A4721D">
              <w:rPr>
                <w:rFonts w:ascii="Calibri" w:eastAsia="Calibri" w:hAnsi="Calibri" w:cs="Calibri"/>
                <w:b/>
                <w:color w:val="000000" w:themeColor="text1"/>
              </w:rPr>
              <w:t xml:space="preserve">The patients with the following conditions will be </w:t>
            </w:r>
            <w:r w:rsidRPr="00A4721D">
              <w:rPr>
                <w:rFonts w:ascii="Calibri" w:eastAsia="Calibri" w:hAnsi="Calibri" w:cs="Calibri"/>
                <w:b/>
                <w:color w:val="000000" w:themeColor="text1"/>
                <w:u w:val="single"/>
              </w:rPr>
              <w:t>excluded:</w:t>
            </w:r>
          </w:p>
          <w:p w14:paraId="565A16B7" w14:textId="459B8F9F" w:rsidR="0079473F" w:rsidRPr="00A4721D" w:rsidRDefault="0079473F" w:rsidP="0079473F">
            <w:pPr>
              <w:numPr>
                <w:ilvl w:val="0"/>
                <w:numId w:val="11"/>
              </w:numPr>
              <w:jc w:val="both"/>
              <w:rPr>
                <w:rFonts w:asciiTheme="minorHAnsi" w:eastAsia="標楷體" w:hAnsiTheme="minorHAnsi" w:cstheme="minorHAnsi"/>
                <w:color w:val="000000"/>
                <w:lang w:eastAsia="en-US"/>
              </w:rPr>
            </w:pPr>
            <w:r w:rsidRPr="00A4721D">
              <w:rPr>
                <w:rFonts w:asciiTheme="minorHAnsi" w:eastAsia="標楷體" w:hAnsiTheme="minorHAnsi" w:cstheme="minorHAnsi"/>
                <w:color w:val="000000"/>
                <w:lang w:eastAsia="en-US"/>
              </w:rPr>
              <w:t xml:space="preserve">Baseline estimated glomerular filtration rates (eGFR) &lt; </w:t>
            </w:r>
            <w:r w:rsidR="00F21997">
              <w:rPr>
                <w:rFonts w:asciiTheme="minorHAnsi" w:eastAsia="標楷體" w:hAnsiTheme="minorHAnsi" w:cstheme="minorHAnsi"/>
                <w:color w:val="000000"/>
                <w:lang w:eastAsia="en-US"/>
              </w:rPr>
              <w:t>30</w:t>
            </w:r>
            <w:r w:rsidRPr="00A4721D">
              <w:rPr>
                <w:rFonts w:asciiTheme="minorHAnsi" w:eastAsia="標楷體" w:hAnsiTheme="minorHAnsi" w:cstheme="minorHAnsi"/>
                <w:color w:val="000000"/>
                <w:lang w:eastAsia="en-US"/>
              </w:rPr>
              <w:t xml:space="preserve"> ml/min/1.73m</w:t>
            </w:r>
            <w:r w:rsidRPr="00A4721D">
              <w:rPr>
                <w:rFonts w:asciiTheme="minorHAnsi" w:eastAsia="標楷體" w:hAnsiTheme="minorHAnsi" w:cstheme="minorHAnsi"/>
                <w:color w:val="000000"/>
                <w:vertAlign w:val="superscript"/>
                <w:lang w:eastAsia="en-US"/>
              </w:rPr>
              <w:t>2</w:t>
            </w:r>
            <w:r w:rsidRPr="00A4721D">
              <w:rPr>
                <w:rFonts w:asciiTheme="minorHAnsi" w:eastAsia="標楷體" w:hAnsiTheme="minorHAnsi" w:cstheme="minorHAnsi"/>
                <w:color w:val="000000"/>
                <w:lang w:eastAsia="en-US"/>
              </w:rPr>
              <w:t xml:space="preserve"> according to MDRD equation.</w:t>
            </w:r>
          </w:p>
          <w:p w14:paraId="59265DB8" w14:textId="77777777" w:rsidR="0079473F" w:rsidRPr="00A4721D" w:rsidRDefault="0079473F" w:rsidP="0079473F">
            <w:pPr>
              <w:numPr>
                <w:ilvl w:val="0"/>
                <w:numId w:val="11"/>
              </w:numPr>
              <w:jc w:val="both"/>
              <w:rPr>
                <w:rFonts w:asciiTheme="minorHAnsi" w:eastAsia="標楷體" w:hAnsiTheme="minorHAnsi" w:cstheme="minorHAnsi"/>
                <w:color w:val="000000"/>
                <w:lang w:eastAsia="en-US"/>
              </w:rPr>
            </w:pPr>
            <w:r w:rsidRPr="00A4721D">
              <w:rPr>
                <w:rFonts w:asciiTheme="minorHAnsi" w:eastAsia="標楷體" w:hAnsiTheme="minorHAnsi" w:cstheme="minorHAnsi"/>
                <w:color w:val="000000"/>
                <w:lang w:eastAsia="en-US"/>
              </w:rPr>
              <w:t xml:space="preserve">Patients in severe malnutrition status, albumin less than 2.0 g/dL </w:t>
            </w:r>
          </w:p>
          <w:p w14:paraId="2FE6439F" w14:textId="77777777" w:rsidR="0079473F" w:rsidRPr="00A4721D" w:rsidRDefault="0079473F" w:rsidP="0079473F">
            <w:pPr>
              <w:numPr>
                <w:ilvl w:val="0"/>
                <w:numId w:val="11"/>
              </w:numPr>
              <w:jc w:val="both"/>
              <w:rPr>
                <w:rFonts w:asciiTheme="minorHAnsi" w:eastAsia="標楷體" w:hAnsiTheme="minorHAnsi" w:cstheme="minorHAnsi"/>
                <w:color w:val="000000"/>
                <w:lang w:eastAsia="en-US"/>
              </w:rPr>
            </w:pPr>
            <w:r w:rsidRPr="00A4721D">
              <w:rPr>
                <w:rFonts w:asciiTheme="minorHAnsi" w:eastAsia="標楷體" w:hAnsiTheme="minorHAnsi" w:cstheme="minorHAnsi"/>
                <w:color w:val="000000"/>
                <w:lang w:eastAsia="en-US"/>
              </w:rPr>
              <w:t xml:space="preserve">Patients in severe anemia or active gastrointestinal bleeding with hemoglobulin &lt; 8 g/dL. </w:t>
            </w:r>
          </w:p>
          <w:p w14:paraId="2FBCF431" w14:textId="77777777" w:rsidR="0079473F" w:rsidRPr="00A4721D" w:rsidRDefault="0079473F" w:rsidP="0079473F">
            <w:pPr>
              <w:numPr>
                <w:ilvl w:val="0"/>
                <w:numId w:val="11"/>
              </w:numPr>
              <w:jc w:val="both"/>
              <w:rPr>
                <w:rFonts w:asciiTheme="minorHAnsi" w:eastAsia="標楷體" w:hAnsiTheme="minorHAnsi" w:cstheme="minorHAnsi"/>
                <w:color w:val="000000"/>
                <w:lang w:eastAsia="en-US"/>
              </w:rPr>
            </w:pPr>
            <w:r w:rsidRPr="00A4721D">
              <w:rPr>
                <w:rFonts w:asciiTheme="minorHAnsi" w:eastAsia="標楷體" w:hAnsiTheme="minorHAnsi" w:cstheme="minorHAnsi"/>
                <w:color w:val="000000"/>
                <w:lang w:eastAsia="en-US"/>
              </w:rPr>
              <w:t>Peptic ulcer, esophageal varices, ileus or under fasting status</w:t>
            </w:r>
          </w:p>
          <w:p w14:paraId="7EF0D5F0" w14:textId="77777777" w:rsidR="0079473F" w:rsidRPr="00A4721D" w:rsidRDefault="0079473F" w:rsidP="0079473F">
            <w:pPr>
              <w:numPr>
                <w:ilvl w:val="0"/>
                <w:numId w:val="11"/>
              </w:numPr>
              <w:jc w:val="both"/>
              <w:rPr>
                <w:rFonts w:asciiTheme="minorHAnsi" w:eastAsia="標楷體" w:hAnsiTheme="minorHAnsi" w:cstheme="minorHAnsi"/>
                <w:color w:val="000000"/>
                <w:lang w:eastAsia="en-US"/>
              </w:rPr>
            </w:pPr>
            <w:r w:rsidRPr="00A4721D">
              <w:rPr>
                <w:rFonts w:asciiTheme="minorHAnsi" w:eastAsia="標楷體" w:hAnsiTheme="minorHAnsi" w:cstheme="minorHAnsi"/>
                <w:color w:val="000000"/>
                <w:lang w:eastAsia="en-US"/>
              </w:rPr>
              <w:t>Previous gastrointestinal operation.</w:t>
            </w:r>
          </w:p>
          <w:p w14:paraId="784C45BB" w14:textId="77777777" w:rsidR="0079473F" w:rsidRPr="00A4721D" w:rsidRDefault="0079473F" w:rsidP="0079473F">
            <w:pPr>
              <w:numPr>
                <w:ilvl w:val="0"/>
                <w:numId w:val="11"/>
              </w:numPr>
              <w:jc w:val="both"/>
              <w:rPr>
                <w:rFonts w:asciiTheme="minorHAnsi" w:eastAsia="標楷體" w:hAnsiTheme="minorHAnsi" w:cstheme="minorHAnsi"/>
                <w:color w:val="000000"/>
                <w:lang w:eastAsia="en-US"/>
              </w:rPr>
            </w:pPr>
            <w:r w:rsidRPr="00A4721D">
              <w:rPr>
                <w:rFonts w:asciiTheme="minorHAnsi" w:eastAsia="標楷體" w:hAnsiTheme="minorHAnsi" w:cstheme="minorHAnsi"/>
                <w:color w:val="000000"/>
                <w:lang w:eastAsia="en-US"/>
              </w:rPr>
              <w:t xml:space="preserve">Chronic constipation, as defined with </w:t>
            </w:r>
            <w:r w:rsidRPr="00A4721D">
              <w:rPr>
                <w:rFonts w:asciiTheme="minorHAnsi" w:eastAsia="標楷體" w:hAnsiTheme="minorHAnsi" w:cstheme="minorHAnsi"/>
                <w:color w:val="000000"/>
                <w:shd w:val="clear" w:color="auto" w:fill="FFFFFF"/>
                <w:lang w:eastAsia="en-US"/>
              </w:rPr>
              <w:t>less than 3 bowel movements per week, straining, hard stools, incomplete evacuation and inability to pass stool. </w:t>
            </w:r>
            <w:r w:rsidRPr="00A4721D">
              <w:rPr>
                <w:rFonts w:asciiTheme="minorHAnsi" w:eastAsia="標楷體" w:hAnsiTheme="minorHAnsi" w:cstheme="minorHAnsi"/>
                <w:color w:val="000000"/>
                <w:lang w:eastAsia="en-US"/>
              </w:rPr>
              <w:t>If usage of oral laxatives can achieve bowel movement, this patient will not be excluded.</w:t>
            </w:r>
          </w:p>
          <w:p w14:paraId="211C065B" w14:textId="77777777" w:rsidR="0079473F" w:rsidRPr="00A4721D" w:rsidRDefault="0079473F" w:rsidP="0079473F">
            <w:pPr>
              <w:numPr>
                <w:ilvl w:val="0"/>
                <w:numId w:val="11"/>
              </w:numPr>
              <w:jc w:val="both"/>
              <w:rPr>
                <w:rFonts w:asciiTheme="minorHAnsi" w:eastAsia="標楷體" w:hAnsiTheme="minorHAnsi" w:cstheme="minorHAnsi"/>
                <w:color w:val="000000"/>
                <w:lang w:eastAsia="en-US"/>
              </w:rPr>
            </w:pPr>
            <w:r w:rsidRPr="00A4721D">
              <w:rPr>
                <w:rFonts w:asciiTheme="minorHAnsi" w:eastAsia="標楷體" w:hAnsiTheme="minorHAnsi" w:cstheme="minorHAnsi"/>
                <w:color w:val="000000"/>
                <w:lang w:eastAsia="en-US"/>
              </w:rPr>
              <w:t>Patients with major hemorrhage, as defined with acute hemorrhage and requirement of blood transfusion during index admission.</w:t>
            </w:r>
          </w:p>
          <w:p w14:paraId="4B2C886E" w14:textId="77777777" w:rsidR="0079473F" w:rsidRPr="00A4721D" w:rsidRDefault="0079473F" w:rsidP="0079473F">
            <w:pPr>
              <w:numPr>
                <w:ilvl w:val="0"/>
                <w:numId w:val="11"/>
              </w:numPr>
              <w:jc w:val="both"/>
              <w:rPr>
                <w:rFonts w:asciiTheme="minorHAnsi" w:eastAsia="標楷體" w:hAnsiTheme="minorHAnsi" w:cstheme="minorHAnsi"/>
                <w:color w:val="000000"/>
                <w:lang w:eastAsia="en-US"/>
              </w:rPr>
            </w:pPr>
            <w:r w:rsidRPr="00A4721D">
              <w:rPr>
                <w:rFonts w:asciiTheme="minorHAnsi" w:eastAsia="標楷體" w:hAnsiTheme="minorHAnsi" w:cstheme="minorHAnsi"/>
                <w:color w:val="000000"/>
                <w:lang w:eastAsia="en-US"/>
              </w:rPr>
              <w:t xml:space="preserve">Patients with a biopsy proved or clinically diagnosed advanced liver cirrhosis, Child classification B or C. </w:t>
            </w:r>
          </w:p>
          <w:p w14:paraId="067AC6B8" w14:textId="77777777" w:rsidR="0079473F" w:rsidRPr="00F21997" w:rsidRDefault="0079473F" w:rsidP="0079473F">
            <w:pPr>
              <w:numPr>
                <w:ilvl w:val="0"/>
                <w:numId w:val="11"/>
              </w:numPr>
              <w:jc w:val="both"/>
              <w:rPr>
                <w:rFonts w:asciiTheme="minorHAnsi" w:eastAsia="標楷體" w:hAnsiTheme="minorHAnsi" w:cstheme="minorHAnsi"/>
                <w:color w:val="000000" w:themeColor="text1"/>
                <w:lang w:eastAsia="en-US"/>
              </w:rPr>
            </w:pPr>
            <w:r w:rsidRPr="00A4721D">
              <w:rPr>
                <w:rFonts w:asciiTheme="minorHAnsi" w:eastAsia="標楷體" w:hAnsiTheme="minorHAnsi" w:cstheme="minorHAnsi"/>
                <w:color w:val="000000"/>
                <w:lang w:eastAsia="en-US"/>
              </w:rPr>
              <w:t xml:space="preserve">Solid organ or hematological transplantation recipients. </w:t>
            </w:r>
          </w:p>
          <w:p w14:paraId="2F2643C2" w14:textId="77777777" w:rsidR="0079473F" w:rsidRPr="00F21997" w:rsidRDefault="0079473F" w:rsidP="0079473F">
            <w:pPr>
              <w:numPr>
                <w:ilvl w:val="0"/>
                <w:numId w:val="11"/>
              </w:numPr>
              <w:jc w:val="both"/>
              <w:rPr>
                <w:rFonts w:asciiTheme="minorHAnsi" w:eastAsia="標楷體" w:hAnsiTheme="minorHAnsi" w:cstheme="minorHAnsi"/>
                <w:color w:val="000000" w:themeColor="text1"/>
                <w:lang w:eastAsia="en-US"/>
              </w:rPr>
            </w:pPr>
            <w:r w:rsidRPr="00F21997">
              <w:rPr>
                <w:rFonts w:asciiTheme="minorHAnsi" w:eastAsia="標楷體" w:hAnsiTheme="minorHAnsi" w:cstheme="minorHAnsi"/>
                <w:color w:val="000000" w:themeColor="text1"/>
                <w:lang w:eastAsia="en-US"/>
              </w:rPr>
              <w:t>Patients with oliguric kidney injury, as defined with less than 500 cc/day.</w:t>
            </w:r>
          </w:p>
          <w:p w14:paraId="6A0224D1" w14:textId="77777777" w:rsidR="0079473F" w:rsidRPr="00F21997" w:rsidRDefault="0079473F" w:rsidP="0079473F">
            <w:pPr>
              <w:numPr>
                <w:ilvl w:val="0"/>
                <w:numId w:val="11"/>
              </w:numPr>
              <w:jc w:val="both"/>
              <w:rPr>
                <w:rFonts w:asciiTheme="minorHAnsi" w:eastAsia="標楷體" w:hAnsiTheme="minorHAnsi" w:cstheme="minorHAnsi"/>
                <w:color w:val="000000" w:themeColor="text1"/>
                <w:lang w:eastAsia="en-US"/>
              </w:rPr>
            </w:pPr>
            <w:r w:rsidRPr="00F21997">
              <w:rPr>
                <w:rFonts w:asciiTheme="minorHAnsi" w:eastAsia="標楷體" w:hAnsiTheme="minorHAnsi" w:cstheme="minorHAnsi"/>
                <w:color w:val="000000" w:themeColor="text1"/>
                <w:lang w:eastAsia="en-US"/>
              </w:rPr>
              <w:t>Evidence of obstructive kidney injury or polycystic kidney disease.</w:t>
            </w:r>
          </w:p>
          <w:p w14:paraId="6B48EA50" w14:textId="194B7B3E" w:rsidR="0074093D" w:rsidRPr="00F21997" w:rsidRDefault="0079473F" w:rsidP="0079473F">
            <w:pPr>
              <w:numPr>
                <w:ilvl w:val="0"/>
                <w:numId w:val="11"/>
              </w:numPr>
              <w:jc w:val="both"/>
              <w:rPr>
                <w:rFonts w:asciiTheme="minorHAnsi" w:eastAsia="標楷體" w:hAnsiTheme="minorHAnsi" w:cstheme="minorHAnsi"/>
                <w:color w:val="000000" w:themeColor="text1"/>
                <w:lang w:eastAsia="en-US"/>
              </w:rPr>
            </w:pPr>
            <w:r w:rsidRPr="00F21997">
              <w:rPr>
                <w:rFonts w:asciiTheme="minorHAnsi" w:eastAsia="標楷體" w:hAnsiTheme="minorHAnsi" w:cstheme="minorHAnsi"/>
                <w:color w:val="000000" w:themeColor="text1"/>
                <w:lang w:eastAsia="en-US"/>
              </w:rPr>
              <w:t>Antibiotics or probiotics treatment within the last 2 weeks before enrollment and during follow-up period.</w:t>
            </w:r>
          </w:p>
          <w:p w14:paraId="28CFEDDB" w14:textId="0E91EF91" w:rsidR="00733C72" w:rsidRPr="00F21997" w:rsidRDefault="00733C72" w:rsidP="0079473F">
            <w:pPr>
              <w:numPr>
                <w:ilvl w:val="0"/>
                <w:numId w:val="11"/>
              </w:numPr>
              <w:jc w:val="both"/>
              <w:rPr>
                <w:rFonts w:asciiTheme="minorHAnsi" w:eastAsia="標楷體" w:hAnsiTheme="minorHAnsi" w:cstheme="minorHAnsi"/>
                <w:color w:val="000000" w:themeColor="text1"/>
                <w:lang w:eastAsia="en-US"/>
              </w:rPr>
            </w:pPr>
            <w:r w:rsidRPr="00F21997">
              <w:rPr>
                <w:rFonts w:asciiTheme="minorHAnsi" w:eastAsia="標楷體" w:hAnsiTheme="minorHAnsi" w:cstheme="minorHAnsi" w:hint="eastAsia"/>
                <w:color w:val="000000" w:themeColor="text1"/>
              </w:rPr>
              <w:t xml:space="preserve">Presence or history of malignant neoplasms within the past 5 years prior </w:t>
            </w:r>
            <w:r w:rsidRPr="00F21997">
              <w:rPr>
                <w:rFonts w:asciiTheme="minorHAnsi" w:eastAsia="標楷體" w:hAnsiTheme="minorHAnsi" w:cstheme="minorHAnsi"/>
                <w:color w:val="000000" w:themeColor="text1"/>
              </w:rPr>
              <w:t>to the day of screening.</w:t>
            </w:r>
          </w:p>
          <w:p w14:paraId="46C9ABDC" w14:textId="77777777" w:rsidR="0079473F" w:rsidRPr="00A4721D" w:rsidRDefault="0079473F" w:rsidP="00220B1E">
            <w:pPr>
              <w:ind w:rightChars="50" w:right="120"/>
              <w:rPr>
                <w:rFonts w:eastAsia="標楷體"/>
                <w:b/>
                <w:color w:val="000000" w:themeColor="text1"/>
              </w:rPr>
            </w:pPr>
          </w:p>
          <w:p w14:paraId="6751EB08" w14:textId="56102A24" w:rsidR="00A673A6" w:rsidRPr="00A4721D" w:rsidRDefault="00ED4DC4" w:rsidP="00220B1E">
            <w:pPr>
              <w:ind w:rightChars="50" w:right="120"/>
              <w:rPr>
                <w:rFonts w:eastAsia="標楷體"/>
                <w:b/>
                <w:color w:val="000000" w:themeColor="text1"/>
              </w:rPr>
            </w:pPr>
            <w:r>
              <w:rPr>
                <w:rFonts w:eastAsia="標楷體" w:hint="eastAsia"/>
                <w:b/>
                <w:color w:val="000000" w:themeColor="text1"/>
              </w:rPr>
              <w:t>六</w:t>
            </w:r>
            <w:r w:rsidR="00A673A6" w:rsidRPr="00A4721D">
              <w:rPr>
                <w:rFonts w:eastAsia="標楷體"/>
                <w:b/>
                <w:color w:val="000000" w:themeColor="text1"/>
              </w:rPr>
              <w:t>、受試者招募方式</w:t>
            </w:r>
          </w:p>
          <w:p w14:paraId="3BD03BCA" w14:textId="204F85AC" w:rsidR="0079473F" w:rsidRPr="00A4721D" w:rsidRDefault="004D009F" w:rsidP="00AD5A64">
            <w:pPr>
              <w:pBdr>
                <w:top w:val="nil"/>
                <w:left w:val="nil"/>
                <w:bottom w:val="nil"/>
                <w:right w:val="nil"/>
                <w:between w:val="nil"/>
              </w:pBdr>
              <w:ind w:hanging="2"/>
              <w:jc w:val="both"/>
              <w:rPr>
                <w:rFonts w:asciiTheme="minorHAnsi" w:eastAsia="Calibri" w:hAnsiTheme="minorHAnsi" w:cstheme="minorHAnsi"/>
                <w:color w:val="000000" w:themeColor="text1"/>
              </w:rPr>
            </w:pPr>
            <w:r w:rsidRPr="00A4721D">
              <w:rPr>
                <w:rFonts w:asciiTheme="minorEastAsia" w:eastAsiaTheme="minorEastAsia" w:hAnsiTheme="minorEastAsia" w:cstheme="minorHAnsi" w:hint="eastAsia"/>
                <w:color w:val="000000" w:themeColor="text1"/>
              </w:rPr>
              <w:t xml:space="preserve">    </w:t>
            </w:r>
            <w:r w:rsidR="00F211A3" w:rsidRPr="00A4721D">
              <w:rPr>
                <w:rFonts w:asciiTheme="minorHAnsi" w:eastAsia="Calibri" w:hAnsiTheme="minorHAnsi" w:cstheme="minorHAnsi"/>
                <w:color w:val="000000" w:themeColor="text1"/>
              </w:rPr>
              <w:t xml:space="preserve">During this </w:t>
            </w:r>
            <w:r w:rsidR="00F21997">
              <w:rPr>
                <w:rFonts w:asciiTheme="minorHAnsi" w:eastAsia="Calibri" w:hAnsiTheme="minorHAnsi" w:cstheme="minorHAnsi"/>
                <w:color w:val="000000" w:themeColor="text1"/>
              </w:rPr>
              <w:t>3</w:t>
            </w:r>
            <w:r w:rsidR="00F211A3" w:rsidRPr="00A4721D">
              <w:rPr>
                <w:rFonts w:asciiTheme="minorHAnsi" w:eastAsia="Calibri" w:hAnsiTheme="minorHAnsi" w:cstheme="minorHAnsi"/>
                <w:color w:val="000000" w:themeColor="text1"/>
              </w:rPr>
              <w:t xml:space="preserve"> months’ trial, e</w:t>
            </w:r>
            <w:r w:rsidR="0074093D" w:rsidRPr="00A4721D">
              <w:rPr>
                <w:rFonts w:asciiTheme="minorHAnsi" w:eastAsia="Calibri" w:hAnsiTheme="minorHAnsi" w:cstheme="minorHAnsi"/>
                <w:color w:val="000000" w:themeColor="text1"/>
              </w:rPr>
              <w:t xml:space="preserve">ligible </w:t>
            </w:r>
            <w:r w:rsidR="00ED4DC4">
              <w:rPr>
                <w:rFonts w:asciiTheme="minorHAnsi" w:eastAsiaTheme="minorEastAsia" w:hAnsiTheme="minorHAnsi" w:cstheme="minorHAnsi" w:hint="eastAsia"/>
                <w:color w:val="000000" w:themeColor="text1"/>
              </w:rPr>
              <w:t>48</w:t>
            </w:r>
            <w:r w:rsidR="0074093D" w:rsidRPr="00A4721D">
              <w:rPr>
                <w:rFonts w:asciiTheme="minorHAnsi" w:eastAsia="Calibri" w:hAnsiTheme="minorHAnsi" w:cstheme="minorHAnsi"/>
                <w:color w:val="000000" w:themeColor="text1"/>
              </w:rPr>
              <w:t xml:space="preserve"> patients with eGFR </w:t>
            </w:r>
            <w:r w:rsidR="00F21997">
              <w:rPr>
                <w:rFonts w:asciiTheme="minorHAnsi" w:eastAsia="Calibri" w:hAnsiTheme="minorHAnsi" w:cstheme="minorHAnsi"/>
                <w:color w:val="000000" w:themeColor="text1"/>
              </w:rPr>
              <w:t>30</w:t>
            </w:r>
            <w:r w:rsidR="0074093D" w:rsidRPr="00A4721D">
              <w:rPr>
                <w:rFonts w:asciiTheme="minorHAnsi" w:eastAsia="Calibri" w:hAnsiTheme="minorHAnsi" w:cstheme="minorHAnsi"/>
                <w:color w:val="000000" w:themeColor="text1"/>
              </w:rPr>
              <w:t xml:space="preserve"> </w:t>
            </w:r>
            <w:r w:rsidR="0074093D" w:rsidRPr="00A4721D">
              <w:rPr>
                <w:rFonts w:asciiTheme="minorHAnsi" w:eastAsia="Calibri" w:hAnsiTheme="minorHAnsi" w:cstheme="minorHAnsi"/>
                <w:color w:val="000000" w:themeColor="text1"/>
                <w:u w:val="single"/>
              </w:rPr>
              <w:t>&lt;</w:t>
            </w:r>
            <w:r w:rsidR="0074093D" w:rsidRPr="00A4721D">
              <w:rPr>
                <w:rFonts w:asciiTheme="minorHAnsi" w:eastAsia="Calibri" w:hAnsiTheme="minorHAnsi" w:cstheme="minorHAnsi"/>
                <w:color w:val="000000" w:themeColor="text1"/>
              </w:rPr>
              <w:t xml:space="preserve"> eGFR &lt; </w:t>
            </w:r>
            <w:r w:rsidR="00F21997">
              <w:rPr>
                <w:rFonts w:asciiTheme="minorHAnsi" w:eastAsia="Calibri" w:hAnsiTheme="minorHAnsi" w:cstheme="minorHAnsi"/>
                <w:color w:val="000000" w:themeColor="text1"/>
              </w:rPr>
              <w:t>60</w:t>
            </w:r>
            <w:r w:rsidR="0074093D" w:rsidRPr="00A4721D">
              <w:rPr>
                <w:rFonts w:asciiTheme="minorHAnsi" w:eastAsia="Calibri" w:hAnsiTheme="minorHAnsi" w:cstheme="minorHAnsi"/>
                <w:color w:val="000000" w:themeColor="text1"/>
              </w:rPr>
              <w:t xml:space="preserve"> ml/min/1.73m</w:t>
            </w:r>
            <w:r w:rsidR="0074093D" w:rsidRPr="00A4721D">
              <w:rPr>
                <w:rFonts w:asciiTheme="minorHAnsi" w:eastAsia="Calibri" w:hAnsiTheme="minorHAnsi" w:cstheme="minorHAnsi"/>
                <w:color w:val="000000" w:themeColor="text1"/>
                <w:vertAlign w:val="superscript"/>
              </w:rPr>
              <w:t>2</w:t>
            </w:r>
            <w:r w:rsidR="0074093D" w:rsidRPr="00A4721D">
              <w:rPr>
                <w:rFonts w:asciiTheme="minorHAnsi" w:eastAsia="Calibri" w:hAnsiTheme="minorHAnsi" w:cstheme="minorHAnsi"/>
                <w:color w:val="000000" w:themeColor="text1"/>
              </w:rPr>
              <w:t xml:space="preserve"> w</w:t>
            </w:r>
            <w:r w:rsidR="005C78F8" w:rsidRPr="00A4721D">
              <w:rPr>
                <w:rFonts w:asciiTheme="minorHAnsi" w:eastAsia="Calibri" w:hAnsiTheme="minorHAnsi" w:cstheme="minorHAnsi"/>
                <w:color w:val="000000" w:themeColor="text1"/>
              </w:rPr>
              <w:t>ill be</w:t>
            </w:r>
            <w:r w:rsidR="0074093D" w:rsidRPr="00A4721D">
              <w:rPr>
                <w:rFonts w:asciiTheme="minorHAnsi" w:eastAsia="Calibri" w:hAnsiTheme="minorHAnsi" w:cstheme="minorHAnsi"/>
                <w:color w:val="000000" w:themeColor="text1"/>
              </w:rPr>
              <w:t xml:space="preserve"> enrolled </w:t>
            </w:r>
            <w:r w:rsidR="00F211A3" w:rsidRPr="00A4721D">
              <w:rPr>
                <w:rFonts w:asciiTheme="minorHAnsi" w:eastAsia="Calibri" w:hAnsiTheme="minorHAnsi" w:cstheme="minorHAnsi"/>
                <w:color w:val="000000" w:themeColor="text1"/>
              </w:rPr>
              <w:t>and randomized into 4 groups</w:t>
            </w:r>
            <w:r w:rsidR="0074093D" w:rsidRPr="00A4721D">
              <w:rPr>
                <w:rFonts w:asciiTheme="minorHAnsi" w:eastAsia="Calibri" w:hAnsiTheme="minorHAnsi" w:cstheme="minorHAnsi"/>
                <w:color w:val="000000" w:themeColor="text1"/>
              </w:rPr>
              <w:t xml:space="preserve">. </w:t>
            </w:r>
            <w:r w:rsidR="00F211A3" w:rsidRPr="00A4721D">
              <w:rPr>
                <w:rFonts w:asciiTheme="minorHAnsi" w:eastAsia="Calibri" w:hAnsiTheme="minorHAnsi" w:cstheme="minorHAnsi"/>
                <w:color w:val="000000" w:themeColor="text1"/>
              </w:rPr>
              <w:t>The p</w:t>
            </w:r>
            <w:r w:rsidR="0074093D" w:rsidRPr="00A4721D">
              <w:rPr>
                <w:rFonts w:asciiTheme="minorHAnsi" w:eastAsia="Calibri" w:hAnsiTheme="minorHAnsi" w:cstheme="minorHAnsi"/>
                <w:color w:val="000000" w:themeColor="text1"/>
              </w:rPr>
              <w:t xml:space="preserve">atients in group </w:t>
            </w:r>
            <w:r w:rsidR="00F211A3" w:rsidRPr="00A4721D">
              <w:rPr>
                <w:rFonts w:asciiTheme="minorHAnsi" w:eastAsia="Calibri" w:hAnsiTheme="minorHAnsi" w:cstheme="minorHAnsi"/>
                <w:color w:val="000000" w:themeColor="text1"/>
              </w:rPr>
              <w:t>1</w:t>
            </w:r>
            <w:r w:rsidR="00A34504" w:rsidRPr="00A4721D">
              <w:rPr>
                <w:rFonts w:asciiTheme="minorHAnsi" w:eastAsia="Calibri" w:hAnsiTheme="minorHAnsi" w:cstheme="minorHAnsi"/>
                <w:color w:val="000000" w:themeColor="text1"/>
              </w:rPr>
              <w:t xml:space="preserve"> </w:t>
            </w:r>
            <w:r w:rsidR="0074093D" w:rsidRPr="00A4721D">
              <w:rPr>
                <w:rFonts w:asciiTheme="minorHAnsi" w:eastAsia="Calibri" w:hAnsiTheme="minorHAnsi" w:cstheme="minorHAnsi"/>
                <w:color w:val="000000" w:themeColor="text1"/>
              </w:rPr>
              <w:t>will receive</w:t>
            </w:r>
            <w:r w:rsidR="00A34504" w:rsidRPr="00A4721D">
              <w:rPr>
                <w:rFonts w:asciiTheme="minorHAnsi" w:eastAsia="Calibri" w:hAnsiTheme="minorHAnsi" w:cstheme="minorHAnsi"/>
                <w:color w:val="000000" w:themeColor="text1"/>
              </w:rPr>
              <w:t xml:space="preserve"> </w:t>
            </w:r>
            <w:proofErr w:type="spellStart"/>
            <w:r w:rsidR="00A34504" w:rsidRPr="00A4721D">
              <w:rPr>
                <w:rFonts w:asciiTheme="minorHAnsi" w:eastAsia="Calibri" w:hAnsiTheme="minorHAnsi" w:cstheme="minorHAnsi"/>
                <w:color w:val="000000" w:themeColor="text1"/>
              </w:rPr>
              <w:t>CharXenPlus</w:t>
            </w:r>
            <w:proofErr w:type="spellEnd"/>
            <w:r w:rsidR="00A34504" w:rsidRPr="00A4721D">
              <w:rPr>
                <w:rFonts w:asciiTheme="minorHAnsi" w:eastAsia="Calibri" w:hAnsiTheme="minorHAnsi" w:cstheme="minorHAnsi"/>
                <w:color w:val="000000" w:themeColor="text1"/>
              </w:rPr>
              <w:t xml:space="preserve"> 4g (with ABC 2g) thrice daily</w:t>
            </w:r>
            <w:r w:rsidR="00F211A3" w:rsidRPr="00A4721D">
              <w:rPr>
                <w:rFonts w:asciiTheme="minorHAnsi" w:eastAsia="Calibri" w:hAnsiTheme="minorHAnsi" w:cstheme="minorHAnsi"/>
                <w:color w:val="000000" w:themeColor="text1"/>
              </w:rPr>
              <w:t xml:space="preserve"> + </w:t>
            </w:r>
            <w:proofErr w:type="spellStart"/>
            <w:r w:rsidR="00F211A3" w:rsidRPr="00A4721D">
              <w:rPr>
                <w:rFonts w:asciiTheme="minorHAnsi" w:eastAsia="BiauKai" w:hAnsiTheme="minorHAnsi" w:cstheme="minorHAnsi"/>
                <w:color w:val="000000" w:themeColor="text1"/>
              </w:rPr>
              <w:t>CharXprob</w:t>
            </w:r>
            <w:proofErr w:type="spellEnd"/>
            <w:r w:rsidR="00F211A3" w:rsidRPr="00A4721D">
              <w:rPr>
                <w:rFonts w:asciiTheme="minorHAnsi" w:hAnsiTheme="minorHAnsi" w:cstheme="minorHAnsi"/>
                <w:color w:val="000000" w:themeColor="text1"/>
              </w:rPr>
              <w:t xml:space="preserve"> 0.8 g once daily</w:t>
            </w:r>
            <w:r w:rsidR="0074093D" w:rsidRPr="00A4721D">
              <w:rPr>
                <w:rFonts w:asciiTheme="minorHAnsi" w:eastAsia="Calibri" w:hAnsiTheme="minorHAnsi" w:cstheme="minorHAnsi"/>
                <w:color w:val="000000" w:themeColor="text1"/>
              </w:rPr>
              <w:t xml:space="preserve"> </w:t>
            </w:r>
            <w:r w:rsidR="006B1988" w:rsidRPr="00A4721D">
              <w:rPr>
                <w:rFonts w:asciiTheme="minorHAnsi" w:eastAsia="Calibri" w:hAnsiTheme="minorHAnsi" w:cstheme="minorHAnsi"/>
                <w:color w:val="000000" w:themeColor="text1"/>
              </w:rPr>
              <w:t>in</w:t>
            </w:r>
            <w:r w:rsidR="0074093D" w:rsidRPr="00A4721D">
              <w:rPr>
                <w:rFonts w:asciiTheme="minorHAnsi" w:eastAsia="Calibri" w:hAnsiTheme="minorHAnsi" w:cstheme="minorHAnsi"/>
                <w:color w:val="000000" w:themeColor="text1"/>
              </w:rPr>
              <w:t xml:space="preserve"> the 3 months. </w:t>
            </w:r>
            <w:r w:rsidR="003F4007" w:rsidRPr="00A4721D">
              <w:rPr>
                <w:rFonts w:asciiTheme="minorHAnsi" w:eastAsia="Calibri" w:hAnsiTheme="minorHAnsi" w:cstheme="minorHAnsi"/>
                <w:color w:val="000000" w:themeColor="text1"/>
              </w:rPr>
              <w:t>G</w:t>
            </w:r>
            <w:r w:rsidR="00F211A3" w:rsidRPr="00A4721D">
              <w:rPr>
                <w:rFonts w:asciiTheme="minorHAnsi" w:eastAsia="Calibri" w:hAnsiTheme="minorHAnsi" w:cstheme="minorHAnsi"/>
                <w:color w:val="000000" w:themeColor="text1"/>
              </w:rPr>
              <w:t xml:space="preserve">roup 2 will receive </w:t>
            </w:r>
            <w:proofErr w:type="spellStart"/>
            <w:r w:rsidR="00F211A3" w:rsidRPr="00A4721D">
              <w:rPr>
                <w:rFonts w:asciiTheme="minorHAnsi" w:eastAsia="Calibri" w:hAnsiTheme="minorHAnsi" w:cstheme="minorHAnsi"/>
                <w:color w:val="000000" w:themeColor="text1"/>
              </w:rPr>
              <w:t>CharXenPlus</w:t>
            </w:r>
            <w:proofErr w:type="spellEnd"/>
            <w:r w:rsidR="00F211A3" w:rsidRPr="00A4721D">
              <w:rPr>
                <w:rFonts w:asciiTheme="minorHAnsi" w:eastAsia="Calibri" w:hAnsiTheme="minorHAnsi" w:cstheme="minorHAnsi"/>
                <w:color w:val="000000" w:themeColor="text1"/>
              </w:rPr>
              <w:t xml:space="preserve"> 4g thrice daily. </w:t>
            </w:r>
            <w:r w:rsidR="003F4007" w:rsidRPr="00A4721D">
              <w:rPr>
                <w:rFonts w:asciiTheme="minorHAnsi" w:eastAsia="Calibri" w:hAnsiTheme="minorHAnsi" w:cstheme="minorHAnsi"/>
                <w:color w:val="000000" w:themeColor="text1"/>
              </w:rPr>
              <w:t>G</w:t>
            </w:r>
            <w:r w:rsidR="00EC5392" w:rsidRPr="00A4721D">
              <w:rPr>
                <w:rFonts w:asciiTheme="minorHAnsi" w:eastAsia="Calibri" w:hAnsiTheme="minorHAnsi" w:cstheme="minorHAnsi"/>
                <w:color w:val="000000" w:themeColor="text1"/>
              </w:rPr>
              <w:t xml:space="preserve">roup 3 will receive </w:t>
            </w:r>
            <w:proofErr w:type="spellStart"/>
            <w:r w:rsidR="00EC5392" w:rsidRPr="00A4721D">
              <w:rPr>
                <w:rFonts w:asciiTheme="minorHAnsi" w:eastAsia="BiauKai" w:hAnsiTheme="minorHAnsi" w:cstheme="minorHAnsi"/>
                <w:color w:val="000000" w:themeColor="text1"/>
              </w:rPr>
              <w:t>CharXprob</w:t>
            </w:r>
            <w:proofErr w:type="spellEnd"/>
            <w:r w:rsidR="00EC5392" w:rsidRPr="00A4721D">
              <w:rPr>
                <w:rFonts w:asciiTheme="minorHAnsi" w:hAnsiTheme="minorHAnsi" w:cstheme="minorHAnsi"/>
                <w:color w:val="000000" w:themeColor="text1"/>
              </w:rPr>
              <w:t xml:space="preserve"> 0.8 g once daily</w:t>
            </w:r>
            <w:r w:rsidR="00EC5392" w:rsidRPr="00A4721D">
              <w:rPr>
                <w:rFonts w:asciiTheme="minorHAnsi" w:eastAsia="Calibri" w:hAnsiTheme="minorHAnsi" w:cstheme="minorHAnsi"/>
                <w:color w:val="000000" w:themeColor="text1"/>
              </w:rPr>
              <w:t xml:space="preserve">. </w:t>
            </w:r>
            <w:r w:rsidR="003F4007" w:rsidRPr="00A4721D">
              <w:rPr>
                <w:rFonts w:asciiTheme="minorHAnsi" w:eastAsia="Calibri" w:hAnsiTheme="minorHAnsi" w:cstheme="minorHAnsi"/>
                <w:color w:val="000000" w:themeColor="text1"/>
              </w:rPr>
              <w:t>G</w:t>
            </w:r>
            <w:r w:rsidR="00EC5392" w:rsidRPr="00A4721D">
              <w:rPr>
                <w:rFonts w:asciiTheme="minorHAnsi" w:eastAsia="Calibri" w:hAnsiTheme="minorHAnsi" w:cstheme="minorHAnsi"/>
                <w:color w:val="000000" w:themeColor="text1"/>
              </w:rPr>
              <w:t>roup 4 will</w:t>
            </w:r>
            <w:r w:rsidR="007C0EED" w:rsidRPr="00A4721D">
              <w:rPr>
                <w:rFonts w:asciiTheme="minorHAnsi" w:eastAsia="Calibri" w:hAnsiTheme="minorHAnsi" w:cstheme="minorHAnsi"/>
                <w:color w:val="000000" w:themeColor="text1"/>
              </w:rPr>
              <w:t xml:space="preserve"> </w:t>
            </w:r>
            <w:r w:rsidR="001F3DC8">
              <w:rPr>
                <w:rFonts w:asciiTheme="minorHAnsi" w:eastAsia="Calibri" w:hAnsiTheme="minorHAnsi" w:cstheme="minorHAnsi"/>
                <w:color w:val="000000" w:themeColor="text1"/>
              </w:rPr>
              <w:t>be the control patients</w:t>
            </w:r>
            <w:r w:rsidR="00EC5392" w:rsidRPr="00A4721D">
              <w:rPr>
                <w:rFonts w:asciiTheme="minorHAnsi" w:eastAsia="Calibri" w:hAnsiTheme="minorHAnsi" w:cstheme="minorHAnsi"/>
                <w:color w:val="000000" w:themeColor="text1"/>
              </w:rPr>
              <w:t xml:space="preserve">. </w:t>
            </w:r>
            <w:r w:rsidR="0074093D" w:rsidRPr="00A4721D">
              <w:rPr>
                <w:rFonts w:asciiTheme="minorHAnsi" w:eastAsia="Calibri" w:hAnsiTheme="minorHAnsi" w:cstheme="minorHAnsi"/>
                <w:color w:val="000000" w:themeColor="text1"/>
              </w:rPr>
              <w:t>The detailed flow chart is provided in Figure 1.</w:t>
            </w:r>
          </w:p>
          <w:p w14:paraId="68233BDC" w14:textId="7CE5CA72" w:rsidR="00BA3FD9" w:rsidRPr="00A4721D" w:rsidRDefault="0079473F" w:rsidP="0079473F">
            <w:pPr>
              <w:pBdr>
                <w:top w:val="nil"/>
                <w:left w:val="nil"/>
                <w:bottom w:val="nil"/>
                <w:right w:val="nil"/>
                <w:between w:val="nil"/>
              </w:pBdr>
              <w:ind w:hanging="2"/>
              <w:jc w:val="both"/>
              <w:rPr>
                <w:rFonts w:ascii="Calibri" w:eastAsia="Calibri" w:hAnsi="Calibri" w:cs="Calibri"/>
                <w:color w:val="000000" w:themeColor="text1"/>
              </w:rPr>
            </w:pPr>
            <w:r w:rsidRPr="00A4721D">
              <w:rPr>
                <w:rFonts w:ascii="Calibri" w:eastAsia="Calibri" w:hAnsi="Calibri" w:cs="Calibri"/>
                <w:b/>
                <w:bCs/>
                <w:color w:val="000000" w:themeColor="text1"/>
              </w:rPr>
              <w:t>Figure 1. Flow chart of Study</w:t>
            </w:r>
            <w:r w:rsidRPr="00A4721D">
              <w:rPr>
                <w:rFonts w:ascii="Calibri" w:eastAsia="Calibri" w:hAnsi="Calibri" w:cs="Calibri"/>
                <w:color w:val="000000" w:themeColor="text1"/>
              </w:rPr>
              <w:t>.</w:t>
            </w:r>
          </w:p>
          <w:p w14:paraId="2ABC5D89" w14:textId="41CD0963" w:rsidR="00BA3FD9" w:rsidRPr="00A4721D" w:rsidRDefault="00452269" w:rsidP="0074093D">
            <w:pPr>
              <w:pBdr>
                <w:top w:val="nil"/>
                <w:left w:val="nil"/>
                <w:bottom w:val="nil"/>
                <w:right w:val="nil"/>
                <w:between w:val="nil"/>
              </w:pBdr>
              <w:ind w:hanging="2"/>
              <w:jc w:val="both"/>
              <w:rPr>
                <w:rFonts w:ascii="Calibri" w:eastAsia="Calibri" w:hAnsi="Calibri" w:cs="Calibri"/>
                <w:color w:val="000000" w:themeColor="text1"/>
              </w:rPr>
            </w:pPr>
            <w:r w:rsidRPr="00A4721D">
              <w:rPr>
                <w:rFonts w:ascii="Calibri" w:eastAsia="Calibri" w:hAnsi="Calibri" w:cs="Calibri"/>
                <w:noProof/>
                <w:color w:val="000000" w:themeColor="text1"/>
              </w:rPr>
              <mc:AlternateContent>
                <mc:Choice Requires="wpg">
                  <w:drawing>
                    <wp:anchor distT="0" distB="0" distL="114300" distR="114300" simplePos="0" relativeHeight="251659264" behindDoc="0" locked="0" layoutInCell="1" allowOverlap="1" wp14:anchorId="7D65EC5E" wp14:editId="321097DA">
                      <wp:simplePos x="0" y="0"/>
                      <wp:positionH relativeFrom="column">
                        <wp:posOffset>160504</wp:posOffset>
                      </wp:positionH>
                      <wp:positionV relativeFrom="paragraph">
                        <wp:posOffset>228128</wp:posOffset>
                      </wp:positionV>
                      <wp:extent cx="6020555" cy="3013110"/>
                      <wp:effectExtent l="0" t="0" r="24765" b="22225"/>
                      <wp:wrapNone/>
                      <wp:docPr id="31" name="群組 30">
                        <a:extLst xmlns:a="http://schemas.openxmlformats.org/drawingml/2006/main">
                          <a:ext uri="{FF2B5EF4-FFF2-40B4-BE49-F238E27FC236}">
                            <a16:creationId xmlns:a16="http://schemas.microsoft.com/office/drawing/2014/main" id="{F3D5ACFD-38D3-FC40-B880-45DAFEE4B512}"/>
                          </a:ext>
                        </a:extLst>
                      </wp:docPr>
                      <wp:cNvGraphicFramePr/>
                      <a:graphic xmlns:a="http://schemas.openxmlformats.org/drawingml/2006/main">
                        <a:graphicData uri="http://schemas.microsoft.com/office/word/2010/wordprocessingGroup">
                          <wpg:wgp>
                            <wpg:cNvGrpSpPr/>
                            <wpg:grpSpPr>
                              <a:xfrm>
                                <a:off x="0" y="0"/>
                                <a:ext cx="6020555" cy="3013110"/>
                                <a:chOff x="0" y="20285"/>
                                <a:chExt cx="3960560" cy="3013110"/>
                              </a:xfrm>
                            </wpg:grpSpPr>
                            <wps:wsp>
                              <wps:cNvPr id="2" name="文字方塊 4">
                                <a:extLst>
                                  <a:ext uri="{FF2B5EF4-FFF2-40B4-BE49-F238E27FC236}">
                                    <a16:creationId xmlns:a16="http://schemas.microsoft.com/office/drawing/2014/main" id="{300AFE07-7C99-6841-8907-C88911FC4A18}"/>
                                  </a:ext>
                                </a:extLst>
                              </wps:cNvPr>
                              <wps:cNvSpPr txBox="1"/>
                              <wps:spPr>
                                <a:xfrm>
                                  <a:off x="0" y="1537154"/>
                                  <a:ext cx="1192205" cy="622004"/>
                                </a:xfrm>
                                <a:prstGeom prst="rect">
                                  <a:avLst/>
                                </a:prstGeom>
                                <a:noFill/>
                              </wps:spPr>
                              <wps:txbx>
                                <w:txbxContent>
                                  <w:p w14:paraId="2B15F21A"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 xml:space="preserve">Randomization </w:t>
                                    </w:r>
                                  </w:p>
                                  <w:p w14:paraId="03F592E3" w14:textId="0A152EE0" w:rsidR="00D35CF0" w:rsidRPr="00E4215B" w:rsidRDefault="00D35CF0" w:rsidP="00872022">
                                    <w:pPr>
                                      <w:jc w:val="center"/>
                                      <w:rPr>
                                        <w:color w:val="000000" w:themeColor="text1"/>
                                      </w:rPr>
                                    </w:pPr>
                                    <w:r w:rsidRPr="00E4215B">
                                      <w:rPr>
                                        <w:rFonts w:ascii="Calibri" w:hAnsi="Calibri"/>
                                        <w:b/>
                                        <w:bCs/>
                                        <w:color w:val="000000" w:themeColor="text1"/>
                                        <w:kern w:val="24"/>
                                      </w:rPr>
                                      <w:t>N=</w:t>
                                    </w:r>
                                    <w:r w:rsidR="00ED4DC4">
                                      <w:rPr>
                                        <w:rFonts w:ascii="Calibri" w:hAnsi="Calibri" w:hint="eastAsia"/>
                                        <w:b/>
                                        <w:bCs/>
                                        <w:color w:val="000000" w:themeColor="text1"/>
                                        <w:kern w:val="24"/>
                                      </w:rPr>
                                      <w:t>48</w:t>
                                    </w:r>
                                  </w:p>
                                </w:txbxContent>
                              </wps:txbx>
                              <wps:bodyPr wrap="square" rtlCol="0">
                                <a:noAutofit/>
                              </wps:bodyPr>
                            </wps:wsp>
                            <wps:wsp>
                              <wps:cNvPr id="3" name="文字方塊 5">
                                <a:extLst>
                                  <a:ext uri="{FF2B5EF4-FFF2-40B4-BE49-F238E27FC236}">
                                    <a16:creationId xmlns:a16="http://schemas.microsoft.com/office/drawing/2014/main" id="{CB5A8645-19C0-9147-BB9F-FA9F4814AC9F}"/>
                                  </a:ext>
                                </a:extLst>
                              </wps:cNvPr>
                              <wps:cNvSpPr txBox="1"/>
                              <wps:spPr>
                                <a:xfrm>
                                  <a:off x="2261628" y="20285"/>
                                  <a:ext cx="1367380" cy="267898"/>
                                </a:xfrm>
                                <a:prstGeom prst="rect">
                                  <a:avLst/>
                                </a:prstGeom>
                                <a:noFill/>
                              </wps:spPr>
                              <wps:txbx>
                                <w:txbxContent>
                                  <w:p w14:paraId="3DEAAEE2" w14:textId="2337B793" w:rsidR="00D35CF0" w:rsidRPr="00E4215B" w:rsidRDefault="00D35CF0" w:rsidP="00872022">
                                    <w:pPr>
                                      <w:jc w:val="center"/>
                                      <w:rPr>
                                        <w:color w:val="000000" w:themeColor="text1"/>
                                        <w:kern w:val="0"/>
                                      </w:rPr>
                                    </w:pPr>
                                    <w:r w:rsidRPr="00E4215B">
                                      <w:rPr>
                                        <w:rFonts w:ascii="Calibri" w:hAnsi="Calibri"/>
                                        <w:b/>
                                        <w:bCs/>
                                        <w:color w:val="000000" w:themeColor="text1"/>
                                        <w:kern w:val="24"/>
                                      </w:rPr>
                                      <w:t>3 months</w:t>
                                    </w:r>
                                  </w:p>
                                </w:txbxContent>
                              </wps:txbx>
                              <wps:bodyPr wrap="square" rtlCol="0">
                                <a:noAutofit/>
                              </wps:bodyPr>
                            </wps:wsp>
                            <wps:wsp>
                              <wps:cNvPr id="4" name="直線接點 4">
                                <a:extLst>
                                  <a:ext uri="{FF2B5EF4-FFF2-40B4-BE49-F238E27FC236}">
                                    <a16:creationId xmlns:a16="http://schemas.microsoft.com/office/drawing/2014/main" id="{452F0D16-531F-2341-BD9C-380E2FEBDDCB}"/>
                                  </a:ext>
                                </a:extLst>
                              </wps:cNvPr>
                              <wps:cNvCnPr>
                                <a:cxnSpLocks/>
                              </wps:cNvCnPr>
                              <wps:spPr>
                                <a:xfrm>
                                  <a:off x="1135751" y="1864635"/>
                                  <a:ext cx="1712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接點 5">
                                <a:extLst>
                                  <a:ext uri="{FF2B5EF4-FFF2-40B4-BE49-F238E27FC236}">
                                    <a16:creationId xmlns:a16="http://schemas.microsoft.com/office/drawing/2014/main" id="{528C4E38-AD30-314E-AD59-EE3C202124AA}"/>
                                  </a:ext>
                                </a:extLst>
                              </wps:cNvPr>
                              <wps:cNvCnPr>
                                <a:cxnSpLocks/>
                              </wps:cNvCnPr>
                              <wps:spPr>
                                <a:xfrm>
                                  <a:off x="2192246" y="883890"/>
                                  <a:ext cx="171728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接點 6">
                                <a:extLst>
                                  <a:ext uri="{FF2B5EF4-FFF2-40B4-BE49-F238E27FC236}">
                                    <a16:creationId xmlns:a16="http://schemas.microsoft.com/office/drawing/2014/main" id="{BA4A4450-B880-2A44-98FF-06D17C0E7807}"/>
                                  </a:ext>
                                </a:extLst>
                              </wps:cNvPr>
                              <wps:cNvCnPr>
                                <a:cxnSpLocks/>
                              </wps:cNvCnPr>
                              <wps:spPr>
                                <a:xfrm flipV="1">
                                  <a:off x="1293886" y="1026301"/>
                                  <a:ext cx="201285" cy="8519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矩形 8">
                                <a:extLst>
                                  <a:ext uri="{FF2B5EF4-FFF2-40B4-BE49-F238E27FC236}">
                                    <a16:creationId xmlns:a16="http://schemas.microsoft.com/office/drawing/2014/main" id="{1F273C94-05D1-7647-A50E-B8A1F9D0B865}"/>
                                  </a:ext>
                                </a:extLst>
                              </wps:cNvPr>
                              <wps:cNvSpPr/>
                              <wps:spPr>
                                <a:xfrm>
                                  <a:off x="2186464" y="367418"/>
                                  <a:ext cx="1740995" cy="570800"/>
                                </a:xfrm>
                                <a:prstGeom prst="rect">
                                  <a:avLst/>
                                </a:prstGeom>
                              </wps:spPr>
                              <wps:txbx>
                                <w:txbxContent>
                                  <w:p w14:paraId="24A83469" w14:textId="77777777" w:rsidR="001F3DC8" w:rsidRDefault="00D35CF0" w:rsidP="00872022">
                                    <w:pPr>
                                      <w:rPr>
                                        <w:rFonts w:ascii="Calibri" w:eastAsia="Calibri" w:hAnsi="Calibri"/>
                                        <w:color w:val="000000" w:themeColor="text1"/>
                                        <w:sz w:val="20"/>
                                        <w:szCs w:val="20"/>
                                      </w:rPr>
                                    </w:pPr>
                                    <w:proofErr w:type="spellStart"/>
                                    <w:r w:rsidRPr="00E4215B">
                                      <w:rPr>
                                        <w:rFonts w:ascii="Calibri" w:eastAsia="Calibri" w:hAnsi="Calibri"/>
                                        <w:color w:val="000000" w:themeColor="text1"/>
                                        <w:sz w:val="20"/>
                                        <w:szCs w:val="20"/>
                                      </w:rPr>
                                      <w:t>CharXenPlus</w:t>
                                    </w:r>
                                    <w:proofErr w:type="spellEnd"/>
                                    <w:r w:rsidRPr="00E4215B">
                                      <w:rPr>
                                        <w:rFonts w:ascii="Calibri" w:eastAsia="Calibri" w:hAnsi="Calibri"/>
                                        <w:color w:val="000000" w:themeColor="text1"/>
                                        <w:sz w:val="20"/>
                                        <w:szCs w:val="20"/>
                                      </w:rPr>
                                      <w:t xml:space="preserve"> 4g thrice daily </w:t>
                                    </w:r>
                                  </w:p>
                                  <w:p w14:paraId="0CAAD258" w14:textId="4938D74B" w:rsidR="00D35CF0" w:rsidRPr="00E4215B" w:rsidRDefault="00D35CF0" w:rsidP="00872022">
                                    <w:pPr>
                                      <w:rPr>
                                        <w:color w:val="000000" w:themeColor="text1"/>
                                        <w:kern w:val="0"/>
                                      </w:rPr>
                                    </w:pPr>
                                    <w:r w:rsidRPr="00E4215B">
                                      <w:rPr>
                                        <w:rFonts w:ascii="Calibri" w:eastAsia="Calibri" w:hAnsi="Calibri"/>
                                        <w:color w:val="000000" w:themeColor="text1"/>
                                        <w:sz w:val="20"/>
                                        <w:szCs w:val="20"/>
                                      </w:rPr>
                                      <w:t xml:space="preserve">+ </w:t>
                                    </w:r>
                                    <w:proofErr w:type="spellStart"/>
                                    <w:r w:rsidRPr="00E4215B">
                                      <w:rPr>
                                        <w:rFonts w:ascii="Calibri" w:eastAsia="BiauKai" w:hAnsi="Calibri"/>
                                        <w:color w:val="000000" w:themeColor="text1"/>
                                        <w:sz w:val="20"/>
                                        <w:szCs w:val="20"/>
                                      </w:rPr>
                                      <w:t>CharXprob</w:t>
                                    </w:r>
                                    <w:proofErr w:type="spellEnd"/>
                                    <w:r w:rsidRPr="00E4215B">
                                      <w:rPr>
                                        <w:rFonts w:ascii="Calibri" w:hAnsi="Calibri"/>
                                        <w:color w:val="000000" w:themeColor="text1"/>
                                        <w:sz w:val="20"/>
                                        <w:szCs w:val="20"/>
                                      </w:rPr>
                                      <w:t xml:space="preserve"> 0.8 g once daily</w:t>
                                    </w:r>
                                    <w:r w:rsidRPr="00E4215B">
                                      <w:rPr>
                                        <w:rFonts w:ascii="Calibri" w:hAnsi="Calibri"/>
                                        <w:color w:val="000000" w:themeColor="text1"/>
                                        <w:kern w:val="24"/>
                                        <w:sz w:val="20"/>
                                        <w:szCs w:val="20"/>
                                      </w:rPr>
                                      <w:t xml:space="preserve"> </w:t>
                                    </w:r>
                                  </w:p>
                                </w:txbxContent>
                              </wps:txbx>
                              <wps:bodyPr wrap="square">
                                <a:noAutofit/>
                              </wps:bodyPr>
                            </wps:wsp>
                            <wps:wsp>
                              <wps:cNvPr id="10" name="文字方塊 3">
                                <a:extLst>
                                  <a:ext uri="{FF2B5EF4-FFF2-40B4-BE49-F238E27FC236}">
                                    <a16:creationId xmlns:a16="http://schemas.microsoft.com/office/drawing/2014/main" id="{54008288-B0AE-1641-BDE4-88B1268DC40B}"/>
                                  </a:ext>
                                </a:extLst>
                              </wps:cNvPr>
                              <wps:cNvSpPr txBox="1"/>
                              <wps:spPr>
                                <a:xfrm>
                                  <a:off x="1499663" y="2072056"/>
                                  <a:ext cx="739515" cy="311031"/>
                                </a:xfrm>
                                <a:prstGeom prst="rect">
                                  <a:avLst/>
                                </a:prstGeom>
                                <a:noFill/>
                              </wps:spPr>
                              <wps:txbx>
                                <w:txbxContent>
                                  <w:p w14:paraId="06A59402"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Group 3</w:t>
                                    </w:r>
                                  </w:p>
                                  <w:p w14:paraId="192BB239" w14:textId="77777777" w:rsidR="00D35CF0" w:rsidRPr="00E4215B" w:rsidRDefault="00D35CF0" w:rsidP="00872022">
                                    <w:pPr>
                                      <w:jc w:val="center"/>
                                      <w:rPr>
                                        <w:color w:val="000000" w:themeColor="text1"/>
                                      </w:rPr>
                                    </w:pPr>
                                    <w:r w:rsidRPr="00E4215B">
                                      <w:rPr>
                                        <w:rFonts w:ascii="Calibri" w:hAnsi="Calibri"/>
                                        <w:b/>
                                        <w:bCs/>
                                        <w:color w:val="000000" w:themeColor="text1"/>
                                      </w:rPr>
                                      <w:t>(N=30)</w:t>
                                    </w:r>
                                  </w:p>
                                </w:txbxContent>
                              </wps:txbx>
                              <wps:bodyPr wrap="square" rtlCol="0">
                                <a:noAutofit/>
                              </wps:bodyPr>
                            </wps:wsp>
                            <wps:wsp>
                              <wps:cNvPr id="11" name="文字方塊 3">
                                <a:extLst>
                                  <a:ext uri="{FF2B5EF4-FFF2-40B4-BE49-F238E27FC236}">
                                    <a16:creationId xmlns:a16="http://schemas.microsoft.com/office/drawing/2014/main" id="{EB12EAD1-3C98-2547-BFB3-E8513E587E07}"/>
                                  </a:ext>
                                </a:extLst>
                              </wps:cNvPr>
                              <wps:cNvSpPr txBox="1"/>
                              <wps:spPr>
                                <a:xfrm>
                                  <a:off x="1501266" y="2656028"/>
                                  <a:ext cx="739515" cy="377367"/>
                                </a:xfrm>
                                <a:prstGeom prst="rect">
                                  <a:avLst/>
                                </a:prstGeom>
                                <a:noFill/>
                              </wps:spPr>
                              <wps:txbx>
                                <w:txbxContent>
                                  <w:p w14:paraId="6DD4B7F1"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 xml:space="preserve">Group 4 </w:t>
                                    </w:r>
                                  </w:p>
                                  <w:p w14:paraId="14A17FF4" w14:textId="77777777" w:rsidR="00D35CF0" w:rsidRPr="00E4215B" w:rsidRDefault="00D35CF0" w:rsidP="00872022">
                                    <w:pPr>
                                      <w:jc w:val="center"/>
                                      <w:rPr>
                                        <w:color w:val="000000" w:themeColor="text1"/>
                                      </w:rPr>
                                    </w:pPr>
                                    <w:r w:rsidRPr="00E4215B">
                                      <w:rPr>
                                        <w:rFonts w:ascii="Calibri" w:hAnsi="Calibri"/>
                                        <w:b/>
                                        <w:bCs/>
                                        <w:color w:val="000000" w:themeColor="text1"/>
                                      </w:rPr>
                                      <w:t>(N=30)</w:t>
                                    </w:r>
                                  </w:p>
                                </w:txbxContent>
                              </wps:txbx>
                              <wps:bodyPr wrap="square" rtlCol="0">
                                <a:noAutofit/>
                              </wps:bodyPr>
                            </wps:wsp>
                            <wps:wsp>
                              <wps:cNvPr id="12" name="文字方塊 3">
                                <a:extLst>
                                  <a:ext uri="{FF2B5EF4-FFF2-40B4-BE49-F238E27FC236}">
                                    <a16:creationId xmlns:a16="http://schemas.microsoft.com/office/drawing/2014/main" id="{28A3F4E8-23B5-E948-8674-DD91C6A9D743}"/>
                                  </a:ext>
                                </a:extLst>
                              </wps:cNvPr>
                              <wps:cNvSpPr txBox="1"/>
                              <wps:spPr>
                                <a:xfrm>
                                  <a:off x="1501340" y="679440"/>
                                  <a:ext cx="739515" cy="311031"/>
                                </a:xfrm>
                                <a:prstGeom prst="rect">
                                  <a:avLst/>
                                </a:prstGeom>
                                <a:noFill/>
                              </wps:spPr>
                              <wps:txbx>
                                <w:txbxContent>
                                  <w:p w14:paraId="7E700F99"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Group 1</w:t>
                                    </w:r>
                                  </w:p>
                                  <w:p w14:paraId="2C134C41" w14:textId="77777777" w:rsidR="00D35CF0" w:rsidRPr="00E4215B" w:rsidRDefault="00D35CF0" w:rsidP="00872022">
                                    <w:pPr>
                                      <w:jc w:val="center"/>
                                      <w:rPr>
                                        <w:color w:val="000000" w:themeColor="text1"/>
                                      </w:rPr>
                                    </w:pPr>
                                    <w:r w:rsidRPr="00E4215B">
                                      <w:rPr>
                                        <w:rFonts w:ascii="Calibri" w:hAnsi="Calibri"/>
                                        <w:b/>
                                        <w:bCs/>
                                        <w:color w:val="000000" w:themeColor="text1"/>
                                      </w:rPr>
                                      <w:t>(N=30)</w:t>
                                    </w:r>
                                  </w:p>
                                </w:txbxContent>
                              </wps:txbx>
                              <wps:bodyPr wrap="square" rtlCol="0">
                                <a:noAutofit/>
                              </wps:bodyPr>
                            </wps:wsp>
                            <wps:wsp>
                              <wps:cNvPr id="13" name="文字方塊 3">
                                <a:extLst>
                                  <a:ext uri="{FF2B5EF4-FFF2-40B4-BE49-F238E27FC236}">
                                    <a16:creationId xmlns:a16="http://schemas.microsoft.com/office/drawing/2014/main" id="{A9624EA2-719C-014A-9729-9A8AA28FE234}"/>
                                  </a:ext>
                                </a:extLst>
                              </wps:cNvPr>
                              <wps:cNvSpPr txBox="1"/>
                              <wps:spPr>
                                <a:xfrm>
                                  <a:off x="1495204" y="1395388"/>
                                  <a:ext cx="739515" cy="311031"/>
                                </a:xfrm>
                                <a:prstGeom prst="rect">
                                  <a:avLst/>
                                </a:prstGeom>
                                <a:noFill/>
                              </wps:spPr>
                              <wps:txbx>
                                <w:txbxContent>
                                  <w:p w14:paraId="5B1C7985"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Group 2</w:t>
                                    </w:r>
                                  </w:p>
                                  <w:p w14:paraId="6E6EB9DB" w14:textId="77777777" w:rsidR="00D35CF0" w:rsidRPr="00E4215B" w:rsidRDefault="00D35CF0" w:rsidP="00872022">
                                    <w:pPr>
                                      <w:jc w:val="center"/>
                                      <w:rPr>
                                        <w:color w:val="000000" w:themeColor="text1"/>
                                      </w:rPr>
                                    </w:pPr>
                                    <w:r w:rsidRPr="00E4215B">
                                      <w:rPr>
                                        <w:rFonts w:ascii="Calibri" w:hAnsi="Calibri"/>
                                        <w:b/>
                                        <w:bCs/>
                                        <w:color w:val="000000" w:themeColor="text1"/>
                                      </w:rPr>
                                      <w:t>(N=30)</w:t>
                                    </w:r>
                                  </w:p>
                                </w:txbxContent>
                              </wps:txbx>
                              <wps:bodyPr wrap="square" rtlCol="0">
                                <a:noAutofit/>
                              </wps:bodyPr>
                            </wps:wsp>
                            <wps:wsp>
                              <wps:cNvPr id="14" name="直線接點 14">
                                <a:extLst>
                                  <a:ext uri="{FF2B5EF4-FFF2-40B4-BE49-F238E27FC236}">
                                    <a16:creationId xmlns:a16="http://schemas.microsoft.com/office/drawing/2014/main" id="{F421E820-6A9A-EA4D-87A8-9D296AFDEF46}"/>
                                  </a:ext>
                                </a:extLst>
                              </wps:cNvPr>
                              <wps:cNvCnPr>
                                <a:cxnSpLocks/>
                              </wps:cNvCnPr>
                              <wps:spPr>
                                <a:xfrm flipV="1">
                                  <a:off x="1317162" y="1609238"/>
                                  <a:ext cx="202529" cy="25539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接點 15">
                                <a:extLst>
                                  <a:ext uri="{FF2B5EF4-FFF2-40B4-BE49-F238E27FC236}">
                                    <a16:creationId xmlns:a16="http://schemas.microsoft.com/office/drawing/2014/main" id="{D9ECCECA-726B-134C-914E-23027E21F2DF}"/>
                                  </a:ext>
                                </a:extLst>
                              </wps:cNvPr>
                              <wps:cNvCnPr>
                                <a:cxnSpLocks/>
                              </wps:cNvCnPr>
                              <wps:spPr>
                                <a:xfrm>
                                  <a:off x="1295634" y="1864635"/>
                                  <a:ext cx="188252" cy="28659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接點 16">
                                <a:extLst>
                                  <a:ext uri="{FF2B5EF4-FFF2-40B4-BE49-F238E27FC236}">
                                    <a16:creationId xmlns:a16="http://schemas.microsoft.com/office/drawing/2014/main" id="{83DF1129-DBBD-CB40-BE8B-4EC9BAA7FA00}"/>
                                  </a:ext>
                                </a:extLst>
                              </wps:cNvPr>
                              <wps:cNvCnPr>
                                <a:cxnSpLocks/>
                              </wps:cNvCnPr>
                              <wps:spPr>
                                <a:xfrm>
                                  <a:off x="1299998" y="1855532"/>
                                  <a:ext cx="221058" cy="97740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接點 17">
                                <a:extLst>
                                  <a:ext uri="{FF2B5EF4-FFF2-40B4-BE49-F238E27FC236}">
                                    <a16:creationId xmlns:a16="http://schemas.microsoft.com/office/drawing/2014/main" id="{9530F578-CD53-684F-B0B7-22A3D0D8122F}"/>
                                  </a:ext>
                                </a:extLst>
                              </wps:cNvPr>
                              <wps:cNvCnPr>
                                <a:cxnSpLocks/>
                              </wps:cNvCnPr>
                              <wps:spPr>
                                <a:xfrm>
                                  <a:off x="3918495" y="683373"/>
                                  <a:ext cx="42065" cy="2350022"/>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8" name="直線接點 18">
                                <a:extLst>
                                  <a:ext uri="{FF2B5EF4-FFF2-40B4-BE49-F238E27FC236}">
                                    <a16:creationId xmlns:a16="http://schemas.microsoft.com/office/drawing/2014/main" id="{89BD98DE-D777-CD47-B519-A937B6128123}"/>
                                  </a:ext>
                                </a:extLst>
                              </wps:cNvPr>
                              <wps:cNvCnPr>
                                <a:cxnSpLocks/>
                              </wps:cNvCnPr>
                              <wps:spPr>
                                <a:xfrm>
                                  <a:off x="2196610" y="1598523"/>
                                  <a:ext cx="1741895" cy="107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矩形 20">
                                <a:extLst>
                                  <a:ext uri="{FF2B5EF4-FFF2-40B4-BE49-F238E27FC236}">
                                    <a16:creationId xmlns:a16="http://schemas.microsoft.com/office/drawing/2014/main" id="{06DD6229-E496-8340-9244-21C66F6D7F6A}"/>
                                  </a:ext>
                                </a:extLst>
                              </wps:cNvPr>
                              <wps:cNvSpPr/>
                              <wps:spPr>
                                <a:xfrm>
                                  <a:off x="2212165" y="1276993"/>
                                  <a:ext cx="1581646" cy="311346"/>
                                </a:xfrm>
                                <a:prstGeom prst="rect">
                                  <a:avLst/>
                                </a:prstGeom>
                              </wps:spPr>
                              <wps:txbx>
                                <w:txbxContent>
                                  <w:p w14:paraId="412B663E" w14:textId="77777777" w:rsidR="00D35CF0" w:rsidRPr="00E4215B" w:rsidRDefault="00D35CF0" w:rsidP="00872022">
                                    <w:pPr>
                                      <w:rPr>
                                        <w:color w:val="000000" w:themeColor="text1"/>
                                        <w:kern w:val="0"/>
                                      </w:rPr>
                                    </w:pPr>
                                    <w:proofErr w:type="spellStart"/>
                                    <w:r w:rsidRPr="00E4215B">
                                      <w:rPr>
                                        <w:rFonts w:ascii="Calibri" w:eastAsia="Calibri" w:hAnsi="Calibri"/>
                                        <w:color w:val="000000" w:themeColor="text1"/>
                                        <w:sz w:val="20"/>
                                        <w:szCs w:val="20"/>
                                      </w:rPr>
                                      <w:t>CharXenPlus</w:t>
                                    </w:r>
                                    <w:proofErr w:type="spellEnd"/>
                                    <w:r w:rsidRPr="00E4215B">
                                      <w:rPr>
                                        <w:rFonts w:ascii="Calibri" w:eastAsia="Calibri" w:hAnsi="Calibri"/>
                                        <w:color w:val="000000" w:themeColor="text1"/>
                                        <w:sz w:val="20"/>
                                        <w:szCs w:val="20"/>
                                      </w:rPr>
                                      <w:t xml:space="preserve"> 4g thrice daily</w:t>
                                    </w:r>
                                  </w:p>
                                </w:txbxContent>
                              </wps:txbx>
                              <wps:bodyPr wrap="square">
                                <a:noAutofit/>
                              </wps:bodyPr>
                            </wps:wsp>
                            <wps:wsp>
                              <wps:cNvPr id="22" name="直線接點 22">
                                <a:extLst>
                                  <a:ext uri="{FF2B5EF4-FFF2-40B4-BE49-F238E27FC236}">
                                    <a16:creationId xmlns:a16="http://schemas.microsoft.com/office/drawing/2014/main" id="{EE2699DB-2758-1442-8C50-D607A656157B}"/>
                                  </a:ext>
                                </a:extLst>
                              </wps:cNvPr>
                              <wps:cNvCnPr>
                                <a:cxnSpLocks/>
                              </wps:cNvCnPr>
                              <wps:spPr>
                                <a:xfrm>
                                  <a:off x="2174233" y="2823216"/>
                                  <a:ext cx="1762927" cy="0"/>
                                </a:xfrm>
                                <a:prstGeom prst="line">
                                  <a:avLst/>
                                </a:prstGeom>
                                <a:ln w="381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3" name="直線接點 23">
                                <a:extLst>
                                  <a:ext uri="{FF2B5EF4-FFF2-40B4-BE49-F238E27FC236}">
                                    <a16:creationId xmlns:a16="http://schemas.microsoft.com/office/drawing/2014/main" id="{96FCB92A-3609-2947-AB00-689233D0149A}"/>
                                  </a:ext>
                                </a:extLst>
                              </wps:cNvPr>
                              <wps:cNvCnPr>
                                <a:cxnSpLocks/>
                              </wps:cNvCnPr>
                              <wps:spPr>
                                <a:xfrm>
                                  <a:off x="2179940" y="2220608"/>
                                  <a:ext cx="1741895" cy="107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矩形 24">
                                <a:extLst>
                                  <a:ext uri="{FF2B5EF4-FFF2-40B4-BE49-F238E27FC236}">
                                    <a16:creationId xmlns:a16="http://schemas.microsoft.com/office/drawing/2014/main" id="{85710345-424A-C949-A38D-D37C4432E480}"/>
                                  </a:ext>
                                </a:extLst>
                              </wps:cNvPr>
                              <wps:cNvSpPr/>
                              <wps:spPr>
                                <a:xfrm>
                                  <a:off x="2226975" y="1901659"/>
                                  <a:ext cx="1566834" cy="311346"/>
                                </a:xfrm>
                                <a:prstGeom prst="rect">
                                  <a:avLst/>
                                </a:prstGeom>
                              </wps:spPr>
                              <wps:txbx>
                                <w:txbxContent>
                                  <w:p w14:paraId="79CCA917" w14:textId="77777777" w:rsidR="00D35CF0" w:rsidRPr="00E4215B" w:rsidRDefault="00D35CF0" w:rsidP="00872022">
                                    <w:pPr>
                                      <w:rPr>
                                        <w:color w:val="000000" w:themeColor="text1"/>
                                        <w:kern w:val="0"/>
                                      </w:rPr>
                                    </w:pPr>
                                    <w:proofErr w:type="spellStart"/>
                                    <w:r w:rsidRPr="00E4215B">
                                      <w:rPr>
                                        <w:rFonts w:ascii="Calibri" w:eastAsia="BiauKai" w:hAnsi="Calibri"/>
                                        <w:color w:val="000000" w:themeColor="text1"/>
                                        <w:sz w:val="20"/>
                                        <w:szCs w:val="20"/>
                                      </w:rPr>
                                      <w:t>CharXprob</w:t>
                                    </w:r>
                                    <w:proofErr w:type="spellEnd"/>
                                    <w:r w:rsidRPr="00E4215B">
                                      <w:rPr>
                                        <w:rFonts w:ascii="Calibri" w:hAnsi="Calibri"/>
                                        <w:color w:val="000000" w:themeColor="text1"/>
                                        <w:sz w:val="20"/>
                                        <w:szCs w:val="20"/>
                                      </w:rPr>
                                      <w:t xml:space="preserve"> 0.8 g once daily</w:t>
                                    </w:r>
                                    <w:r w:rsidRPr="00E4215B">
                                      <w:rPr>
                                        <w:rFonts w:ascii="Calibri" w:hAnsi="Calibri"/>
                                        <w:color w:val="000000" w:themeColor="text1"/>
                                        <w:kern w:val="24"/>
                                        <w:sz w:val="20"/>
                                        <w:szCs w:val="20"/>
                                      </w:rPr>
                                      <w:t xml:space="preserv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D65EC5E" id="群組 30" o:spid="_x0000_s1026" style="position:absolute;left:0;text-align:left;margin-left:12.65pt;margin-top:17.95pt;width:474.05pt;height:237.25pt;z-index:251659264;mso-width-relative:margin;mso-height-relative:margin" coordorigin=",202" coordsize="39605,3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KrJAYAAAcrAAAOAAAAZHJzL2Uyb0RvYy54bWzsWs1u60QU3iPxDpb3NJ4ZezwTNb2CltvN&#10;FVxRYO86dmLheIztNukTILFgeZFAAoHEggU7JIQQj9NWvAVnfmwnuU5vm7SXlGaT+Gd+z/nOOd85&#10;nv1ns0lqnUdFmYhsYKM9x7aiLBTDJBsN7M8+ff4es62yCrJhkIosGtgXUWk/O3j3nf1p3o+wGIt0&#10;GBUWDJKV/Wk+sMdVlfd7vTIcR5Og3BN5lMHLWBSToILbYtQbFsEURp+kPew4tDcVxTAvRBiVJTw9&#10;0i/tAzV+HEdh9XEcl1FlpQMb1lap30L9nsrf3sF+0B8VQT5OQrOMYI1VTIIkg0mboY6CKrDOiuS1&#10;oSZJWIhSxNVeKCY9EcdJGKk9wG6Qs7Sb40Kc5Wovo/50lDdiAtEuyWntYcOPzo+L/CR/WYAkpvkI&#10;ZKHu5F5mcTGR/7BKa6ZEdtGILJpVVggPqYMdz/NsK4R3xEEEISPUcAySb/thBzNPizscf2h6E04d&#10;j4Jelnr36sl7C0ua5gCSspVDuZkcTsZBHinxln2Qw8vCSoYDG9tWFkwAqlevvrr87durV39e/vS1&#10;5cqly/mhoZSWVc0+ELB/VD8v4eFKoSGP+MhTYwT9WnQIcQzC05uncOmoBs3eg35elNVxJCaWvBjY&#10;BaBZgSw4f1FWsB5oWjeRU2fieZKm8rlcqF6QvKpmpzOz+lMxvIDFTwHwA7v88iwoItsqqvRQKPvQ&#10;o7x/Vok4URPI7rqPGRXEr+Xw4HognXpQEFpDDxhTRDE4I4DpHBQbXRDqE2aAiKnPOJOKfRhdKJg1&#10;wHlEKnFrlVx///v1H99dffPLP3/9sGAah5m2gnCWneQvRPhFWcMR7Ea/bLFZG3njYRAinu8hpSTE&#10;qEuJ8RiNmnyEsbEY5WZWKyhNMmnbQX+FsaSZNQWPxZDjqGalSJOhtB/ZR4Wf6DAtrPMADKOaKW3B&#10;ZHOt4C7NXrO1srpIIzlEmn0SxaBp5SM6xgzCMMqqelzVWraKYQVNR7MyGQvbxSx2NO1l10iFu7t0&#10;bnqomUVWNZ0nSSYKLZfF2VtRxLp9LQG979Zf1Hp/ew4DcKEd9wI65x3GZujE0l+7VKGTMcK4CXRz&#10;4PQxA7clg9kOndJ57tDZ0ArATQc6aU0fGvcY9O/gO604TfLPJQuRFmx4GsKcMKZxihxMgZXJWVri&#10;AUxTcjGFU+YhroG8c6Xa9e5c6cAGnmTA+uOvl3//bCkyNMe6AE43hHGsYjeQBZkSUN9FqnuLP+S7&#10;DucGgJ7vMAjBMly0fKBmtbcivh1s1xB5s8wuhiW1nIntYLqQMXWlHGTON9wl5UAu55RCHFJU14cU&#10;Q3mZVv4+4R4y4pf5GqlZSJ3w3Un8N+cdShPNTro0saXpBwIa2pEHNlu5Yx6IPHC6VDtlTCHnhVxk&#10;wSkvKMX3wW42sYlbKKXJaB+TUrqT802UQlywPrAU6nMXLlfr5G0YSkNWH5NOuhP1tXXicg9DJUTq&#10;BIGjAirzHyul4WiPSSndqTpqjP4++SZBPtRWtMaowzFZ0hjUWzzMNd/Enkf4G1zbLnXvyrwX8/7/&#10;V+ou2UhHdgSPDYVbD66LSZFHiXErnaUlxgClBqSMem8qAO5A+uRA2p3CoyY+3AdIOQfgqdjH4LMK&#10;wYuxD2PkePBeVpi4D2mUMpDVidMOpE8OpH63J1Uh12Twm5VBCUcMOJomzYwQXzG9Nrt0sUNNcomJ&#10;5zhYYXhTjCLsr1uo1x/JjoJyrKv55UUpb6Rlwap2Nfwo3p4aPpSKOomAYpT3Al+o4lMqKy4yv4Ao&#10;7+El/EJ1CrG6OoUc+G5rkLKiOrLzsU/Nx+KmXnety6PwoOWpslRn7lacCYAojpH0kRKC2KecL0PQ&#10;Ywi+fuo4DxU6AtfaW63A4M0nA1YVSJuY0JXYblOBFEJIl1fQkeWevILvYmJqpgwT0I+UeBvVkE8x&#10;xxBct+Hj3i6irfxAv3VfpSG8dGJ3vj62GSHDyOfcVDExHCOizlL9ZRfRzDmOxRLK7uN083Eat+VC&#10;E9HmC4W3iWiYct9ENO5AcONL7tOjlMnyizro92ARraGJG0Q0deQQTluq7MCcDJXHOefvFWFuz68e&#10;/AsAAP//AwBQSwMEFAAGAAgAAAAhAHPAHifhAAAACQEAAA8AAABkcnMvZG93bnJldi54bWxMj0FL&#10;w0AUhO+C/2F5gje7SdOojdmUUtRTKdgK4u01+5qEZt+G7DZJ/73rSY/DDDPf5KvJtGKg3jWWFcSz&#10;CARxaXXDlYLPw9vDMwjnkTW2lknBlRysitubHDNtR/6gYe8rEUrYZaig9r7LpHRlTQbdzHbEwTvZ&#10;3qAPsq+k7nEM5aaV8yh6lAYbDgs1drSpqTzvL0bB+4jjOolfh+35tLl+H9Ld1zYmpe7vpvULCE+T&#10;/wvDL35AhyIwHe2FtROtgnmahKSCJF2CCP7yKVmAOCpI42gBssjl/wfFDwAAAP//AwBQSwECLQAU&#10;AAYACAAAACEAtoM4kv4AAADhAQAAEwAAAAAAAAAAAAAAAAAAAAAAW0NvbnRlbnRfVHlwZXNdLnht&#10;bFBLAQItABQABgAIAAAAIQA4/SH/1gAAAJQBAAALAAAAAAAAAAAAAAAAAC8BAABfcmVscy8ucmVs&#10;c1BLAQItABQABgAIAAAAIQCiH3KrJAYAAAcrAAAOAAAAAAAAAAAAAAAAAC4CAABkcnMvZTJvRG9j&#10;LnhtbFBLAQItABQABgAIAAAAIQBzwB4n4QAAAAkBAAAPAAAAAAAAAAAAAAAAAH4IAABkcnMvZG93&#10;bnJldi54bWxQSwUGAAAAAAQABADzAAAAjAkAAAAA&#10;">
                      <v:shapetype id="_x0000_t202" coordsize="21600,21600" o:spt="202" path="m,l,21600r21600,l21600,xe">
                        <v:stroke joinstyle="miter"/>
                        <v:path gradientshapeok="t" o:connecttype="rect"/>
                      </v:shapetype>
                      <v:shape id="文字方塊 4" o:spid="_x0000_s1027" type="#_x0000_t202" style="position:absolute;top:15371;width:11922;height:6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B15F21A"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 xml:space="preserve">Randomization </w:t>
                              </w:r>
                            </w:p>
                            <w:p w14:paraId="03F592E3" w14:textId="0A152EE0" w:rsidR="00D35CF0" w:rsidRPr="00E4215B" w:rsidRDefault="00D35CF0" w:rsidP="00872022">
                              <w:pPr>
                                <w:jc w:val="center"/>
                                <w:rPr>
                                  <w:rFonts w:hint="eastAsia"/>
                                  <w:color w:val="000000" w:themeColor="text1"/>
                                </w:rPr>
                              </w:pPr>
                              <w:r w:rsidRPr="00E4215B">
                                <w:rPr>
                                  <w:rFonts w:ascii="Calibri" w:hAnsi="Calibri"/>
                                  <w:b/>
                                  <w:bCs/>
                                  <w:color w:val="000000" w:themeColor="text1"/>
                                  <w:kern w:val="24"/>
                                </w:rPr>
                                <w:t>N=</w:t>
                              </w:r>
                              <w:r w:rsidR="00ED4DC4">
                                <w:rPr>
                                  <w:rFonts w:ascii="Calibri" w:hAnsi="Calibri" w:hint="eastAsia"/>
                                  <w:b/>
                                  <w:bCs/>
                                  <w:color w:val="000000" w:themeColor="text1"/>
                                  <w:kern w:val="24"/>
                                </w:rPr>
                                <w:t>48</w:t>
                              </w:r>
                            </w:p>
                          </w:txbxContent>
                        </v:textbox>
                      </v:shape>
                      <v:shape id="文字方塊 5" o:spid="_x0000_s1028" type="#_x0000_t202" style="position:absolute;left:22616;top:202;width:13674;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DEAAEE2" w14:textId="2337B793" w:rsidR="00D35CF0" w:rsidRPr="00E4215B" w:rsidRDefault="00D35CF0" w:rsidP="00872022">
                              <w:pPr>
                                <w:jc w:val="center"/>
                                <w:rPr>
                                  <w:color w:val="000000" w:themeColor="text1"/>
                                  <w:kern w:val="0"/>
                                </w:rPr>
                              </w:pPr>
                              <w:r w:rsidRPr="00E4215B">
                                <w:rPr>
                                  <w:rFonts w:ascii="Calibri" w:hAnsi="Calibri"/>
                                  <w:b/>
                                  <w:bCs/>
                                  <w:color w:val="000000" w:themeColor="text1"/>
                                  <w:kern w:val="24"/>
                                </w:rPr>
                                <w:t>3 months</w:t>
                              </w:r>
                            </w:p>
                          </w:txbxContent>
                        </v:textbox>
                      </v:shape>
                      <v:line id="直線接點 4" o:spid="_x0000_s1029" style="position:absolute;visibility:visible;mso-wrap-style:square" from="11357,18646" to="13069,1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W4vwAAANoAAAAPAAAAZHJzL2Rvd25yZXYueG1sRE9da8Iw&#10;FH0f7D+EK+xFZuKQ4apRZDIQHxxW8fnS3DbF5qY0mdZ/bwRhj4fzPV/2rhEX6kLtWcN4pEAQF97U&#10;XGk4Hn7epyBCRDbYeCYNNwqwXLy+zDEz/sp7uuSxEimEQ4YabIxtJmUoLDkMI98SJ670ncOYYFdJ&#10;0+E1hbtGfij1KR3WnBostvRtqTjnfy7NWJ8O5ZbUrsyb36/Vvh9aVQ+1fhv0qxmISH38Fz/dG6Nh&#10;Ao8ryQ9ycQcAAP//AwBQSwECLQAUAAYACAAAACEA2+H2y+4AAACFAQAAEwAAAAAAAAAAAAAAAAAA&#10;AAAAW0NvbnRlbnRfVHlwZXNdLnhtbFBLAQItABQABgAIAAAAIQBa9CxbvwAAABUBAAALAAAAAAAA&#10;AAAAAAAAAB8BAABfcmVscy8ucmVsc1BLAQItABQABgAIAAAAIQDLilW4vwAAANoAAAAPAAAAAAAA&#10;AAAAAAAAAAcCAABkcnMvZG93bnJldi54bWxQSwUGAAAAAAMAAwC3AAAA8wIAAAAA&#10;" strokecolor="black [3213]" strokeweight="3pt">
                        <v:stroke joinstyle="miter"/>
                        <o:lock v:ext="edit" shapetype="f"/>
                      </v:line>
                      <v:line id="直線接點 5" o:spid="_x0000_s1030" style="position:absolute;visibility:visible;mso-wrap-style:square" from="21922,8838" to="39095,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AjvwAAANoAAAAPAAAAZHJzL2Rvd25yZXYueG1sRE9da8Iw&#10;FH0f7D+EK+xFZuLA4apRZDIQHxxW8fnS3DbF5qY0mdZ/bwRhj4fzPV/2rhEX6kLtWcN4pEAQF97U&#10;XGk4Hn7epyBCRDbYeCYNNwqwXLy+zDEz/sp7uuSxEimEQ4YabIxtJmUoLDkMI98SJ670ncOYYFdJ&#10;0+E1hbtGfij1KR3WnBostvRtqTjnfy7NWJ8O5ZbUrsyb36/Vvh9aVQ+1fhv0qxmISH38Fz/dG6Nh&#10;Ao8ryQ9ycQcAAP//AwBQSwECLQAUAAYACAAAACEA2+H2y+4AAACFAQAAEwAAAAAAAAAAAAAAAAAA&#10;AAAAW0NvbnRlbnRfVHlwZXNdLnhtbFBLAQItABQABgAIAAAAIQBa9CxbvwAAABUBAAALAAAAAAAA&#10;AAAAAAAAAB8BAABfcmVscy8ucmVsc1BLAQItABQABgAIAAAAIQCkxvAjvwAAANoAAAAPAAAAAAAA&#10;AAAAAAAAAAcCAABkcnMvZG93bnJldi54bWxQSwUGAAAAAAMAAwC3AAAA8wIAAAAA&#10;" strokecolor="black [3213]" strokeweight="3pt">
                        <v:stroke joinstyle="miter"/>
                        <o:lock v:ext="edit" shapetype="f"/>
                      </v:line>
                      <v:line id="直線接點 6" o:spid="_x0000_s1031" style="position:absolute;flip:y;visibility:visible;mso-wrap-style:square" from="12938,10263" to="14951,1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PTwwAAANoAAAAPAAAAZHJzL2Rvd25yZXYueG1sRI/RasJA&#10;FETfBf9huYW+6W4KNSW6hhIQpBRSrR9wzV6TkOzdkN1q2q/vFgo+DjNzhtnkk+3FlUbfOtaQLBUI&#10;4sqZlmsNp8/d4gWED8gGe8ek4Zs85Nv5bIOZcTc+0PUYahEh7DPU0IQwZFL6qiGLfukG4uhd3Ggx&#10;RDnW0ox4i3DbyyelVtJiy3GhwYGKhqru+GU1lMTPH2mrKnrbn9PiXXY/ZaK0fnyYXtcgAk3hHv5v&#10;742GFfxdiTdAbn8BAAD//wMAUEsBAi0AFAAGAAgAAAAhANvh9svuAAAAhQEAABMAAAAAAAAAAAAA&#10;AAAAAAAAAFtDb250ZW50X1R5cGVzXS54bWxQSwECLQAUAAYACAAAACEAWvQsW78AAAAVAQAACwAA&#10;AAAAAAAAAAAAAAAfAQAAX3JlbHMvLnJlbHNQSwECLQAUAAYACAAAACEAgc2D08MAAADaAAAADwAA&#10;AAAAAAAAAAAAAAAHAgAAZHJzL2Rvd25yZXYueG1sUEsFBgAAAAADAAMAtwAAAPcCAAAAAA==&#10;" strokecolor="black [3213]" strokeweight="3pt">
                        <v:stroke joinstyle="miter"/>
                        <o:lock v:ext="edit" shapetype="f"/>
                      </v:line>
                      <v:rect id="矩形 8" o:spid="_x0000_s1032" style="position:absolute;left:21864;top:3674;width:17410;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14:paraId="24A83469" w14:textId="77777777" w:rsidR="001F3DC8" w:rsidRDefault="00D35CF0" w:rsidP="00872022">
                              <w:pPr>
                                <w:rPr>
                                  <w:rFonts w:ascii="Calibri" w:eastAsia="Calibri" w:hAnsi="Calibri"/>
                                  <w:color w:val="000000" w:themeColor="text1"/>
                                  <w:sz w:val="20"/>
                                  <w:szCs w:val="20"/>
                                </w:rPr>
                              </w:pPr>
                              <w:proofErr w:type="spellStart"/>
                              <w:r w:rsidRPr="00E4215B">
                                <w:rPr>
                                  <w:rFonts w:ascii="Calibri" w:eastAsia="Calibri" w:hAnsi="Calibri"/>
                                  <w:color w:val="000000" w:themeColor="text1"/>
                                  <w:sz w:val="20"/>
                                  <w:szCs w:val="20"/>
                                </w:rPr>
                                <w:t>CharXenPlus</w:t>
                              </w:r>
                              <w:proofErr w:type="spellEnd"/>
                              <w:r w:rsidRPr="00E4215B">
                                <w:rPr>
                                  <w:rFonts w:ascii="Calibri" w:eastAsia="Calibri" w:hAnsi="Calibri"/>
                                  <w:color w:val="000000" w:themeColor="text1"/>
                                  <w:sz w:val="20"/>
                                  <w:szCs w:val="20"/>
                                </w:rPr>
                                <w:t xml:space="preserve"> 4g thrice daily </w:t>
                              </w:r>
                            </w:p>
                            <w:p w14:paraId="0CAAD258" w14:textId="4938D74B" w:rsidR="00D35CF0" w:rsidRPr="00E4215B" w:rsidRDefault="00D35CF0" w:rsidP="00872022">
                              <w:pPr>
                                <w:rPr>
                                  <w:color w:val="000000" w:themeColor="text1"/>
                                  <w:kern w:val="0"/>
                                </w:rPr>
                              </w:pPr>
                              <w:r w:rsidRPr="00E4215B">
                                <w:rPr>
                                  <w:rFonts w:ascii="Calibri" w:eastAsia="Calibri" w:hAnsi="Calibri"/>
                                  <w:color w:val="000000" w:themeColor="text1"/>
                                  <w:sz w:val="20"/>
                                  <w:szCs w:val="20"/>
                                </w:rPr>
                                <w:t xml:space="preserve">+ </w:t>
                              </w:r>
                              <w:proofErr w:type="spellStart"/>
                              <w:r w:rsidRPr="00E4215B">
                                <w:rPr>
                                  <w:rFonts w:ascii="Calibri" w:eastAsia="BiauKai" w:hAnsi="Calibri"/>
                                  <w:color w:val="000000" w:themeColor="text1"/>
                                  <w:sz w:val="20"/>
                                  <w:szCs w:val="20"/>
                                </w:rPr>
                                <w:t>CharXprob</w:t>
                              </w:r>
                              <w:proofErr w:type="spellEnd"/>
                              <w:r w:rsidRPr="00E4215B">
                                <w:rPr>
                                  <w:rFonts w:ascii="Calibri" w:hAnsi="Calibri"/>
                                  <w:color w:val="000000" w:themeColor="text1"/>
                                  <w:sz w:val="20"/>
                                  <w:szCs w:val="20"/>
                                </w:rPr>
                                <w:t xml:space="preserve"> 0.8 g once daily</w:t>
                              </w:r>
                              <w:r w:rsidRPr="00E4215B">
                                <w:rPr>
                                  <w:rFonts w:ascii="Calibri" w:hAnsi="Calibri"/>
                                  <w:color w:val="000000" w:themeColor="text1"/>
                                  <w:kern w:val="24"/>
                                  <w:sz w:val="20"/>
                                  <w:szCs w:val="20"/>
                                </w:rPr>
                                <w:t xml:space="preserve"> </w:t>
                              </w:r>
                            </w:p>
                          </w:txbxContent>
                        </v:textbox>
                      </v:rect>
                      <v:shape id="文字方塊 3" o:spid="_x0000_s1033" type="#_x0000_t202" style="position:absolute;left:14996;top:20720;width:7395;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6A59402"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Group 3</w:t>
                              </w:r>
                            </w:p>
                            <w:p w14:paraId="192BB239" w14:textId="77777777" w:rsidR="00D35CF0" w:rsidRPr="00E4215B" w:rsidRDefault="00D35CF0" w:rsidP="00872022">
                              <w:pPr>
                                <w:jc w:val="center"/>
                                <w:rPr>
                                  <w:color w:val="000000" w:themeColor="text1"/>
                                </w:rPr>
                              </w:pPr>
                              <w:r w:rsidRPr="00E4215B">
                                <w:rPr>
                                  <w:rFonts w:ascii="Calibri" w:hAnsi="Calibri"/>
                                  <w:b/>
                                  <w:bCs/>
                                  <w:color w:val="000000" w:themeColor="text1"/>
                                </w:rPr>
                                <w:t>(N=30)</w:t>
                              </w:r>
                            </w:p>
                          </w:txbxContent>
                        </v:textbox>
                      </v:shape>
                      <v:shape id="文字方塊 3" o:spid="_x0000_s1034" type="#_x0000_t202" style="position:absolute;left:15012;top:26560;width:7395;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DD4B7F1"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 xml:space="preserve">Group 4 </w:t>
                              </w:r>
                            </w:p>
                            <w:p w14:paraId="14A17FF4" w14:textId="77777777" w:rsidR="00D35CF0" w:rsidRPr="00E4215B" w:rsidRDefault="00D35CF0" w:rsidP="00872022">
                              <w:pPr>
                                <w:jc w:val="center"/>
                                <w:rPr>
                                  <w:color w:val="000000" w:themeColor="text1"/>
                                </w:rPr>
                              </w:pPr>
                              <w:r w:rsidRPr="00E4215B">
                                <w:rPr>
                                  <w:rFonts w:ascii="Calibri" w:hAnsi="Calibri"/>
                                  <w:b/>
                                  <w:bCs/>
                                  <w:color w:val="000000" w:themeColor="text1"/>
                                </w:rPr>
                                <w:t>(N=30)</w:t>
                              </w:r>
                            </w:p>
                          </w:txbxContent>
                        </v:textbox>
                      </v:shape>
                      <v:shape id="文字方塊 3" o:spid="_x0000_s1035" type="#_x0000_t202" style="position:absolute;left:15013;top:6794;width:7395;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E700F99"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Group 1</w:t>
                              </w:r>
                            </w:p>
                            <w:p w14:paraId="2C134C41" w14:textId="77777777" w:rsidR="00D35CF0" w:rsidRPr="00E4215B" w:rsidRDefault="00D35CF0" w:rsidP="00872022">
                              <w:pPr>
                                <w:jc w:val="center"/>
                                <w:rPr>
                                  <w:color w:val="000000" w:themeColor="text1"/>
                                </w:rPr>
                              </w:pPr>
                              <w:r w:rsidRPr="00E4215B">
                                <w:rPr>
                                  <w:rFonts w:ascii="Calibri" w:hAnsi="Calibri"/>
                                  <w:b/>
                                  <w:bCs/>
                                  <w:color w:val="000000" w:themeColor="text1"/>
                                </w:rPr>
                                <w:t>(N=30)</w:t>
                              </w:r>
                            </w:p>
                          </w:txbxContent>
                        </v:textbox>
                      </v:shape>
                      <v:shape id="文字方塊 3" o:spid="_x0000_s1036" type="#_x0000_t202" style="position:absolute;left:14952;top:13953;width:739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B1C7985" w14:textId="77777777" w:rsidR="00D35CF0" w:rsidRPr="00E4215B" w:rsidRDefault="00D35CF0" w:rsidP="00872022">
                              <w:pPr>
                                <w:jc w:val="center"/>
                                <w:rPr>
                                  <w:color w:val="000000" w:themeColor="text1"/>
                                  <w:kern w:val="0"/>
                                </w:rPr>
                              </w:pPr>
                              <w:r w:rsidRPr="00E4215B">
                                <w:rPr>
                                  <w:rFonts w:ascii="Calibri" w:hAnsi="Calibri"/>
                                  <w:b/>
                                  <w:bCs/>
                                  <w:color w:val="000000" w:themeColor="text1"/>
                                  <w:kern w:val="24"/>
                                </w:rPr>
                                <w:t>Group 2</w:t>
                              </w:r>
                            </w:p>
                            <w:p w14:paraId="6E6EB9DB" w14:textId="77777777" w:rsidR="00D35CF0" w:rsidRPr="00E4215B" w:rsidRDefault="00D35CF0" w:rsidP="00872022">
                              <w:pPr>
                                <w:jc w:val="center"/>
                                <w:rPr>
                                  <w:color w:val="000000" w:themeColor="text1"/>
                                </w:rPr>
                              </w:pPr>
                              <w:r w:rsidRPr="00E4215B">
                                <w:rPr>
                                  <w:rFonts w:ascii="Calibri" w:hAnsi="Calibri"/>
                                  <w:b/>
                                  <w:bCs/>
                                  <w:color w:val="000000" w:themeColor="text1"/>
                                </w:rPr>
                                <w:t>(N=30)</w:t>
                              </w:r>
                            </w:p>
                          </w:txbxContent>
                        </v:textbox>
                      </v:shape>
                      <v:line id="直線接點 14" o:spid="_x0000_s1037" style="position:absolute;flip:y;visibility:visible;mso-wrap-style:square" from="13171,16092" to="15196,1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JmwQAAANsAAAAPAAAAZHJzL2Rvd25yZXYueG1sRE/dasIw&#10;FL4f7B3CGXg3k4qb0hmLCIKI4HR7gGNz1habk9LEtvr0y2Dg3fn4fs8iG2wtOmp95VhDMlYgiHNn&#10;Ki40fH9tXucgfEA2WDsmDTfykC2fnxaYGtfzkbpTKEQMYZ+ihjKEJpXS5yVZ9GPXEEfux7UWQ4Rt&#10;IU2LfQy3tZwo9S4tVhwbSmxoXVJ+OV2thgPx2+esUjnttufZei8v90OitB69DKsPEIGG8BD/u7cm&#10;zp/C3y/xALn8BQAA//8DAFBLAQItABQABgAIAAAAIQDb4fbL7gAAAIUBAAATAAAAAAAAAAAAAAAA&#10;AAAAAABbQ29udGVudF9UeXBlc10ueG1sUEsBAi0AFAAGAAgAAAAhAFr0LFu/AAAAFQEAAAsAAAAA&#10;AAAAAAAAAAAAHwEAAF9yZWxzLy5yZWxzUEsBAi0AFAAGAAgAAAAhAO+VImbBAAAA2wAAAA8AAAAA&#10;AAAAAAAAAAAABwIAAGRycy9kb3ducmV2LnhtbFBLBQYAAAAAAwADALcAAAD1AgAAAAA=&#10;" strokecolor="black [3213]" strokeweight="3pt">
                        <v:stroke joinstyle="miter"/>
                        <o:lock v:ext="edit" shapetype="f"/>
                      </v:line>
                      <v:line id="直線接點 15" o:spid="_x0000_s1038" style="position:absolute;visibility:visible;mso-wrap-style:square" from="12956,18646" to="14838,2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kLwwAAANsAAAAPAAAAZHJzL2Rvd25yZXYueG1sRI9BawIx&#10;EIXvhf6HMEIvUhMLFrsaRSoF8WBxFc/DZnazuJksm1TXf28EobcZ3vvevJkve9eIC3Wh9qxhPFIg&#10;iAtvaq40HA8/71MQISIbbDyThhsFWC5eX+aYGX/lPV3yWIkUwiFDDTbGNpMyFJYchpFviZNW+s5h&#10;TGtXSdPhNYW7Rn4o9Skd1pwuWGzp21Jxzv9cqrE+HcotqV2ZN79fq30/tKoeav026FczEJH6+G9+&#10;0huTuAk8fkkDyMUdAAD//wMAUEsBAi0AFAAGAAgAAAAhANvh9svuAAAAhQEAABMAAAAAAAAAAAAA&#10;AAAAAAAAAFtDb250ZW50X1R5cGVzXS54bWxQSwECLQAUAAYACAAAACEAWvQsW78AAAAVAQAACwAA&#10;AAAAAAAAAAAAAAAfAQAAX3JlbHMvLnJlbHNQSwECLQAUAAYACAAAACEAAhK5C8MAAADbAAAADwAA&#10;AAAAAAAAAAAAAAAHAgAAZHJzL2Rvd25yZXYueG1sUEsFBgAAAAADAAMAtwAAAPcCAAAAAA==&#10;" strokecolor="black [3213]" strokeweight="3pt">
                        <v:stroke joinstyle="miter"/>
                        <o:lock v:ext="edit" shapetype="f"/>
                      </v:line>
                      <v:line id="直線接點 16" o:spid="_x0000_s1039" style="position:absolute;visibility:visible;mso-wrap-style:square" from="12999,18555" to="15210,2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d8xAAAANsAAAAPAAAAZHJzL2Rvd25yZXYueG1sRI9BawIx&#10;EIXvBf9DGMGLaFIP0q5GEUUQDy3uFs/DZnazuJksm1TXf98UCr3N8N735s16O7hW3KkPjWcNr3MF&#10;grj0puFaw1dxnL2BCBHZYOuZNDwpwHYzelljZvyDL3TPYy1SCIcMNdgYu0zKUFpyGOa+I05a5XuH&#10;Ma19LU2PjxTuWrlQaikdNpwuWOxob6m85d8u1Thci+pM6qPK28/33WWYWtVMtZ6Mh90KRKQh/pv/&#10;6JNJ3BJ+f0kDyM0PAAAA//8DAFBLAQItABQABgAIAAAAIQDb4fbL7gAAAIUBAAATAAAAAAAAAAAA&#10;AAAAAAAAAABbQ29udGVudF9UeXBlc10ueG1sUEsBAi0AFAAGAAgAAAAhAFr0LFu/AAAAFQEAAAsA&#10;AAAAAAAAAAAAAAAAHwEAAF9yZWxzLy5yZWxzUEsBAi0AFAAGAAgAAAAhAPLAJ3zEAAAA2wAAAA8A&#10;AAAAAAAAAAAAAAAABwIAAGRycy9kb3ducmV2LnhtbFBLBQYAAAAAAwADALcAAAD4AgAAAAA=&#10;" strokecolor="black [3213]" strokeweight="3pt">
                        <v:stroke joinstyle="miter"/>
                        <o:lock v:ext="edit" shapetype="f"/>
                      </v:line>
                      <v:line id="直線接點 17" o:spid="_x0000_s1040" style="position:absolute;visibility:visible;mso-wrap-style:square" from="39184,6833" to="39605,3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2xQAAANsAAAAPAAAAZHJzL2Rvd25yZXYueG1sRI9Ba8JA&#10;EIXvBf/DMkIvpW7SQ6vRNYggKCql2t6n2TEJZmfD7pqk/94tFHqb4b1535tFPphGdOR8bVlBOklA&#10;EBdW11wq+DxvnqcgfEDW2FgmBT/kIV+OHhaYadvzB3WnUIoYwj5DBVUIbSalLyoy6Ce2JY7axTqD&#10;Ia6ulNphH8NNI1+S5FUarDkSKmxpXVFxPd1MhLzvD5ejM7JIv5r993p6fNptZko9jofVHESgIfyb&#10;/663OtZ/g99f4gByeQcAAP//AwBQSwECLQAUAAYACAAAACEA2+H2y+4AAACFAQAAEwAAAAAAAAAA&#10;AAAAAAAAAAAAW0NvbnRlbnRfVHlwZXNdLnhtbFBLAQItABQABgAIAAAAIQBa9CxbvwAAABUBAAAL&#10;AAAAAAAAAAAAAAAAAB8BAABfcmVscy8ucmVsc1BLAQItABQABgAIAAAAIQBwsH+2xQAAANsAAAAP&#10;AAAAAAAAAAAAAAAAAAcCAABkcnMvZG93bnJldi54bWxQSwUGAAAAAAMAAwC3AAAA+QIAAAAA&#10;" strokecolor="black [3213]" strokeweight="1pt">
                        <v:stroke dashstyle="3 1" joinstyle="miter"/>
                        <o:lock v:ext="edit" shapetype="f"/>
                      </v:line>
                      <v:line id="直線接點 18" o:spid="_x0000_s1041" style="position:absolute;visibility:visible;mso-wrap-style:square" from="21966,15985" to="39385,1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aVxAAAANsAAAAPAAAAZHJzL2Rvd25yZXYueG1sRI9BawIx&#10;EIXvhf6HMIVepCb2IO1qFGkplB4U19LzsJndLG4myybq9t87B8HbPOZ9b94s12Po1JmG1Ea2MJsa&#10;UMRVdC03Fn4PXy9voFJGdthFJgv/lGC9enxYYuHihfd0LnOjJIRTgRZ8zn2hdao8BUzT2BPLro5D&#10;wCxyaLQb8CLhodOvxsx1wJblgseePjxVx/IUpMbn36H+IbOty273vtmPE2/aibXPT+NmASrTmO/m&#10;G/3thJOy8osMoFdXAAAA//8DAFBLAQItABQABgAIAAAAIQDb4fbL7gAAAIUBAAATAAAAAAAAAAAA&#10;AAAAAAAAAABbQ29udGVudF9UeXBlc10ueG1sUEsBAi0AFAAGAAgAAAAhAFr0LFu/AAAAFQEAAAsA&#10;AAAAAAAAAAAAAAAAHwEAAF9yZWxzLy5yZWxzUEsBAi0AFAAGAAgAAAAhAOwTFpXEAAAA2wAAAA8A&#10;AAAAAAAAAAAAAAAABwIAAGRycy9kb3ducmV2LnhtbFBLBQYAAAAAAwADALcAAAD4AgAAAAA=&#10;" strokecolor="black [3213]" strokeweight="3pt">
                        <v:stroke joinstyle="miter"/>
                        <o:lock v:ext="edit" shapetype="f"/>
                      </v:line>
                      <v:rect id="矩形 20" o:spid="_x0000_s1042" style="position:absolute;left:22121;top:12769;width:15817;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412B663E" w14:textId="77777777" w:rsidR="00D35CF0" w:rsidRPr="00E4215B" w:rsidRDefault="00D35CF0" w:rsidP="00872022">
                              <w:pPr>
                                <w:rPr>
                                  <w:color w:val="000000" w:themeColor="text1"/>
                                  <w:kern w:val="0"/>
                                </w:rPr>
                              </w:pPr>
                              <w:proofErr w:type="spellStart"/>
                              <w:r w:rsidRPr="00E4215B">
                                <w:rPr>
                                  <w:rFonts w:ascii="Calibri" w:eastAsia="Calibri" w:hAnsi="Calibri"/>
                                  <w:color w:val="000000" w:themeColor="text1"/>
                                  <w:sz w:val="20"/>
                                  <w:szCs w:val="20"/>
                                </w:rPr>
                                <w:t>CharXenPlus</w:t>
                              </w:r>
                              <w:proofErr w:type="spellEnd"/>
                              <w:r w:rsidRPr="00E4215B">
                                <w:rPr>
                                  <w:rFonts w:ascii="Calibri" w:eastAsia="Calibri" w:hAnsi="Calibri"/>
                                  <w:color w:val="000000" w:themeColor="text1"/>
                                  <w:sz w:val="20"/>
                                  <w:szCs w:val="20"/>
                                </w:rPr>
                                <w:t xml:space="preserve"> 4g thrice daily</w:t>
                              </w:r>
                            </w:p>
                          </w:txbxContent>
                        </v:textbox>
                      </v:rect>
                      <v:line id="直線接點 22" o:spid="_x0000_s1043" style="position:absolute;visibility:visible;mso-wrap-style:square" from="21742,28232" to="39371,2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TYcwwAAANsAAAAPAAAAZHJzL2Rvd25yZXYueG1sRI/RagIx&#10;FETfC/5DuIJvNeuCraxGEUWRvpSqH3DZXDerm5slie7ar28KhT4OM3OGWax624gH+VA7VjAZZyCI&#10;S6drrhScT7vXGYgQkTU2jknBkwKsloOXBRbadfxFj2OsRIJwKFCBibEtpAylIYth7Fri5F2ctxiT&#10;9JXUHrsEt43Ms+xNWqw5LRhsaWOovB3vVoHf78zM3rabji7v2+lVfnYf31Kp0bBfz0FE6uN/+K99&#10;0AryHH6/pB8glz8AAAD//wMAUEsBAi0AFAAGAAgAAAAhANvh9svuAAAAhQEAABMAAAAAAAAAAAAA&#10;AAAAAAAAAFtDb250ZW50X1R5cGVzXS54bWxQSwECLQAUAAYACAAAACEAWvQsW78AAAAVAQAACwAA&#10;AAAAAAAAAAAAAAAfAQAAX3JlbHMvLnJlbHNQSwECLQAUAAYACAAAACEAFPU2HMMAAADbAAAADwAA&#10;AAAAAAAAAAAAAAAHAgAAZHJzL2Rvd25yZXYueG1sUEsFBgAAAAADAAMAtwAAAPcCAAAAAA==&#10;" strokecolor="black [3213]" strokeweight="3pt">
                        <v:stroke dashstyle="3 1" joinstyle="miter"/>
                        <o:lock v:ext="edit" shapetype="f"/>
                      </v:line>
                      <v:line id="直線接點 23" o:spid="_x0000_s1044" style="position:absolute;visibility:visible;mso-wrap-style:square" from="21799,22206" to="39218,2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05ZxAAAANsAAAAPAAAAZHJzL2Rvd25yZXYueG1sRI9Ba8JA&#10;EIXvhf6HZQq9SN3VQt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CzbTlnEAAAA2wAAAA8A&#10;AAAAAAAAAAAAAAAABwIAAGRycy9kb3ducmV2LnhtbFBLBQYAAAAAAwADALcAAAD4AgAAAAA=&#10;" strokecolor="black [3213]" strokeweight="3pt">
                        <v:stroke joinstyle="miter"/>
                        <o:lock v:ext="edit" shapetype="f"/>
                      </v:line>
                      <v:rect id="矩形 24" o:spid="_x0000_s1045" style="position:absolute;left:22269;top:19016;width:15669;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79CCA917" w14:textId="77777777" w:rsidR="00D35CF0" w:rsidRPr="00E4215B" w:rsidRDefault="00D35CF0" w:rsidP="00872022">
                              <w:pPr>
                                <w:rPr>
                                  <w:color w:val="000000" w:themeColor="text1"/>
                                  <w:kern w:val="0"/>
                                </w:rPr>
                              </w:pPr>
                              <w:proofErr w:type="spellStart"/>
                              <w:r w:rsidRPr="00E4215B">
                                <w:rPr>
                                  <w:rFonts w:ascii="Calibri" w:eastAsia="BiauKai" w:hAnsi="Calibri"/>
                                  <w:color w:val="000000" w:themeColor="text1"/>
                                  <w:sz w:val="20"/>
                                  <w:szCs w:val="20"/>
                                </w:rPr>
                                <w:t>CharXprob</w:t>
                              </w:r>
                              <w:proofErr w:type="spellEnd"/>
                              <w:r w:rsidRPr="00E4215B">
                                <w:rPr>
                                  <w:rFonts w:ascii="Calibri" w:hAnsi="Calibri"/>
                                  <w:color w:val="000000" w:themeColor="text1"/>
                                  <w:sz w:val="20"/>
                                  <w:szCs w:val="20"/>
                                </w:rPr>
                                <w:t xml:space="preserve"> 0.8 g once daily</w:t>
                              </w:r>
                              <w:r w:rsidRPr="00E4215B">
                                <w:rPr>
                                  <w:rFonts w:ascii="Calibri" w:hAnsi="Calibri"/>
                                  <w:color w:val="000000" w:themeColor="text1"/>
                                  <w:kern w:val="24"/>
                                  <w:sz w:val="20"/>
                                  <w:szCs w:val="20"/>
                                </w:rPr>
                                <w:t xml:space="preserve"> </w:t>
                              </w:r>
                            </w:p>
                          </w:txbxContent>
                        </v:textbox>
                      </v:rect>
                    </v:group>
                  </w:pict>
                </mc:Fallback>
              </mc:AlternateContent>
            </w:r>
          </w:p>
          <w:p w14:paraId="175D18DA" w14:textId="00185DA4" w:rsidR="00BA3FD9" w:rsidRPr="00A4721D" w:rsidRDefault="00BA3FD9" w:rsidP="0074093D">
            <w:pPr>
              <w:pBdr>
                <w:top w:val="nil"/>
                <w:left w:val="nil"/>
                <w:bottom w:val="nil"/>
                <w:right w:val="nil"/>
                <w:between w:val="nil"/>
              </w:pBdr>
              <w:ind w:hanging="2"/>
              <w:jc w:val="both"/>
              <w:rPr>
                <w:rFonts w:ascii="Calibri" w:eastAsia="Calibri" w:hAnsi="Calibri" w:cs="Calibri"/>
                <w:color w:val="000000" w:themeColor="text1"/>
              </w:rPr>
            </w:pPr>
          </w:p>
          <w:p w14:paraId="698F32FE" w14:textId="77777777" w:rsidR="00BA3FD9" w:rsidRPr="00A4721D" w:rsidRDefault="00BA3FD9" w:rsidP="0074093D">
            <w:pPr>
              <w:pBdr>
                <w:top w:val="nil"/>
                <w:left w:val="nil"/>
                <w:bottom w:val="nil"/>
                <w:right w:val="nil"/>
                <w:between w:val="nil"/>
              </w:pBdr>
              <w:ind w:hanging="2"/>
              <w:jc w:val="both"/>
              <w:rPr>
                <w:rFonts w:ascii="Calibri" w:eastAsia="Calibri" w:hAnsi="Calibri" w:cs="Calibri"/>
                <w:color w:val="000000" w:themeColor="text1"/>
              </w:rPr>
            </w:pPr>
          </w:p>
          <w:p w14:paraId="35A42546" w14:textId="77777777" w:rsidR="00BA3FD9" w:rsidRPr="00A4721D" w:rsidRDefault="00BA3FD9" w:rsidP="0074093D">
            <w:pPr>
              <w:pBdr>
                <w:top w:val="nil"/>
                <w:left w:val="nil"/>
                <w:bottom w:val="nil"/>
                <w:right w:val="nil"/>
                <w:between w:val="nil"/>
              </w:pBdr>
              <w:ind w:hanging="2"/>
              <w:jc w:val="both"/>
              <w:rPr>
                <w:rFonts w:ascii="Calibri" w:eastAsia="Calibri" w:hAnsi="Calibri" w:cs="Calibri"/>
                <w:color w:val="000000" w:themeColor="text1"/>
              </w:rPr>
            </w:pPr>
          </w:p>
          <w:p w14:paraId="7536B097" w14:textId="77777777" w:rsidR="00BA3FD9" w:rsidRPr="00A4721D" w:rsidRDefault="00BA3FD9" w:rsidP="0074093D">
            <w:pPr>
              <w:pBdr>
                <w:top w:val="nil"/>
                <w:left w:val="nil"/>
                <w:bottom w:val="nil"/>
                <w:right w:val="nil"/>
                <w:between w:val="nil"/>
              </w:pBdr>
              <w:ind w:hanging="2"/>
              <w:jc w:val="both"/>
              <w:rPr>
                <w:rFonts w:ascii="Calibri" w:eastAsia="Calibri" w:hAnsi="Calibri" w:cs="Calibri"/>
                <w:color w:val="000000" w:themeColor="text1"/>
              </w:rPr>
            </w:pPr>
          </w:p>
          <w:p w14:paraId="4E21799B" w14:textId="77777777" w:rsidR="00BA3FD9" w:rsidRPr="00A4721D" w:rsidRDefault="00BA3FD9" w:rsidP="0074093D">
            <w:pPr>
              <w:pBdr>
                <w:top w:val="nil"/>
                <w:left w:val="nil"/>
                <w:bottom w:val="nil"/>
                <w:right w:val="nil"/>
                <w:between w:val="nil"/>
              </w:pBdr>
              <w:ind w:hanging="2"/>
              <w:jc w:val="both"/>
              <w:rPr>
                <w:rFonts w:ascii="Calibri" w:eastAsia="Calibri" w:hAnsi="Calibri" w:cs="Calibri"/>
                <w:color w:val="000000" w:themeColor="text1"/>
              </w:rPr>
            </w:pPr>
          </w:p>
          <w:p w14:paraId="754306BF" w14:textId="77777777" w:rsidR="00BA3FD9" w:rsidRPr="00A4721D" w:rsidRDefault="00BA3FD9" w:rsidP="0074093D">
            <w:pPr>
              <w:pBdr>
                <w:top w:val="nil"/>
                <w:left w:val="nil"/>
                <w:bottom w:val="nil"/>
                <w:right w:val="nil"/>
                <w:between w:val="nil"/>
              </w:pBdr>
              <w:ind w:hanging="2"/>
              <w:jc w:val="both"/>
              <w:rPr>
                <w:rFonts w:ascii="Calibri" w:eastAsia="Calibri" w:hAnsi="Calibri" w:cs="Calibri"/>
                <w:color w:val="000000" w:themeColor="text1"/>
              </w:rPr>
            </w:pPr>
          </w:p>
          <w:p w14:paraId="2766CC9E" w14:textId="77777777" w:rsidR="00BA3FD9" w:rsidRPr="00A4721D" w:rsidRDefault="00BA3FD9" w:rsidP="0074093D">
            <w:pPr>
              <w:pBdr>
                <w:top w:val="nil"/>
                <w:left w:val="nil"/>
                <w:bottom w:val="nil"/>
                <w:right w:val="nil"/>
                <w:between w:val="nil"/>
              </w:pBdr>
              <w:ind w:hanging="2"/>
              <w:jc w:val="both"/>
              <w:rPr>
                <w:rFonts w:ascii="Calibri" w:eastAsia="Calibri" w:hAnsi="Calibri" w:cs="Calibri"/>
                <w:color w:val="000000" w:themeColor="text1"/>
              </w:rPr>
            </w:pPr>
          </w:p>
          <w:p w14:paraId="2DC48D5C" w14:textId="77777777" w:rsidR="00BA3FD9" w:rsidRPr="00A4721D" w:rsidRDefault="00BA3FD9" w:rsidP="0074093D">
            <w:pPr>
              <w:pBdr>
                <w:top w:val="nil"/>
                <w:left w:val="nil"/>
                <w:bottom w:val="nil"/>
                <w:right w:val="nil"/>
                <w:between w:val="nil"/>
              </w:pBdr>
              <w:ind w:hanging="2"/>
              <w:jc w:val="both"/>
              <w:rPr>
                <w:rFonts w:ascii="Calibri" w:eastAsia="Calibri" w:hAnsi="Calibri" w:cs="Calibri"/>
                <w:color w:val="000000" w:themeColor="text1"/>
              </w:rPr>
            </w:pPr>
          </w:p>
          <w:p w14:paraId="4A3576C0" w14:textId="0FD08648" w:rsidR="00F66864" w:rsidRPr="00A4721D" w:rsidRDefault="00F66864" w:rsidP="00BA3FD9">
            <w:pPr>
              <w:ind w:rightChars="50" w:right="120"/>
              <w:rPr>
                <w:rFonts w:eastAsia="標楷體"/>
                <w:b/>
                <w:color w:val="000000" w:themeColor="text1"/>
              </w:rPr>
            </w:pPr>
          </w:p>
          <w:p w14:paraId="128E36A1" w14:textId="77777777" w:rsidR="0079473F" w:rsidRPr="00A4721D" w:rsidRDefault="0079473F" w:rsidP="0079473F">
            <w:pPr>
              <w:pBdr>
                <w:top w:val="nil"/>
                <w:left w:val="nil"/>
                <w:bottom w:val="nil"/>
                <w:right w:val="nil"/>
                <w:between w:val="nil"/>
              </w:pBdr>
              <w:jc w:val="both"/>
              <w:rPr>
                <w:rFonts w:eastAsia="標楷體"/>
                <w:b/>
                <w:color w:val="000000" w:themeColor="text1"/>
              </w:rPr>
            </w:pPr>
          </w:p>
          <w:p w14:paraId="4EA7BB3C" w14:textId="77777777" w:rsidR="00452269" w:rsidRPr="00A4721D" w:rsidRDefault="00452269" w:rsidP="0079473F">
            <w:pPr>
              <w:pBdr>
                <w:top w:val="nil"/>
                <w:left w:val="nil"/>
                <w:bottom w:val="nil"/>
                <w:right w:val="nil"/>
                <w:between w:val="nil"/>
              </w:pBdr>
              <w:jc w:val="both"/>
              <w:rPr>
                <w:rFonts w:eastAsia="標楷體"/>
                <w:b/>
                <w:color w:val="000000" w:themeColor="text1"/>
              </w:rPr>
            </w:pPr>
          </w:p>
          <w:p w14:paraId="5398AC99" w14:textId="56E1DEF2" w:rsidR="0079473F" w:rsidRPr="00A4721D" w:rsidRDefault="00ED4DC4" w:rsidP="0079473F">
            <w:pPr>
              <w:pBdr>
                <w:top w:val="nil"/>
                <w:left w:val="nil"/>
                <w:bottom w:val="nil"/>
                <w:right w:val="nil"/>
                <w:between w:val="nil"/>
              </w:pBdr>
              <w:jc w:val="both"/>
              <w:rPr>
                <w:rFonts w:eastAsia="標楷體"/>
                <w:color w:val="000000" w:themeColor="text1"/>
              </w:rPr>
            </w:pPr>
            <w:r>
              <w:rPr>
                <w:rFonts w:eastAsia="標楷體" w:hint="eastAsia"/>
                <w:b/>
                <w:color w:val="000000" w:themeColor="text1"/>
              </w:rPr>
              <w:t>七</w:t>
            </w:r>
            <w:r w:rsidR="0079473F" w:rsidRPr="00A4721D">
              <w:rPr>
                <w:rFonts w:eastAsia="標楷體"/>
                <w:b/>
                <w:color w:val="000000" w:themeColor="text1"/>
              </w:rPr>
              <w:t>、研究期限與進度：</w:t>
            </w:r>
            <w:proofErr w:type="gramStart"/>
            <w:r w:rsidR="0079473F" w:rsidRPr="00A4721D">
              <w:rPr>
                <w:rFonts w:eastAsia="標楷體"/>
                <w:color w:val="000000" w:themeColor="text1"/>
              </w:rPr>
              <w:t>自倫委</w:t>
            </w:r>
            <w:proofErr w:type="gramEnd"/>
            <w:r w:rsidR="0079473F" w:rsidRPr="00A4721D">
              <w:rPr>
                <w:rFonts w:eastAsia="標楷體"/>
                <w:color w:val="000000" w:themeColor="text1"/>
              </w:rPr>
              <w:t>會通過後兩年</w:t>
            </w:r>
          </w:p>
          <w:p w14:paraId="232247D8" w14:textId="2E4C4652" w:rsidR="0079473F" w:rsidRPr="00A4721D" w:rsidRDefault="00ED4DC4" w:rsidP="0079473F">
            <w:pPr>
              <w:ind w:rightChars="50" w:right="120"/>
              <w:rPr>
                <w:rFonts w:eastAsia="標楷體"/>
                <w:b/>
                <w:color w:val="000000" w:themeColor="text1"/>
              </w:rPr>
            </w:pPr>
            <w:r>
              <w:rPr>
                <w:rFonts w:eastAsia="標楷體" w:hint="eastAsia"/>
                <w:b/>
                <w:color w:val="000000" w:themeColor="text1"/>
              </w:rPr>
              <w:t>八</w:t>
            </w:r>
            <w:r w:rsidR="0079473F" w:rsidRPr="00A4721D">
              <w:rPr>
                <w:rFonts w:eastAsia="標楷體"/>
                <w:b/>
                <w:color w:val="000000" w:themeColor="text1"/>
              </w:rPr>
              <w:t>、研究人力及相關設備需求</w:t>
            </w:r>
          </w:p>
          <w:p w14:paraId="4DBC2842" w14:textId="62FF70A3" w:rsidR="0079473F" w:rsidRPr="00A4721D" w:rsidRDefault="0079473F" w:rsidP="0079473F">
            <w:pPr>
              <w:ind w:leftChars="50" w:left="120" w:rightChars="50" w:right="120" w:firstLineChars="150" w:firstLine="360"/>
              <w:rPr>
                <w:rFonts w:eastAsia="標楷體"/>
                <w:color w:val="000000" w:themeColor="text1"/>
              </w:rPr>
            </w:pPr>
            <w:r w:rsidRPr="00A4721D">
              <w:rPr>
                <w:rFonts w:eastAsia="標楷體"/>
                <w:color w:val="000000" w:themeColor="text1"/>
              </w:rPr>
              <w:t>研究助理</w:t>
            </w:r>
            <w:r w:rsidRPr="00A4721D">
              <w:rPr>
                <w:rFonts w:eastAsia="標楷體" w:hint="eastAsia"/>
                <w:color w:val="000000" w:themeColor="text1"/>
              </w:rPr>
              <w:t>一名</w:t>
            </w:r>
            <w:r w:rsidRPr="00A4721D">
              <w:rPr>
                <w:rFonts w:eastAsia="標楷體"/>
                <w:color w:val="000000" w:themeColor="text1"/>
              </w:rPr>
              <w:t>。</w:t>
            </w:r>
            <w:r w:rsidRPr="00A4721D">
              <w:rPr>
                <w:rFonts w:eastAsia="標楷體" w:hint="eastAsia"/>
                <w:color w:val="000000" w:themeColor="text1"/>
              </w:rPr>
              <w:t>不須特殊</w:t>
            </w:r>
            <w:r w:rsidRPr="00A4721D">
              <w:rPr>
                <w:rFonts w:eastAsia="標楷體"/>
                <w:color w:val="000000" w:themeColor="text1"/>
              </w:rPr>
              <w:t>相關設備。</w:t>
            </w:r>
          </w:p>
          <w:p w14:paraId="7CFC26BC" w14:textId="3EE7A43C" w:rsidR="00B7322A" w:rsidRPr="00A4721D" w:rsidRDefault="00ED4DC4" w:rsidP="0079473F">
            <w:pPr>
              <w:ind w:rightChars="50" w:right="120"/>
              <w:rPr>
                <w:rFonts w:eastAsia="標楷體"/>
                <w:b/>
                <w:color w:val="000000" w:themeColor="text1"/>
              </w:rPr>
            </w:pPr>
            <w:r>
              <w:rPr>
                <w:rFonts w:eastAsia="標楷體" w:hint="eastAsia"/>
                <w:b/>
                <w:color w:val="000000" w:themeColor="text1"/>
              </w:rPr>
              <w:t>九</w:t>
            </w:r>
            <w:r w:rsidR="00B7322A" w:rsidRPr="00A4721D">
              <w:rPr>
                <w:rFonts w:eastAsia="標楷體"/>
                <w:b/>
                <w:color w:val="000000" w:themeColor="text1"/>
              </w:rPr>
              <w:t>、資料之蒐集處理評估及統計分析方法</w:t>
            </w:r>
            <w:bookmarkStart w:id="1" w:name="Sec4"/>
            <w:bookmarkEnd w:id="1"/>
            <w:r w:rsidR="00B7322A" w:rsidRPr="00A4721D">
              <w:rPr>
                <w:rFonts w:eastAsia="標楷體"/>
                <w:b/>
                <w:color w:val="000000" w:themeColor="text1"/>
              </w:rPr>
              <w:t>:</w:t>
            </w:r>
          </w:p>
          <w:p w14:paraId="477D611D" w14:textId="396F1F4F" w:rsidR="008D7C7D" w:rsidRPr="00A4721D" w:rsidRDefault="008D7C7D" w:rsidP="004B6DE5">
            <w:pPr>
              <w:ind w:firstLineChars="200" w:firstLine="480"/>
              <w:jc w:val="both"/>
              <w:rPr>
                <w:rFonts w:asciiTheme="minorHAnsi" w:hAnsiTheme="minorHAnsi" w:cstheme="minorHAnsi"/>
                <w:color w:val="000000" w:themeColor="text1"/>
              </w:rPr>
            </w:pPr>
            <w:r w:rsidRPr="00A4721D">
              <w:rPr>
                <w:rFonts w:asciiTheme="minorHAnsi" w:hAnsiTheme="minorHAnsi" w:cstheme="minorHAnsi"/>
                <w:color w:val="000000" w:themeColor="text1"/>
              </w:rPr>
              <w:t>All data are described as the mean ± standard errors (SE) or percentages as appropriate. To compare continuous variables, we used a two-sample t test or Mann-Whitney rank sum test, and to compare categorical variables we used the χ</w:t>
            </w:r>
            <w:r w:rsidRPr="00A4721D">
              <w:rPr>
                <w:rFonts w:asciiTheme="minorHAnsi" w:hAnsiTheme="minorHAnsi" w:cstheme="minorHAnsi"/>
                <w:color w:val="000000" w:themeColor="text1"/>
                <w:vertAlign w:val="superscript"/>
              </w:rPr>
              <w:t>2</w:t>
            </w:r>
            <w:r w:rsidRPr="00A4721D">
              <w:rPr>
                <w:rFonts w:asciiTheme="minorHAnsi" w:hAnsiTheme="minorHAnsi" w:cstheme="minorHAnsi"/>
                <w:color w:val="000000" w:themeColor="text1"/>
              </w:rPr>
              <w:t xml:space="preserve"> or Fisher’s exact test, as indicated. Analysis of variance ANOVA will be used to test the differences among the experimental groups. If there are differences, Duncan’s multiple range test will be used for further analysis.</w:t>
            </w:r>
            <w:r w:rsidR="00F05629" w:rsidRPr="00A4721D">
              <w:rPr>
                <w:rFonts w:asciiTheme="minorHAnsi" w:hAnsiTheme="minorHAnsi" w:cstheme="minorHAnsi"/>
                <w:color w:val="000000" w:themeColor="text1"/>
              </w:rPr>
              <w:t xml:space="preserve"> </w:t>
            </w:r>
            <w:r w:rsidRPr="00A4721D">
              <w:rPr>
                <w:rFonts w:asciiTheme="minorHAnsi" w:hAnsiTheme="minorHAnsi" w:cstheme="minorHAnsi"/>
                <w:color w:val="000000" w:themeColor="text1"/>
              </w:rPr>
              <w:t>Th</w:t>
            </w:r>
            <w:r w:rsidR="00F05629" w:rsidRPr="00A4721D">
              <w:rPr>
                <w:rFonts w:asciiTheme="minorHAnsi" w:hAnsiTheme="minorHAnsi" w:cstheme="minorHAnsi"/>
                <w:color w:val="000000" w:themeColor="text1"/>
              </w:rPr>
              <w:t>e</w:t>
            </w:r>
            <w:r w:rsidRPr="00A4721D">
              <w:rPr>
                <w:rFonts w:asciiTheme="minorHAnsi" w:hAnsiTheme="minorHAnsi" w:cstheme="minorHAnsi"/>
                <w:color w:val="000000" w:themeColor="text1"/>
              </w:rPr>
              <w:t xml:space="preserve"> statistics will be carried out using SAS 9.2 (2012 SAS Institute Inc., SAS Campus Drive, Cary, North Carolina).</w:t>
            </w:r>
          </w:p>
          <w:p w14:paraId="60F3CCDF" w14:textId="77777777" w:rsidR="00AD5A64" w:rsidRPr="00A4721D" w:rsidRDefault="00AD5A64" w:rsidP="004B6DE5">
            <w:pPr>
              <w:jc w:val="both"/>
              <w:textAlignment w:val="bottom"/>
              <w:rPr>
                <w:rFonts w:ascii="Arial" w:eastAsia="標楷體" w:hAnsi="Arial" w:cs="Arial"/>
                <w:b/>
                <w:bCs/>
                <w:color w:val="000000" w:themeColor="text1"/>
                <w:sz w:val="26"/>
              </w:rPr>
            </w:pPr>
          </w:p>
          <w:p w14:paraId="116BC0A0" w14:textId="77777777" w:rsidR="00D31DE3" w:rsidRPr="00A4721D" w:rsidRDefault="00B7322A" w:rsidP="00722CD6">
            <w:pPr>
              <w:ind w:leftChars="50" w:left="120" w:rightChars="50" w:right="120"/>
              <w:rPr>
                <w:rFonts w:eastAsia="標楷體"/>
                <w:color w:val="000000" w:themeColor="text1"/>
              </w:rPr>
            </w:pPr>
            <w:r w:rsidRPr="00A4721D">
              <w:rPr>
                <w:rFonts w:eastAsia="標楷體"/>
                <w:color w:val="000000" w:themeColor="text1"/>
              </w:rPr>
              <w:t>【參考資料】</w:t>
            </w:r>
          </w:p>
          <w:p w14:paraId="6DC97385"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000000" w:themeColor="text1"/>
              </w:rPr>
            </w:pPr>
            <w:r w:rsidRPr="00A4721D">
              <w:rPr>
                <w:rFonts w:ascii="Calibri" w:eastAsia="Calibri" w:hAnsi="Calibri" w:cs="Calibri"/>
                <w:color w:val="000000" w:themeColor="text1"/>
              </w:rPr>
              <w:t>Centers for Disease C, Prevention. Hospitalization discharge diagnoses for kidney disease--united states, 1980-2005. MMWR. Morbidity and mortality weekly report. 2008;57:309-312</w:t>
            </w:r>
          </w:p>
          <w:p w14:paraId="64619466"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2" w:name="1fob9te" w:colFirst="0" w:colLast="0"/>
            <w:bookmarkEnd w:id="2"/>
            <w:r w:rsidRPr="00A4721D">
              <w:rPr>
                <w:rFonts w:ascii="Calibri" w:eastAsia="Calibri" w:hAnsi="Calibri" w:cs="Calibri"/>
                <w:color w:val="000000" w:themeColor="text1"/>
              </w:rPr>
              <w:t>Chronopoulos A, Rosner MH, Cruz DN, Ronco C. Acute kidney injury in elderly intensive care patients: A review. Intensive ca</w:t>
            </w:r>
            <w:r w:rsidRPr="00A4721D">
              <w:rPr>
                <w:rFonts w:asciiTheme="minorHAnsi" w:eastAsia="Calibri" w:hAnsiTheme="minorHAnsi" w:cstheme="minorHAnsi"/>
                <w:color w:val="000000" w:themeColor="text1"/>
              </w:rPr>
              <w:t>re medicine. 2010;36:1454-1464</w:t>
            </w:r>
          </w:p>
          <w:p w14:paraId="0E86FA3B"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r w:rsidRPr="00A4721D">
              <w:rPr>
                <w:rFonts w:asciiTheme="minorHAnsi" w:eastAsia="Calibri" w:hAnsiTheme="minorHAnsi" w:cstheme="minorHAnsi"/>
                <w:color w:val="000000" w:themeColor="text1"/>
              </w:rPr>
              <w:t>Hoste EA, Kellum JA, Katz NM, Rosner MH, Haase M, Ronco C. Epidemiology of acute kidney injury. Contributions to nephrology. 2010;165:1-8</w:t>
            </w:r>
          </w:p>
          <w:p w14:paraId="6B3A4F7F"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3" w:name="3znysh7" w:colFirst="0" w:colLast="0"/>
            <w:bookmarkEnd w:id="3"/>
            <w:r w:rsidRPr="00A4721D">
              <w:rPr>
                <w:rFonts w:asciiTheme="minorHAnsi" w:eastAsia="Calibri" w:hAnsiTheme="minorHAnsi" w:cstheme="minorHAnsi"/>
                <w:color w:val="000000" w:themeColor="text1"/>
              </w:rPr>
              <w:t xml:space="preserve">Eckardt KU, </w:t>
            </w:r>
            <w:proofErr w:type="spellStart"/>
            <w:r w:rsidRPr="00A4721D">
              <w:rPr>
                <w:rFonts w:asciiTheme="minorHAnsi" w:eastAsia="Calibri" w:hAnsiTheme="minorHAnsi" w:cstheme="minorHAnsi"/>
                <w:color w:val="000000" w:themeColor="text1"/>
              </w:rPr>
              <w:t>Kasiske</w:t>
            </w:r>
            <w:proofErr w:type="spellEnd"/>
            <w:r w:rsidRPr="00A4721D">
              <w:rPr>
                <w:rFonts w:asciiTheme="minorHAnsi" w:eastAsia="Calibri" w:hAnsiTheme="minorHAnsi" w:cstheme="minorHAnsi"/>
                <w:color w:val="000000" w:themeColor="text1"/>
              </w:rPr>
              <w:t xml:space="preserve"> BL. Kidney disease: Improving global outcomes. Nature reviews. Nephrology. 2009;5:650-657</w:t>
            </w:r>
          </w:p>
          <w:p w14:paraId="37089F77"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4" w:name="2et92p0" w:colFirst="0" w:colLast="0"/>
            <w:bookmarkEnd w:id="4"/>
            <w:proofErr w:type="spellStart"/>
            <w:r w:rsidRPr="00A4721D">
              <w:rPr>
                <w:rFonts w:asciiTheme="minorHAnsi" w:eastAsia="Calibri" w:hAnsiTheme="minorHAnsi" w:cstheme="minorHAnsi"/>
                <w:color w:val="000000" w:themeColor="text1"/>
              </w:rPr>
              <w:t>Duranton</w:t>
            </w:r>
            <w:proofErr w:type="spellEnd"/>
            <w:r w:rsidRPr="00A4721D">
              <w:rPr>
                <w:rFonts w:asciiTheme="minorHAnsi" w:eastAsia="Calibri" w:hAnsiTheme="minorHAnsi" w:cstheme="minorHAnsi"/>
                <w:color w:val="000000" w:themeColor="text1"/>
              </w:rPr>
              <w:t xml:space="preserve"> F, Cohen G, De Smet R, Rodriguez M, Jankowski J, </w:t>
            </w:r>
            <w:proofErr w:type="spellStart"/>
            <w:r w:rsidRPr="00A4721D">
              <w:rPr>
                <w:rFonts w:asciiTheme="minorHAnsi" w:eastAsia="Calibri" w:hAnsiTheme="minorHAnsi" w:cstheme="minorHAnsi"/>
                <w:color w:val="000000" w:themeColor="text1"/>
              </w:rPr>
              <w:t>Vanholder</w:t>
            </w:r>
            <w:proofErr w:type="spellEnd"/>
            <w:r w:rsidRPr="00A4721D">
              <w:rPr>
                <w:rFonts w:asciiTheme="minorHAnsi" w:eastAsia="Calibri" w:hAnsiTheme="minorHAnsi" w:cstheme="minorHAnsi"/>
                <w:color w:val="000000" w:themeColor="text1"/>
              </w:rPr>
              <w:t xml:space="preserve"> R, </w:t>
            </w:r>
            <w:proofErr w:type="spellStart"/>
            <w:r w:rsidRPr="00A4721D">
              <w:rPr>
                <w:rFonts w:asciiTheme="minorHAnsi" w:eastAsia="Calibri" w:hAnsiTheme="minorHAnsi" w:cstheme="minorHAnsi"/>
                <w:color w:val="000000" w:themeColor="text1"/>
              </w:rPr>
              <w:t>Argiles</w:t>
            </w:r>
            <w:proofErr w:type="spellEnd"/>
            <w:r w:rsidRPr="00A4721D">
              <w:rPr>
                <w:rFonts w:asciiTheme="minorHAnsi" w:eastAsia="Calibri" w:hAnsiTheme="minorHAnsi" w:cstheme="minorHAnsi"/>
                <w:color w:val="000000" w:themeColor="text1"/>
              </w:rPr>
              <w:t xml:space="preserve"> A, European Uremic Toxin Work G. Normal and pathologic concentrations of uremic toxins. Journal of the American Society of </w:t>
            </w:r>
            <w:proofErr w:type="gramStart"/>
            <w:r w:rsidRPr="00A4721D">
              <w:rPr>
                <w:rFonts w:asciiTheme="minorHAnsi" w:eastAsia="Calibri" w:hAnsiTheme="minorHAnsi" w:cstheme="minorHAnsi"/>
                <w:color w:val="000000" w:themeColor="text1"/>
              </w:rPr>
              <w:t>Nephrology :</w:t>
            </w:r>
            <w:proofErr w:type="gramEnd"/>
            <w:r w:rsidRPr="00A4721D">
              <w:rPr>
                <w:rFonts w:asciiTheme="minorHAnsi" w:eastAsia="Calibri" w:hAnsiTheme="minorHAnsi" w:cstheme="minorHAnsi"/>
                <w:color w:val="000000" w:themeColor="text1"/>
              </w:rPr>
              <w:t xml:space="preserve"> JASN. 2012;23:1258-1270</w:t>
            </w:r>
          </w:p>
          <w:p w14:paraId="60DA7A76"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5" w:name="tyjcwt" w:colFirst="0" w:colLast="0"/>
            <w:bookmarkEnd w:id="5"/>
            <w:r w:rsidRPr="00A4721D">
              <w:rPr>
                <w:rFonts w:asciiTheme="minorHAnsi" w:eastAsia="Calibri" w:hAnsiTheme="minorHAnsi" w:cstheme="minorHAnsi"/>
                <w:color w:val="000000" w:themeColor="text1"/>
              </w:rPr>
              <w:t>Aoyama I, Niwa T. An oral adsorbent ameliorates renal overload of indoxyl sulfate and progression of renal failure in diabetic rats. American Journal of Kidney Diseases. 2001;37:S7-S12</w:t>
            </w:r>
          </w:p>
          <w:p w14:paraId="3898DFBA"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6" w:name="3dy6vkm" w:colFirst="0" w:colLast="0"/>
            <w:bookmarkEnd w:id="6"/>
            <w:r w:rsidRPr="00A4721D">
              <w:rPr>
                <w:rFonts w:asciiTheme="minorHAnsi" w:eastAsia="Calibri" w:hAnsiTheme="minorHAnsi" w:cstheme="minorHAnsi"/>
                <w:color w:val="000000" w:themeColor="text1"/>
              </w:rPr>
              <w:t>Takayama F, Taki K, Niwa T. Bifidobacterium in gastro-resistant seamless capsule reduces serum levels of indoxyl sulfate in patients on hemodialysis. American Journal of Kidney Diseases. 2003;41:S142-S145</w:t>
            </w:r>
          </w:p>
          <w:p w14:paraId="5BCBBAC2"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7" w:name="1t3h5sf" w:colFirst="0" w:colLast="0"/>
            <w:bookmarkEnd w:id="7"/>
            <w:r w:rsidRPr="00A4721D">
              <w:rPr>
                <w:rFonts w:asciiTheme="minorHAnsi" w:eastAsia="Calibri" w:hAnsiTheme="minorHAnsi" w:cstheme="minorHAnsi"/>
                <w:color w:val="000000" w:themeColor="text1"/>
              </w:rPr>
              <w:t>Nakagawa N, Hasebe N, Sumitomo K, Fujino T, Fukuzawa J, Hirayama T, Kikuchi K. An oral adsorbent, A900, suppresses oxidative stress in uremic rats. American journal of nephrology. 2006;26:455-461</w:t>
            </w:r>
          </w:p>
          <w:p w14:paraId="31C89CAA"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8" w:name="4d34og8" w:colFirst="0" w:colLast="0"/>
            <w:bookmarkEnd w:id="8"/>
            <w:r w:rsidRPr="00A4721D">
              <w:rPr>
                <w:rFonts w:asciiTheme="minorHAnsi" w:eastAsia="Calibri" w:hAnsiTheme="minorHAnsi" w:cstheme="minorHAnsi"/>
                <w:color w:val="000000" w:themeColor="text1"/>
              </w:rPr>
              <w:t>Niwa T, Ise M, Miyazaki T. Progression of glomerular sclerosis in experimental uremic rats by administration of indole, a precursor of indoxyl sulfate. American journal of nephrology. 1994;14:207-212</w:t>
            </w:r>
          </w:p>
          <w:p w14:paraId="782EE6B8" w14:textId="77777777" w:rsidR="00827D2F" w:rsidRPr="00A4721D" w:rsidRDefault="00827D2F" w:rsidP="00827D2F">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9" w:name="2s8eyo1" w:colFirst="0" w:colLast="0"/>
            <w:bookmarkEnd w:id="9"/>
            <w:r w:rsidRPr="00A4721D">
              <w:rPr>
                <w:rFonts w:asciiTheme="minorHAnsi" w:eastAsia="Calibri" w:hAnsiTheme="minorHAnsi" w:cstheme="minorHAnsi"/>
                <w:color w:val="000000" w:themeColor="text1"/>
              </w:rPr>
              <w:t xml:space="preserve">Owada S, Goto S, </w:t>
            </w:r>
            <w:proofErr w:type="spellStart"/>
            <w:r w:rsidRPr="00A4721D">
              <w:rPr>
                <w:rFonts w:asciiTheme="minorHAnsi" w:eastAsia="Calibri" w:hAnsiTheme="minorHAnsi" w:cstheme="minorHAnsi"/>
                <w:color w:val="000000" w:themeColor="text1"/>
              </w:rPr>
              <w:t>Bannai</w:t>
            </w:r>
            <w:proofErr w:type="spellEnd"/>
            <w:r w:rsidRPr="00A4721D">
              <w:rPr>
                <w:rFonts w:asciiTheme="minorHAnsi" w:eastAsia="Calibri" w:hAnsiTheme="minorHAnsi" w:cstheme="minorHAnsi"/>
                <w:color w:val="000000" w:themeColor="text1"/>
              </w:rPr>
              <w:t xml:space="preserve"> K, Hayashi H, Nishijima F, Niwa T. Indoxyl sulfate reduces superoxide scavenging activity in the kidneys of normal and uremic rats. American journal of nephrology. 2008;28:446-454</w:t>
            </w:r>
          </w:p>
          <w:p w14:paraId="3A560D31" w14:textId="77777777" w:rsidR="00104337" w:rsidRPr="00A4721D" w:rsidRDefault="00827D2F" w:rsidP="00104337">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bookmarkStart w:id="10" w:name="17dp8vu" w:colFirst="0" w:colLast="0"/>
            <w:bookmarkEnd w:id="10"/>
            <w:r w:rsidRPr="00A4721D">
              <w:rPr>
                <w:rFonts w:asciiTheme="minorHAnsi" w:eastAsia="Calibri" w:hAnsiTheme="minorHAnsi" w:cstheme="minorHAnsi"/>
                <w:color w:val="000000" w:themeColor="text1"/>
              </w:rPr>
              <w:t>Taki K, Tsuruta Y, Niwa T. Indoxyl sulfate and atherosclerotic risk factors in hemodialysis patients. American journal of nephrology. 2007;27:30-35</w:t>
            </w:r>
          </w:p>
          <w:p w14:paraId="1244DD75" w14:textId="77777777" w:rsidR="00104337" w:rsidRPr="00A4721D" w:rsidRDefault="00104337" w:rsidP="00104337">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r w:rsidRPr="00ED4DC4">
              <w:rPr>
                <w:rFonts w:asciiTheme="minorHAnsi" w:hAnsiTheme="minorHAnsi" w:cstheme="minorHAnsi"/>
                <w:color w:val="000000" w:themeColor="text1"/>
                <w:lang w:val="de-CH"/>
              </w:rPr>
              <w:t xml:space="preserve">Jürgen Schrezenmeir and Michael de Vrese. </w:t>
            </w:r>
            <w:r w:rsidRPr="00A4721D">
              <w:rPr>
                <w:rFonts w:asciiTheme="minorHAnsi" w:hAnsiTheme="minorHAnsi" w:cstheme="minorHAnsi"/>
                <w:color w:val="000000" w:themeColor="text1"/>
              </w:rPr>
              <w:t xml:space="preserve">Probiotics, prebiotics, and </w:t>
            </w:r>
            <w:proofErr w:type="spellStart"/>
            <w:r w:rsidRPr="00A4721D">
              <w:rPr>
                <w:rFonts w:asciiTheme="minorHAnsi" w:hAnsiTheme="minorHAnsi" w:cstheme="minorHAnsi"/>
                <w:color w:val="000000" w:themeColor="text1"/>
              </w:rPr>
              <w:t>synbiotics</w:t>
            </w:r>
            <w:proofErr w:type="spellEnd"/>
            <w:r w:rsidRPr="00A4721D">
              <w:rPr>
                <w:rFonts w:asciiTheme="minorHAnsi" w:hAnsiTheme="minorHAnsi" w:cstheme="minorHAnsi"/>
                <w:color w:val="000000" w:themeColor="text1"/>
              </w:rPr>
              <w:t xml:space="preserve"> – approaching a definition. </w:t>
            </w:r>
            <w:r w:rsidRPr="00A4721D">
              <w:rPr>
                <w:rFonts w:asciiTheme="minorHAnsi" w:hAnsiTheme="minorHAnsi" w:cstheme="minorHAnsi"/>
                <w:iCs/>
                <w:color w:val="000000" w:themeColor="text1"/>
              </w:rPr>
              <w:t xml:space="preserve">Am J Clin </w:t>
            </w:r>
            <w:proofErr w:type="spellStart"/>
            <w:r w:rsidRPr="00A4721D">
              <w:rPr>
                <w:rFonts w:asciiTheme="minorHAnsi" w:hAnsiTheme="minorHAnsi" w:cstheme="minorHAnsi"/>
                <w:iCs/>
                <w:color w:val="000000" w:themeColor="text1"/>
              </w:rPr>
              <w:t>Nutr</w:t>
            </w:r>
            <w:proofErr w:type="spellEnd"/>
            <w:r w:rsidRPr="00A4721D">
              <w:rPr>
                <w:rFonts w:asciiTheme="minorHAnsi" w:hAnsiTheme="minorHAnsi" w:cstheme="minorHAnsi"/>
                <w:iCs/>
                <w:color w:val="000000" w:themeColor="text1"/>
              </w:rPr>
              <w:t xml:space="preserve"> </w:t>
            </w:r>
            <w:proofErr w:type="gramStart"/>
            <w:r w:rsidRPr="00A4721D">
              <w:rPr>
                <w:rFonts w:asciiTheme="minorHAnsi" w:hAnsiTheme="minorHAnsi" w:cstheme="minorHAnsi"/>
                <w:color w:val="000000" w:themeColor="text1"/>
              </w:rPr>
              <w:t>2001;73:361</w:t>
            </w:r>
            <w:proofErr w:type="gramEnd"/>
            <w:r w:rsidRPr="00A4721D">
              <w:rPr>
                <w:rFonts w:asciiTheme="minorHAnsi" w:hAnsiTheme="minorHAnsi" w:cstheme="minorHAnsi"/>
                <w:color w:val="000000" w:themeColor="text1"/>
              </w:rPr>
              <w:t xml:space="preserve">S–4. </w:t>
            </w:r>
          </w:p>
          <w:p w14:paraId="76F07E02" w14:textId="77777777" w:rsidR="00104337" w:rsidRPr="00A4721D" w:rsidRDefault="00104337" w:rsidP="00104337">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r w:rsidRPr="00ED4DC4">
              <w:rPr>
                <w:rFonts w:asciiTheme="minorHAnsi" w:hAnsiTheme="minorHAnsi" w:cstheme="minorHAnsi"/>
                <w:color w:val="000000" w:themeColor="text1"/>
                <w:lang w:val="de-CH"/>
              </w:rPr>
              <w:t xml:space="preserve">Bo L, Li J, Tao T, </w:t>
            </w:r>
            <w:r w:rsidRPr="00ED4DC4">
              <w:rPr>
                <w:rFonts w:asciiTheme="minorHAnsi" w:hAnsiTheme="minorHAnsi" w:cstheme="minorHAnsi"/>
                <w:iCs/>
                <w:color w:val="000000" w:themeColor="text1"/>
                <w:lang w:val="de-CH"/>
              </w:rPr>
              <w:t>et al</w:t>
            </w:r>
            <w:r w:rsidRPr="00ED4DC4">
              <w:rPr>
                <w:rFonts w:asciiTheme="minorHAnsi" w:hAnsiTheme="minorHAnsi" w:cstheme="minorHAnsi"/>
                <w:color w:val="000000" w:themeColor="text1"/>
                <w:lang w:val="de-CH"/>
              </w:rPr>
              <w:t xml:space="preserve">. </w:t>
            </w:r>
            <w:r w:rsidRPr="00A4721D">
              <w:rPr>
                <w:rFonts w:asciiTheme="minorHAnsi" w:hAnsiTheme="minorHAnsi" w:cstheme="minorHAnsi"/>
                <w:color w:val="000000" w:themeColor="text1"/>
              </w:rPr>
              <w:t xml:space="preserve">Probiotics for preventing ventilator-associated pneumonia. </w:t>
            </w:r>
            <w:r w:rsidRPr="00A4721D">
              <w:rPr>
                <w:rFonts w:asciiTheme="minorHAnsi" w:hAnsiTheme="minorHAnsi" w:cstheme="minorHAnsi"/>
                <w:iCs/>
                <w:color w:val="000000" w:themeColor="text1"/>
              </w:rPr>
              <w:t xml:space="preserve">Cochrane Database </w:t>
            </w:r>
            <w:r w:rsidRPr="00A4721D">
              <w:rPr>
                <w:rFonts w:asciiTheme="minorHAnsi" w:hAnsiTheme="minorHAnsi" w:cstheme="minorHAnsi"/>
                <w:iCs/>
                <w:color w:val="000000" w:themeColor="text1"/>
              </w:rPr>
              <w:lastRenderedPageBreak/>
              <w:t xml:space="preserve">Syst Rev </w:t>
            </w:r>
            <w:r w:rsidRPr="00A4721D">
              <w:rPr>
                <w:rFonts w:asciiTheme="minorHAnsi" w:hAnsiTheme="minorHAnsi" w:cstheme="minorHAnsi"/>
                <w:color w:val="000000" w:themeColor="text1"/>
              </w:rPr>
              <w:t xml:space="preserve">2014;10:CD009066. </w:t>
            </w:r>
          </w:p>
          <w:p w14:paraId="031F0EE3" w14:textId="77777777" w:rsidR="00104337" w:rsidRPr="00A4721D" w:rsidRDefault="00104337" w:rsidP="00104337">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r w:rsidRPr="00A4721D">
              <w:rPr>
                <w:rFonts w:asciiTheme="minorHAnsi" w:hAnsiTheme="minorHAnsi" w:cstheme="minorHAnsi"/>
                <w:color w:val="000000" w:themeColor="text1"/>
              </w:rPr>
              <w:t xml:space="preserve">Rossi M, Johnson DW, Morrison M, </w:t>
            </w:r>
            <w:r w:rsidRPr="00A4721D">
              <w:rPr>
                <w:rFonts w:asciiTheme="minorHAnsi" w:hAnsiTheme="minorHAnsi" w:cstheme="minorHAnsi"/>
                <w:iCs/>
                <w:color w:val="000000" w:themeColor="text1"/>
              </w:rPr>
              <w:t>et al</w:t>
            </w:r>
            <w:r w:rsidRPr="00A4721D">
              <w:rPr>
                <w:rFonts w:asciiTheme="minorHAnsi" w:hAnsiTheme="minorHAnsi" w:cstheme="minorHAnsi"/>
                <w:color w:val="000000" w:themeColor="text1"/>
              </w:rPr>
              <w:t xml:space="preserve">. </w:t>
            </w:r>
            <w:proofErr w:type="spellStart"/>
            <w:r w:rsidRPr="00A4721D">
              <w:rPr>
                <w:rFonts w:asciiTheme="minorHAnsi" w:hAnsiTheme="minorHAnsi" w:cstheme="minorHAnsi"/>
                <w:color w:val="000000" w:themeColor="text1"/>
              </w:rPr>
              <w:t>Synbiotics</w:t>
            </w:r>
            <w:proofErr w:type="spellEnd"/>
            <w:r w:rsidRPr="00A4721D">
              <w:rPr>
                <w:rFonts w:asciiTheme="minorHAnsi" w:hAnsiTheme="minorHAnsi" w:cstheme="minorHAnsi"/>
                <w:color w:val="000000" w:themeColor="text1"/>
              </w:rPr>
              <w:t xml:space="preserve"> easing renal failure by improving gut microbiology (SYNERGY): a randomized trial. </w:t>
            </w:r>
            <w:r w:rsidRPr="00A4721D">
              <w:rPr>
                <w:rFonts w:asciiTheme="minorHAnsi" w:hAnsiTheme="minorHAnsi" w:cstheme="minorHAnsi"/>
                <w:iCs/>
                <w:color w:val="000000" w:themeColor="text1"/>
              </w:rPr>
              <w:t xml:space="preserve">Clin J Am Soc Nephrol </w:t>
            </w:r>
            <w:proofErr w:type="gramStart"/>
            <w:r w:rsidRPr="00A4721D">
              <w:rPr>
                <w:rFonts w:asciiTheme="minorHAnsi" w:hAnsiTheme="minorHAnsi" w:cstheme="minorHAnsi"/>
                <w:color w:val="000000" w:themeColor="text1"/>
              </w:rPr>
              <w:t>2016;11:223</w:t>
            </w:r>
            <w:proofErr w:type="gramEnd"/>
            <w:r w:rsidRPr="00A4721D">
              <w:rPr>
                <w:rFonts w:asciiTheme="minorHAnsi" w:hAnsiTheme="minorHAnsi" w:cstheme="minorHAnsi"/>
                <w:color w:val="000000" w:themeColor="text1"/>
              </w:rPr>
              <w:t>–31.</w:t>
            </w:r>
          </w:p>
          <w:p w14:paraId="598ACD31" w14:textId="77777777" w:rsidR="00104337" w:rsidRPr="00A4721D" w:rsidRDefault="00104337" w:rsidP="00104337">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r w:rsidRPr="00A4721D">
              <w:rPr>
                <w:rFonts w:asciiTheme="minorHAnsi" w:hAnsiTheme="minorHAnsi" w:cstheme="minorHAnsi"/>
                <w:color w:val="000000" w:themeColor="text1"/>
              </w:rPr>
              <w:t xml:space="preserve">Ranganathan N, Ranganathan P, Friedman EA, </w:t>
            </w:r>
            <w:r w:rsidRPr="00A4721D">
              <w:rPr>
                <w:rFonts w:asciiTheme="minorHAnsi" w:hAnsiTheme="minorHAnsi" w:cstheme="minorHAnsi"/>
                <w:iCs/>
                <w:color w:val="000000" w:themeColor="text1"/>
              </w:rPr>
              <w:t>et al</w:t>
            </w:r>
            <w:r w:rsidRPr="00A4721D">
              <w:rPr>
                <w:rFonts w:asciiTheme="minorHAnsi" w:hAnsiTheme="minorHAnsi" w:cstheme="minorHAnsi"/>
                <w:color w:val="000000" w:themeColor="text1"/>
              </w:rPr>
              <w:t xml:space="preserve">. Pilot study of probiotic dietary supplementation for promoting healthy kidney function in patients with chronic kidney disease. </w:t>
            </w:r>
            <w:r w:rsidRPr="00A4721D">
              <w:rPr>
                <w:rFonts w:asciiTheme="minorHAnsi" w:hAnsiTheme="minorHAnsi" w:cstheme="minorHAnsi"/>
                <w:iCs/>
                <w:color w:val="000000" w:themeColor="text1"/>
              </w:rPr>
              <w:t xml:space="preserve">Adv Ther </w:t>
            </w:r>
            <w:proofErr w:type="gramStart"/>
            <w:r w:rsidRPr="00A4721D">
              <w:rPr>
                <w:rFonts w:asciiTheme="minorHAnsi" w:hAnsiTheme="minorHAnsi" w:cstheme="minorHAnsi"/>
                <w:color w:val="000000" w:themeColor="text1"/>
              </w:rPr>
              <w:t>2010;27:634</w:t>
            </w:r>
            <w:proofErr w:type="gramEnd"/>
            <w:r w:rsidRPr="00A4721D">
              <w:rPr>
                <w:rFonts w:asciiTheme="minorHAnsi" w:hAnsiTheme="minorHAnsi" w:cstheme="minorHAnsi"/>
                <w:color w:val="000000" w:themeColor="text1"/>
              </w:rPr>
              <w:t>–47.</w:t>
            </w:r>
          </w:p>
          <w:p w14:paraId="3CEEA985" w14:textId="77777777" w:rsidR="00104337" w:rsidRPr="00A4721D" w:rsidRDefault="00104337" w:rsidP="00104337">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Theme="minorHAnsi" w:eastAsia="Calibri" w:hAnsiTheme="minorHAnsi" w:cstheme="minorHAnsi"/>
                <w:color w:val="000000" w:themeColor="text1"/>
              </w:rPr>
            </w:pPr>
            <w:r w:rsidRPr="00A4721D">
              <w:rPr>
                <w:rFonts w:asciiTheme="minorHAnsi" w:hAnsiTheme="minorHAnsi" w:cstheme="minorHAnsi"/>
                <w:color w:val="000000" w:themeColor="text1"/>
              </w:rPr>
              <w:t xml:space="preserve">Guida B, </w:t>
            </w:r>
            <w:proofErr w:type="spellStart"/>
            <w:r w:rsidRPr="00A4721D">
              <w:rPr>
                <w:rFonts w:asciiTheme="minorHAnsi" w:hAnsiTheme="minorHAnsi" w:cstheme="minorHAnsi"/>
                <w:color w:val="000000" w:themeColor="text1"/>
              </w:rPr>
              <w:t>Germano</w:t>
            </w:r>
            <w:proofErr w:type="spellEnd"/>
            <w:r w:rsidRPr="00A4721D">
              <w:rPr>
                <w:rFonts w:asciiTheme="minorHAnsi" w:hAnsiTheme="minorHAnsi" w:cstheme="minorHAnsi"/>
                <w:color w:val="000000" w:themeColor="text1"/>
              </w:rPr>
              <w:t xml:space="preserve">̀ R, Trio R, </w:t>
            </w:r>
            <w:r w:rsidRPr="00A4721D">
              <w:rPr>
                <w:rFonts w:asciiTheme="minorHAnsi" w:hAnsiTheme="minorHAnsi" w:cstheme="minorHAnsi"/>
                <w:iCs/>
                <w:color w:val="000000" w:themeColor="text1"/>
              </w:rPr>
              <w:t>et al</w:t>
            </w:r>
            <w:r w:rsidRPr="00A4721D">
              <w:rPr>
                <w:rFonts w:asciiTheme="minorHAnsi" w:hAnsiTheme="minorHAnsi" w:cstheme="minorHAnsi"/>
                <w:color w:val="000000" w:themeColor="text1"/>
              </w:rPr>
              <w:t xml:space="preserve">. Effect of short-term </w:t>
            </w:r>
            <w:proofErr w:type="spellStart"/>
            <w:r w:rsidRPr="00A4721D">
              <w:rPr>
                <w:rFonts w:asciiTheme="minorHAnsi" w:hAnsiTheme="minorHAnsi" w:cstheme="minorHAnsi"/>
                <w:color w:val="000000" w:themeColor="text1"/>
              </w:rPr>
              <w:t>synbiotic</w:t>
            </w:r>
            <w:proofErr w:type="spellEnd"/>
            <w:r w:rsidRPr="00A4721D">
              <w:rPr>
                <w:rFonts w:asciiTheme="minorHAnsi" w:hAnsiTheme="minorHAnsi" w:cstheme="minorHAnsi"/>
                <w:color w:val="000000" w:themeColor="text1"/>
              </w:rPr>
              <w:t xml:space="preserve"> treatment on plasma p-cresol levels in patients with chronic renal failure: a randomized clinical trial. </w:t>
            </w:r>
            <w:proofErr w:type="spellStart"/>
            <w:r w:rsidRPr="00A4721D">
              <w:rPr>
                <w:rFonts w:asciiTheme="minorHAnsi" w:hAnsiTheme="minorHAnsi" w:cstheme="minorHAnsi"/>
                <w:iCs/>
                <w:color w:val="000000" w:themeColor="text1"/>
              </w:rPr>
              <w:t>Nutr</w:t>
            </w:r>
            <w:proofErr w:type="spellEnd"/>
            <w:r w:rsidRPr="00A4721D">
              <w:rPr>
                <w:rFonts w:asciiTheme="minorHAnsi" w:hAnsiTheme="minorHAnsi" w:cstheme="minorHAnsi"/>
                <w:iCs/>
                <w:color w:val="000000" w:themeColor="text1"/>
              </w:rPr>
              <w:t xml:space="preserve"> </w:t>
            </w:r>
            <w:proofErr w:type="spellStart"/>
            <w:r w:rsidRPr="00A4721D">
              <w:rPr>
                <w:rFonts w:asciiTheme="minorHAnsi" w:hAnsiTheme="minorHAnsi" w:cstheme="minorHAnsi"/>
                <w:iCs/>
                <w:color w:val="000000" w:themeColor="text1"/>
              </w:rPr>
              <w:t>Metab</w:t>
            </w:r>
            <w:proofErr w:type="spellEnd"/>
            <w:r w:rsidRPr="00A4721D">
              <w:rPr>
                <w:rFonts w:asciiTheme="minorHAnsi" w:hAnsiTheme="minorHAnsi" w:cstheme="minorHAnsi"/>
                <w:iCs/>
                <w:color w:val="000000" w:themeColor="text1"/>
              </w:rPr>
              <w:t xml:space="preserve"> Cardiovasc Dis </w:t>
            </w:r>
            <w:proofErr w:type="gramStart"/>
            <w:r w:rsidRPr="00A4721D">
              <w:rPr>
                <w:rFonts w:asciiTheme="minorHAnsi" w:hAnsiTheme="minorHAnsi" w:cstheme="minorHAnsi"/>
                <w:color w:val="000000" w:themeColor="text1"/>
              </w:rPr>
              <w:t>2014;24:1043</w:t>
            </w:r>
            <w:proofErr w:type="gramEnd"/>
            <w:r w:rsidRPr="00A4721D">
              <w:rPr>
                <w:rFonts w:asciiTheme="minorHAnsi" w:hAnsiTheme="minorHAnsi" w:cstheme="minorHAnsi"/>
                <w:color w:val="000000" w:themeColor="text1"/>
              </w:rPr>
              <w:t>–9.</w:t>
            </w:r>
          </w:p>
          <w:p w14:paraId="2AEA2032" w14:textId="77777777" w:rsidR="00B7322A" w:rsidRPr="00A4721D" w:rsidRDefault="00104337" w:rsidP="00104337">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Calibri" w:eastAsia="Calibri" w:hAnsi="Calibri" w:cs="Calibri"/>
                <w:color w:val="000000" w:themeColor="text1"/>
              </w:rPr>
            </w:pPr>
            <w:r w:rsidRPr="00A4721D">
              <w:rPr>
                <w:rFonts w:asciiTheme="minorHAnsi" w:hAnsiTheme="minorHAnsi" w:cstheme="minorHAnsi"/>
                <w:color w:val="000000" w:themeColor="text1"/>
              </w:rPr>
              <w:t xml:space="preserve">Rossi M, Klein K, Johnson DW, </w:t>
            </w:r>
            <w:r w:rsidRPr="00A4721D">
              <w:rPr>
                <w:rFonts w:asciiTheme="minorHAnsi" w:hAnsiTheme="minorHAnsi" w:cstheme="minorHAnsi"/>
                <w:iCs/>
                <w:color w:val="000000" w:themeColor="text1"/>
              </w:rPr>
              <w:t>et al</w:t>
            </w:r>
            <w:r w:rsidRPr="00A4721D">
              <w:rPr>
                <w:rFonts w:asciiTheme="minorHAnsi" w:hAnsiTheme="minorHAnsi" w:cstheme="minorHAnsi"/>
                <w:color w:val="000000" w:themeColor="text1"/>
              </w:rPr>
              <w:t xml:space="preserve">. Pre-, pro-, and </w:t>
            </w:r>
            <w:proofErr w:type="spellStart"/>
            <w:r w:rsidRPr="00A4721D">
              <w:rPr>
                <w:rFonts w:asciiTheme="minorHAnsi" w:hAnsiTheme="minorHAnsi" w:cstheme="minorHAnsi"/>
                <w:color w:val="000000" w:themeColor="text1"/>
              </w:rPr>
              <w:t>synbiotics</w:t>
            </w:r>
            <w:proofErr w:type="spellEnd"/>
            <w:r w:rsidRPr="00A4721D">
              <w:rPr>
                <w:rFonts w:asciiTheme="minorHAnsi" w:hAnsiTheme="minorHAnsi" w:cstheme="minorHAnsi"/>
                <w:color w:val="000000" w:themeColor="text1"/>
              </w:rPr>
              <w:t xml:space="preserve">: do they have a role in reducing uremic toxins? A systematic review and meta-analysis. </w:t>
            </w:r>
            <w:r w:rsidRPr="00A4721D">
              <w:rPr>
                <w:rFonts w:asciiTheme="minorHAnsi" w:hAnsiTheme="minorHAnsi" w:cstheme="minorHAnsi"/>
                <w:iCs/>
                <w:color w:val="000000" w:themeColor="text1"/>
              </w:rPr>
              <w:t xml:space="preserve">Int J Nephrol </w:t>
            </w:r>
            <w:proofErr w:type="gramStart"/>
            <w:r w:rsidRPr="00A4721D">
              <w:rPr>
                <w:rFonts w:asciiTheme="minorHAnsi" w:hAnsiTheme="minorHAnsi" w:cstheme="minorHAnsi"/>
                <w:color w:val="000000" w:themeColor="text1"/>
              </w:rPr>
              <w:t>2012;2012:1</w:t>
            </w:r>
            <w:proofErr w:type="gramEnd"/>
            <w:r w:rsidRPr="00A4721D">
              <w:rPr>
                <w:rFonts w:asciiTheme="minorHAnsi" w:hAnsiTheme="minorHAnsi" w:cstheme="minorHAnsi"/>
                <w:color w:val="000000" w:themeColor="text1"/>
              </w:rPr>
              <w:t>–20.</w:t>
            </w:r>
            <w:bookmarkStart w:id="11" w:name="3rdcrjn" w:colFirst="0" w:colLast="0"/>
            <w:bookmarkStart w:id="12" w:name="2u6wntf" w:colFirst="0" w:colLast="0"/>
            <w:bookmarkEnd w:id="11"/>
            <w:bookmarkEnd w:id="12"/>
          </w:p>
        </w:tc>
      </w:tr>
    </w:tbl>
    <w:p w14:paraId="5E4AFA32" w14:textId="77777777" w:rsidR="00B7322A" w:rsidRPr="00E4215B" w:rsidRDefault="00B7322A" w:rsidP="000B3865">
      <w:pPr>
        <w:pStyle w:val="a7"/>
        <w:spacing w:line="480" w:lineRule="exact"/>
        <w:jc w:val="both"/>
        <w:rPr>
          <w:rFonts w:ascii="Times New Roman"/>
          <w:color w:val="000000" w:themeColor="text1"/>
        </w:rPr>
      </w:pPr>
    </w:p>
    <w:sectPr w:rsidR="00B7322A" w:rsidRPr="00E4215B" w:rsidSect="00E4741E">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956B1" w14:textId="77777777" w:rsidR="001B184B" w:rsidRDefault="001B184B" w:rsidP="00547E8B">
      <w:r>
        <w:separator/>
      </w:r>
    </w:p>
  </w:endnote>
  <w:endnote w:type="continuationSeparator" w:id="0">
    <w:p w14:paraId="1A6E2D29" w14:textId="77777777" w:rsidR="001B184B" w:rsidRDefault="001B184B" w:rsidP="0054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BiauKai">
    <w:altName w:val="微軟正黑體"/>
    <w:charset w:val="88"/>
    <w:family w:val="auto"/>
    <w:pitch w:val="variable"/>
    <w:sig w:usb0="00000001"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E255" w14:textId="3C022165" w:rsidR="00D35CF0" w:rsidRPr="0074093D" w:rsidRDefault="00D35CF0" w:rsidP="00A56DED">
    <w:pPr>
      <w:pStyle w:val="a5"/>
      <w:tabs>
        <w:tab w:val="clear" w:pos="4153"/>
        <w:tab w:val="clear" w:pos="8306"/>
        <w:tab w:val="left" w:pos="2143"/>
      </w:tabs>
      <w:rPr>
        <w:lang w:val="en-US"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0C69A" w14:textId="77777777" w:rsidR="001B184B" w:rsidRDefault="001B184B" w:rsidP="00547E8B">
      <w:r>
        <w:separator/>
      </w:r>
    </w:p>
  </w:footnote>
  <w:footnote w:type="continuationSeparator" w:id="0">
    <w:p w14:paraId="7C130D99" w14:textId="77777777" w:rsidR="001B184B" w:rsidRDefault="001B184B" w:rsidP="0054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E49"/>
    <w:multiLevelType w:val="hybridMultilevel"/>
    <w:tmpl w:val="B656A204"/>
    <w:lvl w:ilvl="0" w:tplc="20047A1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636F44"/>
    <w:multiLevelType w:val="multilevel"/>
    <w:tmpl w:val="96E6A510"/>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20F34037"/>
    <w:multiLevelType w:val="hybridMultilevel"/>
    <w:tmpl w:val="DD5EED0E"/>
    <w:lvl w:ilvl="0" w:tplc="7108C1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5838D5"/>
    <w:multiLevelType w:val="hybridMultilevel"/>
    <w:tmpl w:val="D962125E"/>
    <w:lvl w:ilvl="0" w:tplc="11600B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83E6264"/>
    <w:multiLevelType w:val="hybridMultilevel"/>
    <w:tmpl w:val="269A2AE4"/>
    <w:lvl w:ilvl="0" w:tplc="B9FCB084">
      <w:start w:val="1"/>
      <w:numFmt w:val="decimal"/>
      <w:lvlText w:val="%1."/>
      <w:lvlJc w:val="left"/>
      <w:pPr>
        <w:ind w:left="360" w:hanging="360"/>
      </w:pPr>
      <w:rPr>
        <w:rFonts w:ascii="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5A45F3"/>
    <w:multiLevelType w:val="multilevel"/>
    <w:tmpl w:val="66009AB6"/>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44C1634F"/>
    <w:multiLevelType w:val="multilevel"/>
    <w:tmpl w:val="459E29F6"/>
    <w:lvl w:ilvl="0">
      <w:start w:val="1"/>
      <w:numFmt w:val="decimal"/>
      <w:lvlText w:val="%1."/>
      <w:lvlJc w:val="left"/>
      <w:pPr>
        <w:ind w:left="480" w:hanging="480"/>
      </w:pPr>
      <w:rPr>
        <w:vertAlign w:val="baseline"/>
      </w:rPr>
    </w:lvl>
    <w:lvl w:ilvl="1">
      <w:start w:val="1"/>
      <w:numFmt w:val="decimal"/>
      <w:lvlText w:val="%2、"/>
      <w:lvlJc w:val="left"/>
      <w:pPr>
        <w:ind w:left="960" w:hanging="480"/>
      </w:pPr>
      <w:rPr>
        <w:rFonts w:ascii="新細明體" w:eastAsia="新細明體" w:hAnsi="新細明體" w:cs="新細明體"/>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7" w15:restartNumberingAfterBreak="0">
    <w:nsid w:val="5218245D"/>
    <w:multiLevelType w:val="hybridMultilevel"/>
    <w:tmpl w:val="B2B68990"/>
    <w:lvl w:ilvl="0" w:tplc="C5084ECE">
      <w:start w:val="2"/>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A80F17"/>
    <w:multiLevelType w:val="multilevel"/>
    <w:tmpl w:val="188E685E"/>
    <w:lvl w:ilvl="0">
      <w:start w:val="1"/>
      <w:numFmt w:val="decimal"/>
      <w:lvlText w:val="%1."/>
      <w:lvlJc w:val="left"/>
      <w:pPr>
        <w:ind w:left="480" w:hanging="480"/>
      </w:pPr>
      <w:rPr>
        <w:vertAlign w:val="baseline"/>
      </w:rPr>
    </w:lvl>
    <w:lvl w:ilvl="1">
      <w:start w:val="1"/>
      <w:numFmt w:val="decimal"/>
      <w:lvlText w:val="%2、"/>
      <w:lvlJc w:val="left"/>
      <w:pPr>
        <w:ind w:left="960" w:hanging="480"/>
      </w:pPr>
      <w:rPr>
        <w:rFonts w:ascii="新細明體" w:eastAsia="新細明體" w:hAnsi="新細明體" w:cs="新細明體"/>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9" w15:restartNumberingAfterBreak="0">
    <w:nsid w:val="666F08BB"/>
    <w:multiLevelType w:val="multilevel"/>
    <w:tmpl w:val="3BB6221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15:restartNumberingAfterBreak="0">
    <w:nsid w:val="684614F2"/>
    <w:multiLevelType w:val="hybridMultilevel"/>
    <w:tmpl w:val="6332D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12094696">
    <w:abstractNumId w:val="4"/>
  </w:num>
  <w:num w:numId="2" w16cid:durableId="1003434840">
    <w:abstractNumId w:val="7"/>
  </w:num>
  <w:num w:numId="3" w16cid:durableId="297033695">
    <w:abstractNumId w:val="0"/>
  </w:num>
  <w:num w:numId="4" w16cid:durableId="1159224088">
    <w:abstractNumId w:val="2"/>
  </w:num>
  <w:num w:numId="5" w16cid:durableId="92214854">
    <w:abstractNumId w:val="9"/>
  </w:num>
  <w:num w:numId="6" w16cid:durableId="2018577807">
    <w:abstractNumId w:val="1"/>
  </w:num>
  <w:num w:numId="7" w16cid:durableId="1434280768">
    <w:abstractNumId w:val="5"/>
  </w:num>
  <w:num w:numId="8" w16cid:durableId="307980322">
    <w:abstractNumId w:val="6"/>
  </w:num>
  <w:num w:numId="9" w16cid:durableId="989670003">
    <w:abstractNumId w:val="3"/>
  </w:num>
  <w:num w:numId="10" w16cid:durableId="80110015">
    <w:abstractNumId w:val="8"/>
  </w:num>
  <w:num w:numId="11" w16cid:durableId="1927374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A3NzSzMDc2NjK3tDRV0lEKTi0uzszPAykwqQUAh7KC7SwAAAA="/>
    <w:docVar w:name="EN.InstantFormat" w:val="&lt;ENInstantFormat&gt;&lt;Enabled&gt;1&lt;/Enabled&gt;&lt;ScanUnformatted&gt;0&lt;/ScanUnformatted&gt;&lt;ScanChanges&gt;0&lt;/ScanChanges&gt;&lt;/ENInstantFormat&gt;"/>
    <w:docVar w:name="EN.Layout" w:val="&lt;ENLayout&gt;&lt;Style&gt;PL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e0xrtpp9evtfw0e0a2sv0zd09er9v52wppvt&quot;&gt;AKI Library&lt;record-ids&gt;&lt;item&gt;384&lt;/item&gt;&lt;item&gt;385&lt;/item&gt;&lt;item&gt;386&lt;/item&gt;&lt;item&gt;387&lt;/item&gt;&lt;item&gt;388&lt;/item&gt;&lt;item&gt;389&lt;/item&gt;&lt;item&gt;390&lt;/item&gt;&lt;item&gt;391&lt;/item&gt;&lt;/record-ids&gt;&lt;/item&gt;&lt;/Libraries&gt;"/>
  </w:docVars>
  <w:rsids>
    <w:rsidRoot w:val="00547E8B"/>
    <w:rsid w:val="000028D2"/>
    <w:rsid w:val="000156D8"/>
    <w:rsid w:val="0002298C"/>
    <w:rsid w:val="0002699E"/>
    <w:rsid w:val="00027528"/>
    <w:rsid w:val="000332ED"/>
    <w:rsid w:val="00033CF0"/>
    <w:rsid w:val="00037728"/>
    <w:rsid w:val="000440CE"/>
    <w:rsid w:val="000641D8"/>
    <w:rsid w:val="00067203"/>
    <w:rsid w:val="00067E15"/>
    <w:rsid w:val="0007340E"/>
    <w:rsid w:val="0007559F"/>
    <w:rsid w:val="000847D9"/>
    <w:rsid w:val="00090846"/>
    <w:rsid w:val="000959B9"/>
    <w:rsid w:val="000B2549"/>
    <w:rsid w:val="000B3865"/>
    <w:rsid w:val="000B5A6F"/>
    <w:rsid w:val="000C02E4"/>
    <w:rsid w:val="000C0765"/>
    <w:rsid w:val="000C15A2"/>
    <w:rsid w:val="000C22D1"/>
    <w:rsid w:val="000C244C"/>
    <w:rsid w:val="000C764A"/>
    <w:rsid w:val="000D5C26"/>
    <w:rsid w:val="000E7D87"/>
    <w:rsid w:val="0010011D"/>
    <w:rsid w:val="00102F2E"/>
    <w:rsid w:val="00104337"/>
    <w:rsid w:val="00107516"/>
    <w:rsid w:val="00107B90"/>
    <w:rsid w:val="0012396D"/>
    <w:rsid w:val="0012491A"/>
    <w:rsid w:val="00145853"/>
    <w:rsid w:val="00160AD1"/>
    <w:rsid w:val="0017141D"/>
    <w:rsid w:val="00172B1D"/>
    <w:rsid w:val="00175C30"/>
    <w:rsid w:val="00175C99"/>
    <w:rsid w:val="00191AB6"/>
    <w:rsid w:val="00196004"/>
    <w:rsid w:val="001A3842"/>
    <w:rsid w:val="001B184B"/>
    <w:rsid w:val="001B2608"/>
    <w:rsid w:val="001B4548"/>
    <w:rsid w:val="001B587D"/>
    <w:rsid w:val="001B65F6"/>
    <w:rsid w:val="001C072C"/>
    <w:rsid w:val="001C3033"/>
    <w:rsid w:val="001D6554"/>
    <w:rsid w:val="001E0491"/>
    <w:rsid w:val="001F3DC8"/>
    <w:rsid w:val="001F70AB"/>
    <w:rsid w:val="0020357A"/>
    <w:rsid w:val="0021646D"/>
    <w:rsid w:val="00220B1E"/>
    <w:rsid w:val="00235A8A"/>
    <w:rsid w:val="00242970"/>
    <w:rsid w:val="00257699"/>
    <w:rsid w:val="0025776A"/>
    <w:rsid w:val="00284BD6"/>
    <w:rsid w:val="00292D78"/>
    <w:rsid w:val="00293149"/>
    <w:rsid w:val="002A4670"/>
    <w:rsid w:val="002B4C3B"/>
    <w:rsid w:val="002D5F01"/>
    <w:rsid w:val="002E3EAB"/>
    <w:rsid w:val="002E4716"/>
    <w:rsid w:val="002E6D0B"/>
    <w:rsid w:val="002F0318"/>
    <w:rsid w:val="00303A25"/>
    <w:rsid w:val="00311BB2"/>
    <w:rsid w:val="00314541"/>
    <w:rsid w:val="0031638B"/>
    <w:rsid w:val="0031754A"/>
    <w:rsid w:val="00322884"/>
    <w:rsid w:val="003302C4"/>
    <w:rsid w:val="0033476E"/>
    <w:rsid w:val="00335105"/>
    <w:rsid w:val="003461D6"/>
    <w:rsid w:val="00365949"/>
    <w:rsid w:val="003956D3"/>
    <w:rsid w:val="003B5FFE"/>
    <w:rsid w:val="003C1718"/>
    <w:rsid w:val="003C5D2E"/>
    <w:rsid w:val="003C6B72"/>
    <w:rsid w:val="003C7C19"/>
    <w:rsid w:val="003D2C1D"/>
    <w:rsid w:val="003D70FA"/>
    <w:rsid w:val="003E53DB"/>
    <w:rsid w:val="003E7C10"/>
    <w:rsid w:val="003F0C3A"/>
    <w:rsid w:val="003F4007"/>
    <w:rsid w:val="004046A0"/>
    <w:rsid w:val="00423A9B"/>
    <w:rsid w:val="00423C41"/>
    <w:rsid w:val="00444591"/>
    <w:rsid w:val="00452269"/>
    <w:rsid w:val="004529DA"/>
    <w:rsid w:val="00454F60"/>
    <w:rsid w:val="004658EA"/>
    <w:rsid w:val="004765F5"/>
    <w:rsid w:val="0047667C"/>
    <w:rsid w:val="004820C8"/>
    <w:rsid w:val="00482391"/>
    <w:rsid w:val="004B2407"/>
    <w:rsid w:val="004B5E3B"/>
    <w:rsid w:val="004B67D7"/>
    <w:rsid w:val="004B6DE5"/>
    <w:rsid w:val="004C6008"/>
    <w:rsid w:val="004D009F"/>
    <w:rsid w:val="004D3E25"/>
    <w:rsid w:val="004E0288"/>
    <w:rsid w:val="004E276C"/>
    <w:rsid w:val="004E2FBF"/>
    <w:rsid w:val="004E4031"/>
    <w:rsid w:val="004F61CE"/>
    <w:rsid w:val="004F6FAC"/>
    <w:rsid w:val="00511FF8"/>
    <w:rsid w:val="00517D8F"/>
    <w:rsid w:val="005248C5"/>
    <w:rsid w:val="005252E2"/>
    <w:rsid w:val="0053637E"/>
    <w:rsid w:val="005415A9"/>
    <w:rsid w:val="00541B5B"/>
    <w:rsid w:val="00546249"/>
    <w:rsid w:val="00547E50"/>
    <w:rsid w:val="00547E8B"/>
    <w:rsid w:val="00552D3E"/>
    <w:rsid w:val="00554C78"/>
    <w:rsid w:val="00560B90"/>
    <w:rsid w:val="00564497"/>
    <w:rsid w:val="00566752"/>
    <w:rsid w:val="00566CFF"/>
    <w:rsid w:val="00566EFB"/>
    <w:rsid w:val="00567B8D"/>
    <w:rsid w:val="0058096C"/>
    <w:rsid w:val="005859E4"/>
    <w:rsid w:val="00592773"/>
    <w:rsid w:val="00596B33"/>
    <w:rsid w:val="005A3195"/>
    <w:rsid w:val="005A6A97"/>
    <w:rsid w:val="005B798C"/>
    <w:rsid w:val="005C11B7"/>
    <w:rsid w:val="005C78F8"/>
    <w:rsid w:val="005E2CF2"/>
    <w:rsid w:val="005F30B3"/>
    <w:rsid w:val="005F4A54"/>
    <w:rsid w:val="00612354"/>
    <w:rsid w:val="00612C26"/>
    <w:rsid w:val="006156FB"/>
    <w:rsid w:val="0062663E"/>
    <w:rsid w:val="00627DD3"/>
    <w:rsid w:val="00631028"/>
    <w:rsid w:val="006340C9"/>
    <w:rsid w:val="00661E9C"/>
    <w:rsid w:val="00665C04"/>
    <w:rsid w:val="00670C9D"/>
    <w:rsid w:val="00673CC7"/>
    <w:rsid w:val="00680EB5"/>
    <w:rsid w:val="00681B3F"/>
    <w:rsid w:val="00682F72"/>
    <w:rsid w:val="00685EEF"/>
    <w:rsid w:val="006A5A65"/>
    <w:rsid w:val="006B0DA4"/>
    <w:rsid w:val="006B1988"/>
    <w:rsid w:val="006B3F14"/>
    <w:rsid w:val="006B6B80"/>
    <w:rsid w:val="006C2C1E"/>
    <w:rsid w:val="006D3C2D"/>
    <w:rsid w:val="006D72E0"/>
    <w:rsid w:val="00715572"/>
    <w:rsid w:val="00717E4C"/>
    <w:rsid w:val="00722CD6"/>
    <w:rsid w:val="007246D1"/>
    <w:rsid w:val="00725CBB"/>
    <w:rsid w:val="00733C72"/>
    <w:rsid w:val="0074093D"/>
    <w:rsid w:val="00742642"/>
    <w:rsid w:val="007503EC"/>
    <w:rsid w:val="007514C3"/>
    <w:rsid w:val="00751AD4"/>
    <w:rsid w:val="00752E81"/>
    <w:rsid w:val="00757405"/>
    <w:rsid w:val="00762107"/>
    <w:rsid w:val="007644B5"/>
    <w:rsid w:val="00766EDE"/>
    <w:rsid w:val="00786D11"/>
    <w:rsid w:val="00786E57"/>
    <w:rsid w:val="00787300"/>
    <w:rsid w:val="007923FF"/>
    <w:rsid w:val="0079473F"/>
    <w:rsid w:val="00797650"/>
    <w:rsid w:val="007A1B3B"/>
    <w:rsid w:val="007A382D"/>
    <w:rsid w:val="007B64AF"/>
    <w:rsid w:val="007B750C"/>
    <w:rsid w:val="007B794F"/>
    <w:rsid w:val="007B7BDF"/>
    <w:rsid w:val="007C0EED"/>
    <w:rsid w:val="007C319C"/>
    <w:rsid w:val="007D0008"/>
    <w:rsid w:val="007D020A"/>
    <w:rsid w:val="007D1F0D"/>
    <w:rsid w:val="007E508F"/>
    <w:rsid w:val="007E50BB"/>
    <w:rsid w:val="007F1D9E"/>
    <w:rsid w:val="0080419F"/>
    <w:rsid w:val="00813D21"/>
    <w:rsid w:val="008234F5"/>
    <w:rsid w:val="00823D8D"/>
    <w:rsid w:val="0082483F"/>
    <w:rsid w:val="00827D2F"/>
    <w:rsid w:val="00832DCC"/>
    <w:rsid w:val="008351B0"/>
    <w:rsid w:val="00840874"/>
    <w:rsid w:val="0084193D"/>
    <w:rsid w:val="0085760F"/>
    <w:rsid w:val="00863291"/>
    <w:rsid w:val="00872022"/>
    <w:rsid w:val="008967B2"/>
    <w:rsid w:val="008A5A91"/>
    <w:rsid w:val="008B00C2"/>
    <w:rsid w:val="008C280D"/>
    <w:rsid w:val="008D7C7D"/>
    <w:rsid w:val="008F52FB"/>
    <w:rsid w:val="00901A4E"/>
    <w:rsid w:val="00911944"/>
    <w:rsid w:val="0092274D"/>
    <w:rsid w:val="00924E42"/>
    <w:rsid w:val="00926938"/>
    <w:rsid w:val="0093076D"/>
    <w:rsid w:val="009311D6"/>
    <w:rsid w:val="00942AB1"/>
    <w:rsid w:val="00943F2D"/>
    <w:rsid w:val="009545FD"/>
    <w:rsid w:val="009549CF"/>
    <w:rsid w:val="00962942"/>
    <w:rsid w:val="00971634"/>
    <w:rsid w:val="0099701A"/>
    <w:rsid w:val="009974B7"/>
    <w:rsid w:val="00997A7E"/>
    <w:rsid w:val="009A3A3A"/>
    <w:rsid w:val="009A598E"/>
    <w:rsid w:val="009B173E"/>
    <w:rsid w:val="009B18ED"/>
    <w:rsid w:val="009B7F83"/>
    <w:rsid w:val="009C0CFF"/>
    <w:rsid w:val="009D1389"/>
    <w:rsid w:val="009D5C41"/>
    <w:rsid w:val="009E2557"/>
    <w:rsid w:val="009F16E3"/>
    <w:rsid w:val="00A044B6"/>
    <w:rsid w:val="00A06E9D"/>
    <w:rsid w:val="00A14898"/>
    <w:rsid w:val="00A15C92"/>
    <w:rsid w:val="00A3122D"/>
    <w:rsid w:val="00A34504"/>
    <w:rsid w:val="00A41C6D"/>
    <w:rsid w:val="00A4721D"/>
    <w:rsid w:val="00A511E7"/>
    <w:rsid w:val="00A56DED"/>
    <w:rsid w:val="00A673A6"/>
    <w:rsid w:val="00A7614E"/>
    <w:rsid w:val="00A905C0"/>
    <w:rsid w:val="00AA550D"/>
    <w:rsid w:val="00AB72C5"/>
    <w:rsid w:val="00AC095C"/>
    <w:rsid w:val="00AC47C0"/>
    <w:rsid w:val="00AD211D"/>
    <w:rsid w:val="00AD225A"/>
    <w:rsid w:val="00AD5A64"/>
    <w:rsid w:val="00AE0D5F"/>
    <w:rsid w:val="00AE44C6"/>
    <w:rsid w:val="00AE770A"/>
    <w:rsid w:val="00B266E8"/>
    <w:rsid w:val="00B32D98"/>
    <w:rsid w:val="00B34B4B"/>
    <w:rsid w:val="00B34D3B"/>
    <w:rsid w:val="00B46472"/>
    <w:rsid w:val="00B7322A"/>
    <w:rsid w:val="00B860E3"/>
    <w:rsid w:val="00BA26B5"/>
    <w:rsid w:val="00BA3FD9"/>
    <w:rsid w:val="00BA60A4"/>
    <w:rsid w:val="00BC3462"/>
    <w:rsid w:val="00BD26DE"/>
    <w:rsid w:val="00BD2CEC"/>
    <w:rsid w:val="00BE1CB1"/>
    <w:rsid w:val="00BE6413"/>
    <w:rsid w:val="00BF7D13"/>
    <w:rsid w:val="00C14482"/>
    <w:rsid w:val="00C1795F"/>
    <w:rsid w:val="00C2758B"/>
    <w:rsid w:val="00C5103D"/>
    <w:rsid w:val="00C611BA"/>
    <w:rsid w:val="00C621BC"/>
    <w:rsid w:val="00C63EC6"/>
    <w:rsid w:val="00C73490"/>
    <w:rsid w:val="00C85C84"/>
    <w:rsid w:val="00C9764A"/>
    <w:rsid w:val="00CA132F"/>
    <w:rsid w:val="00CA1F76"/>
    <w:rsid w:val="00CB7478"/>
    <w:rsid w:val="00CC6C51"/>
    <w:rsid w:val="00CD0402"/>
    <w:rsid w:val="00CD5811"/>
    <w:rsid w:val="00CF3B31"/>
    <w:rsid w:val="00CF4D51"/>
    <w:rsid w:val="00D03D1D"/>
    <w:rsid w:val="00D106D8"/>
    <w:rsid w:val="00D163A3"/>
    <w:rsid w:val="00D227C6"/>
    <w:rsid w:val="00D31DE3"/>
    <w:rsid w:val="00D35CF0"/>
    <w:rsid w:val="00D36E87"/>
    <w:rsid w:val="00D4085B"/>
    <w:rsid w:val="00D42E9A"/>
    <w:rsid w:val="00D503B7"/>
    <w:rsid w:val="00D5375A"/>
    <w:rsid w:val="00D54926"/>
    <w:rsid w:val="00D54E61"/>
    <w:rsid w:val="00D7519B"/>
    <w:rsid w:val="00D83C6F"/>
    <w:rsid w:val="00D83D8A"/>
    <w:rsid w:val="00D912B9"/>
    <w:rsid w:val="00D92084"/>
    <w:rsid w:val="00D93D52"/>
    <w:rsid w:val="00D946B2"/>
    <w:rsid w:val="00DC48B1"/>
    <w:rsid w:val="00DC4D20"/>
    <w:rsid w:val="00DD0095"/>
    <w:rsid w:val="00DD1FFC"/>
    <w:rsid w:val="00DF5262"/>
    <w:rsid w:val="00E0093F"/>
    <w:rsid w:val="00E01065"/>
    <w:rsid w:val="00E011EA"/>
    <w:rsid w:val="00E4215B"/>
    <w:rsid w:val="00E43A17"/>
    <w:rsid w:val="00E4741E"/>
    <w:rsid w:val="00E6211C"/>
    <w:rsid w:val="00E64907"/>
    <w:rsid w:val="00E670C7"/>
    <w:rsid w:val="00E678F3"/>
    <w:rsid w:val="00E70DE7"/>
    <w:rsid w:val="00E72A6E"/>
    <w:rsid w:val="00E758AB"/>
    <w:rsid w:val="00E802D5"/>
    <w:rsid w:val="00E80E8E"/>
    <w:rsid w:val="00E85D92"/>
    <w:rsid w:val="00EA0331"/>
    <w:rsid w:val="00EB3C63"/>
    <w:rsid w:val="00EC38AF"/>
    <w:rsid w:val="00EC5392"/>
    <w:rsid w:val="00EC7280"/>
    <w:rsid w:val="00ED4943"/>
    <w:rsid w:val="00ED4DC4"/>
    <w:rsid w:val="00ED5F73"/>
    <w:rsid w:val="00EE7D27"/>
    <w:rsid w:val="00F05629"/>
    <w:rsid w:val="00F10219"/>
    <w:rsid w:val="00F1517C"/>
    <w:rsid w:val="00F16C76"/>
    <w:rsid w:val="00F211A3"/>
    <w:rsid w:val="00F21997"/>
    <w:rsid w:val="00F22993"/>
    <w:rsid w:val="00F229A7"/>
    <w:rsid w:val="00F55EF2"/>
    <w:rsid w:val="00F65436"/>
    <w:rsid w:val="00F66864"/>
    <w:rsid w:val="00F73E2C"/>
    <w:rsid w:val="00F74D67"/>
    <w:rsid w:val="00F84821"/>
    <w:rsid w:val="00F91E55"/>
    <w:rsid w:val="00F95D88"/>
    <w:rsid w:val="00F96F5C"/>
    <w:rsid w:val="00FA25CD"/>
    <w:rsid w:val="00FA37BF"/>
    <w:rsid w:val="00FA43F5"/>
    <w:rsid w:val="00FA67FA"/>
    <w:rsid w:val="00FA6902"/>
    <w:rsid w:val="00FB161A"/>
    <w:rsid w:val="00FB32FD"/>
    <w:rsid w:val="00FB643C"/>
    <w:rsid w:val="00FC1A3E"/>
    <w:rsid w:val="00FC3D9E"/>
    <w:rsid w:val="00FC5E77"/>
    <w:rsid w:val="00FD4381"/>
    <w:rsid w:val="00FD5E26"/>
    <w:rsid w:val="00FD6BFA"/>
    <w:rsid w:val="00FE1F49"/>
    <w:rsid w:val="00FE39FD"/>
    <w:rsid w:val="00FE5972"/>
    <w:rsid w:val="00FF11C7"/>
    <w:rsid w:val="00FF1898"/>
    <w:rsid w:val="00FF7D3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0E6923"/>
  <w15:docId w15:val="{83C63ABC-3A98-7448-90AF-B66E219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C5"/>
    <w:pPr>
      <w:widowControl w:val="0"/>
    </w:pPr>
    <w:rPr>
      <w:rFonts w:ascii="Times New Roman" w:hAnsi="Times New Roman"/>
      <w:kern w:val="2"/>
      <w:sz w:val="24"/>
      <w:szCs w:val="24"/>
    </w:rPr>
  </w:style>
  <w:style w:type="paragraph" w:styleId="3">
    <w:name w:val="heading 3"/>
    <w:basedOn w:val="a"/>
    <w:link w:val="30"/>
    <w:uiPriority w:val="9"/>
    <w:qFormat/>
    <w:locked/>
    <w:rsid w:val="000D5C26"/>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E8B"/>
    <w:pPr>
      <w:tabs>
        <w:tab w:val="center" w:pos="4153"/>
        <w:tab w:val="right" w:pos="8306"/>
      </w:tabs>
      <w:snapToGrid w:val="0"/>
      <w:spacing w:line="360" w:lineRule="auto"/>
    </w:pPr>
    <w:rPr>
      <w:rFonts w:ascii="Calibri" w:hAnsi="Calibri"/>
      <w:kern w:val="0"/>
      <w:sz w:val="20"/>
      <w:szCs w:val="20"/>
      <w:lang w:val="x-none" w:eastAsia="x-none"/>
    </w:rPr>
  </w:style>
  <w:style w:type="character" w:customStyle="1" w:styleId="a4">
    <w:name w:val="頁首 字元"/>
    <w:link w:val="a3"/>
    <w:uiPriority w:val="99"/>
    <w:semiHidden/>
    <w:locked/>
    <w:rsid w:val="00547E8B"/>
    <w:rPr>
      <w:sz w:val="20"/>
      <w:szCs w:val="20"/>
    </w:rPr>
  </w:style>
  <w:style w:type="paragraph" w:styleId="a5">
    <w:name w:val="footer"/>
    <w:basedOn w:val="a"/>
    <w:link w:val="a6"/>
    <w:uiPriority w:val="99"/>
    <w:rsid w:val="00547E8B"/>
    <w:pPr>
      <w:tabs>
        <w:tab w:val="center" w:pos="4153"/>
        <w:tab w:val="right" w:pos="8306"/>
      </w:tabs>
      <w:snapToGrid w:val="0"/>
      <w:spacing w:line="360" w:lineRule="auto"/>
    </w:pPr>
    <w:rPr>
      <w:rFonts w:ascii="Calibri" w:hAnsi="Calibri"/>
      <w:kern w:val="0"/>
      <w:sz w:val="20"/>
      <w:szCs w:val="20"/>
      <w:lang w:val="x-none" w:eastAsia="x-none"/>
    </w:rPr>
  </w:style>
  <w:style w:type="character" w:customStyle="1" w:styleId="a6">
    <w:name w:val="頁尾 字元"/>
    <w:link w:val="a5"/>
    <w:uiPriority w:val="99"/>
    <w:locked/>
    <w:rsid w:val="00547E8B"/>
    <w:rPr>
      <w:sz w:val="20"/>
      <w:szCs w:val="20"/>
    </w:rPr>
  </w:style>
  <w:style w:type="paragraph" w:styleId="a7">
    <w:name w:val="Body Text"/>
    <w:basedOn w:val="a"/>
    <w:link w:val="a8"/>
    <w:uiPriority w:val="99"/>
    <w:rsid w:val="00547E8B"/>
    <w:pPr>
      <w:overflowPunct w:val="0"/>
      <w:snapToGrid w:val="0"/>
      <w:spacing w:line="480" w:lineRule="atLeast"/>
    </w:pPr>
    <w:rPr>
      <w:rFonts w:ascii="標楷體" w:eastAsia="標楷體"/>
      <w:kern w:val="0"/>
      <w:sz w:val="20"/>
      <w:szCs w:val="20"/>
      <w:lang w:val="x-none" w:eastAsia="x-none"/>
    </w:rPr>
  </w:style>
  <w:style w:type="character" w:customStyle="1" w:styleId="a8">
    <w:name w:val="本文 字元"/>
    <w:link w:val="a7"/>
    <w:uiPriority w:val="99"/>
    <w:locked/>
    <w:rsid w:val="00547E8B"/>
    <w:rPr>
      <w:rFonts w:ascii="標楷體" w:eastAsia="標楷體" w:hAnsi="Times New Roman" w:cs="標楷體"/>
      <w:sz w:val="20"/>
      <w:szCs w:val="20"/>
    </w:rPr>
  </w:style>
  <w:style w:type="character" w:styleId="a9">
    <w:name w:val="Hyperlink"/>
    <w:uiPriority w:val="99"/>
    <w:rsid w:val="00547E8B"/>
    <w:rPr>
      <w:color w:val="0000FF"/>
      <w:u w:val="single"/>
    </w:rPr>
  </w:style>
  <w:style w:type="paragraph" w:styleId="Web">
    <w:name w:val="Normal (Web)"/>
    <w:basedOn w:val="a"/>
    <w:uiPriority w:val="99"/>
    <w:rsid w:val="00547E8B"/>
    <w:pPr>
      <w:widowControl/>
      <w:spacing w:before="100" w:beforeAutospacing="1" w:after="100" w:afterAutospacing="1"/>
    </w:pPr>
    <w:rPr>
      <w:rFonts w:ascii="新細明體" w:hAnsi="新細明體" w:cs="新細明體"/>
      <w:kern w:val="0"/>
    </w:rPr>
  </w:style>
  <w:style w:type="paragraph" w:customStyle="1" w:styleId="fulltext-textfulltext-indent">
    <w:name w:val="fulltext-text fulltext-indent"/>
    <w:basedOn w:val="a"/>
    <w:uiPriority w:val="99"/>
    <w:rsid w:val="00547E8B"/>
    <w:pPr>
      <w:widowControl/>
      <w:spacing w:before="100" w:beforeAutospacing="1" w:after="360"/>
    </w:pPr>
    <w:rPr>
      <w:rFonts w:ascii="新細明體" w:hAnsi="新細明體" w:cs="新細明體"/>
      <w:kern w:val="0"/>
    </w:rPr>
  </w:style>
  <w:style w:type="character" w:customStyle="1" w:styleId="fulltext-it">
    <w:name w:val="fulltext-it"/>
    <w:uiPriority w:val="99"/>
    <w:rsid w:val="00547E8B"/>
  </w:style>
  <w:style w:type="character" w:customStyle="1" w:styleId="apple-converted-space">
    <w:name w:val="apple-converted-space"/>
    <w:basedOn w:val="a0"/>
    <w:rsid w:val="00322884"/>
  </w:style>
  <w:style w:type="character" w:customStyle="1" w:styleId="30">
    <w:name w:val="標題 3 字元"/>
    <w:link w:val="3"/>
    <w:uiPriority w:val="9"/>
    <w:rsid w:val="000D5C26"/>
    <w:rPr>
      <w:rFonts w:ascii="新細明體" w:hAnsi="新細明體" w:cs="新細明體"/>
      <w:b/>
      <w:bCs/>
      <w:sz w:val="27"/>
      <w:szCs w:val="27"/>
    </w:rPr>
  </w:style>
  <w:style w:type="character" w:styleId="aa">
    <w:name w:val="Emphasis"/>
    <w:uiPriority w:val="20"/>
    <w:qFormat/>
    <w:locked/>
    <w:rsid w:val="000D5C26"/>
    <w:rPr>
      <w:i/>
      <w:iCs/>
    </w:rPr>
  </w:style>
  <w:style w:type="paragraph" w:styleId="ab">
    <w:name w:val="Balloon Text"/>
    <w:basedOn w:val="a"/>
    <w:link w:val="ac"/>
    <w:uiPriority w:val="99"/>
    <w:semiHidden/>
    <w:unhideWhenUsed/>
    <w:rsid w:val="00257699"/>
    <w:rPr>
      <w:rFonts w:ascii="Cambria" w:hAnsi="Cambria"/>
      <w:sz w:val="18"/>
      <w:szCs w:val="18"/>
      <w:lang w:val="x-none" w:eastAsia="x-none"/>
    </w:rPr>
  </w:style>
  <w:style w:type="character" w:customStyle="1" w:styleId="ac">
    <w:name w:val="註解方塊文字 字元"/>
    <w:link w:val="ab"/>
    <w:uiPriority w:val="99"/>
    <w:semiHidden/>
    <w:rsid w:val="00257699"/>
    <w:rPr>
      <w:rFonts w:ascii="Cambria" w:eastAsia="新細明體" w:hAnsi="Cambria" w:cs="Times New Roman"/>
      <w:kern w:val="2"/>
      <w:sz w:val="18"/>
      <w:szCs w:val="18"/>
    </w:rPr>
  </w:style>
  <w:style w:type="paragraph" w:customStyle="1" w:styleId="EndNoteBibliographyTitle">
    <w:name w:val="EndNote Bibliography Title"/>
    <w:basedOn w:val="a"/>
    <w:link w:val="EndNoteBibliographyTitle0"/>
    <w:rsid w:val="00B46472"/>
    <w:pPr>
      <w:jc w:val="center"/>
    </w:pPr>
    <w:rPr>
      <w:noProof/>
      <w:lang w:val="x-none" w:eastAsia="x-none"/>
    </w:rPr>
  </w:style>
  <w:style w:type="character" w:customStyle="1" w:styleId="EndNoteBibliographyTitle0">
    <w:name w:val="EndNote Bibliography Title 字元"/>
    <w:link w:val="EndNoteBibliographyTitle"/>
    <w:rsid w:val="00B46472"/>
    <w:rPr>
      <w:rFonts w:ascii="Times New Roman" w:hAnsi="Times New Roman"/>
      <w:noProof/>
      <w:kern w:val="2"/>
      <w:sz w:val="24"/>
      <w:szCs w:val="24"/>
    </w:rPr>
  </w:style>
  <w:style w:type="paragraph" w:customStyle="1" w:styleId="EndNoteBibliography">
    <w:name w:val="EndNote Bibliography"/>
    <w:basedOn w:val="a"/>
    <w:link w:val="EndNoteBibliography0"/>
    <w:rsid w:val="00B46472"/>
    <w:pPr>
      <w:jc w:val="both"/>
    </w:pPr>
    <w:rPr>
      <w:noProof/>
      <w:lang w:val="x-none" w:eastAsia="x-none"/>
    </w:rPr>
  </w:style>
  <w:style w:type="character" w:customStyle="1" w:styleId="EndNoteBibliography0">
    <w:name w:val="EndNote Bibliography 字元"/>
    <w:link w:val="EndNoteBibliography"/>
    <w:rsid w:val="00B46472"/>
    <w:rPr>
      <w:rFonts w:ascii="Times New Roman" w:hAnsi="Times New Roman"/>
      <w:noProof/>
      <w:kern w:val="2"/>
      <w:sz w:val="24"/>
      <w:szCs w:val="24"/>
    </w:rPr>
  </w:style>
  <w:style w:type="paragraph" w:customStyle="1" w:styleId="1">
    <w:name w:val="區塊文字1"/>
    <w:basedOn w:val="a"/>
    <w:rsid w:val="00E01065"/>
    <w:pPr>
      <w:adjustRightInd w:val="0"/>
      <w:spacing w:line="500" w:lineRule="exact"/>
      <w:ind w:left="851" w:right="510" w:firstLine="589"/>
      <w:textAlignment w:val="baseline"/>
    </w:pPr>
    <w:rPr>
      <w:rFonts w:ascii="CG Times" w:eastAsia="標楷體" w:hAnsi="CG Times"/>
      <w:sz w:val="28"/>
      <w:szCs w:val="20"/>
    </w:rPr>
  </w:style>
  <w:style w:type="paragraph" w:styleId="ad">
    <w:name w:val="annotation text"/>
    <w:basedOn w:val="a"/>
    <w:link w:val="ae"/>
    <w:rsid w:val="00566752"/>
    <w:pPr>
      <w:adjustRightInd w:val="0"/>
      <w:spacing w:line="360" w:lineRule="atLeast"/>
    </w:pPr>
    <w:rPr>
      <w:kern w:val="0"/>
      <w:szCs w:val="20"/>
    </w:rPr>
  </w:style>
  <w:style w:type="character" w:customStyle="1" w:styleId="ae">
    <w:name w:val="註解文字 字元"/>
    <w:basedOn w:val="a0"/>
    <w:link w:val="ad"/>
    <w:rsid w:val="005667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87439">
      <w:bodyDiv w:val="1"/>
      <w:marLeft w:val="0"/>
      <w:marRight w:val="0"/>
      <w:marTop w:val="0"/>
      <w:marBottom w:val="0"/>
      <w:divBdr>
        <w:top w:val="none" w:sz="0" w:space="0" w:color="auto"/>
        <w:left w:val="none" w:sz="0" w:space="0" w:color="auto"/>
        <w:bottom w:val="none" w:sz="0" w:space="0" w:color="auto"/>
        <w:right w:val="none" w:sz="0" w:space="0" w:color="auto"/>
      </w:divBdr>
    </w:div>
    <w:div w:id="497692738">
      <w:bodyDiv w:val="1"/>
      <w:marLeft w:val="0"/>
      <w:marRight w:val="0"/>
      <w:marTop w:val="0"/>
      <w:marBottom w:val="0"/>
      <w:divBdr>
        <w:top w:val="none" w:sz="0" w:space="0" w:color="auto"/>
        <w:left w:val="none" w:sz="0" w:space="0" w:color="auto"/>
        <w:bottom w:val="none" w:sz="0" w:space="0" w:color="auto"/>
        <w:right w:val="none" w:sz="0" w:space="0" w:color="auto"/>
      </w:divBdr>
    </w:div>
    <w:div w:id="1163199998">
      <w:bodyDiv w:val="1"/>
      <w:marLeft w:val="0"/>
      <w:marRight w:val="0"/>
      <w:marTop w:val="0"/>
      <w:marBottom w:val="0"/>
      <w:divBdr>
        <w:top w:val="none" w:sz="0" w:space="0" w:color="auto"/>
        <w:left w:val="none" w:sz="0" w:space="0" w:color="auto"/>
        <w:bottom w:val="none" w:sz="0" w:space="0" w:color="auto"/>
        <w:right w:val="none" w:sz="0" w:space="0" w:color="auto"/>
      </w:divBdr>
    </w:div>
    <w:div w:id="1285187575">
      <w:bodyDiv w:val="1"/>
      <w:marLeft w:val="0"/>
      <w:marRight w:val="0"/>
      <w:marTop w:val="0"/>
      <w:marBottom w:val="0"/>
      <w:divBdr>
        <w:top w:val="none" w:sz="0" w:space="0" w:color="auto"/>
        <w:left w:val="none" w:sz="0" w:space="0" w:color="auto"/>
        <w:bottom w:val="none" w:sz="0" w:space="0" w:color="auto"/>
        <w:right w:val="none" w:sz="0" w:space="0" w:color="auto"/>
      </w:divBdr>
    </w:div>
    <w:div w:id="1292637418">
      <w:bodyDiv w:val="1"/>
      <w:marLeft w:val="0"/>
      <w:marRight w:val="0"/>
      <w:marTop w:val="0"/>
      <w:marBottom w:val="0"/>
      <w:divBdr>
        <w:top w:val="none" w:sz="0" w:space="0" w:color="auto"/>
        <w:left w:val="none" w:sz="0" w:space="0" w:color="auto"/>
        <w:bottom w:val="none" w:sz="0" w:space="0" w:color="auto"/>
        <w:right w:val="none" w:sz="0" w:space="0" w:color="auto"/>
      </w:divBdr>
    </w:div>
    <w:div w:id="15615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3FA1-E24C-4C56-80AB-28CB0FAE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2370</Words>
  <Characters>11591</Characters>
  <Application>Microsoft Office Word</Application>
  <DocSecurity>0</DocSecurity>
  <Lines>96</Lines>
  <Paragraphs>27</Paragraphs>
  <ScaleCrop>false</ScaleCrop>
  <Company>888TIGER</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國立臺灣大學醫學院附設醫院</dc:title>
  <dc:subject/>
  <dc:creator>TIGER-XP</dc:creator>
  <cp:keywords/>
  <cp:lastModifiedBy>承叡 林</cp:lastModifiedBy>
  <cp:revision>2</cp:revision>
  <cp:lastPrinted>2014-10-24T01:52:00Z</cp:lastPrinted>
  <dcterms:created xsi:type="dcterms:W3CDTF">2024-09-01T16:09:00Z</dcterms:created>
  <dcterms:modified xsi:type="dcterms:W3CDTF">2024-09-01T16:09:00Z</dcterms:modified>
</cp:coreProperties>
</file>