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E67CE">
      <w:pPr>
        <w:jc w:val="both"/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</w:pPr>
      <w:r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  <w:t>Supplymentary Materials for</w:t>
      </w:r>
    </w:p>
    <w:p w14:paraId="23126AE3">
      <w:pPr>
        <w:jc w:val="both"/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</w:pPr>
    </w:p>
    <w:p w14:paraId="496E1C14">
      <w:pPr>
        <w:shd w:val="clear" w:color="auto"/>
        <w:autoSpaceDE w:val="0"/>
        <w:autoSpaceDN w:val="0"/>
        <w:adjustRightInd w:val="0"/>
        <w:spacing w:line="480" w:lineRule="auto"/>
        <w:jc w:val="center"/>
        <w:rPr>
          <w:rFonts w:hint="default" w:ascii="Times New Roman" w:hAnsi="Times New Roman" w:cs="Times New Roman"/>
          <w:b/>
          <w:color w:val="auto"/>
          <w:sz w:val="24"/>
          <w:szCs w:val="24"/>
          <w:highlight w:val="none"/>
          <w:lang w:val="en-US" w:eastAsia="zh-CN"/>
        </w:rPr>
      </w:pPr>
    </w:p>
    <w:p w14:paraId="4D2EC98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>NCBP2 Predicts the Prognosis and the Immunotherapy Response of Cancers: A Pan-Cancer Analysis</w:t>
      </w:r>
      <w:bookmarkStart w:id="0" w:name="_GoBack"/>
      <w:bookmarkEnd w:id="0"/>
    </w:p>
    <w:p w14:paraId="68B40F7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>Shichao Li</w:t>
      </w:r>
      <w:r>
        <w:rPr>
          <w:rFonts w:hint="eastAsia"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hint="eastAsia" w:ascii="Times New Roman" w:hAnsi="Times New Roman" w:cs="Times New Roman"/>
          <w:sz w:val="24"/>
          <w:vertAlign w:val="superscript"/>
        </w:rPr>
        <w:t>#,</w:t>
      </w:r>
      <w:r>
        <w:rPr>
          <w:rFonts w:ascii="Times New Roman" w:hAnsi="Times New Roman" w:cs="Times New Roman"/>
          <w:sz w:val="24"/>
          <w:vertAlign w:val="superscript"/>
        </w:rPr>
        <w:t>*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Yulan Wang</w:t>
      </w:r>
      <w:r>
        <w:rPr>
          <w:rFonts w:hint="eastAsia" w:ascii="Times New Roman" w:hAnsi="Times New Roman" w:cs="Times New Roman"/>
          <w:sz w:val="24"/>
          <w:vertAlign w:val="superscript"/>
        </w:rPr>
        <w:t>1,</w:t>
      </w:r>
      <w:r>
        <w:rPr>
          <w:rFonts w:ascii="Times New Roman" w:hAnsi="Times New Roman" w:cs="Times New Roman"/>
          <w:sz w:val="24"/>
          <w:vertAlign w:val="superscript"/>
        </w:rPr>
        <w:t>#</w:t>
      </w:r>
      <w:r>
        <w:rPr>
          <w:rFonts w:hint="eastAsia" w:ascii="Times New Roman" w:hAnsi="Times New Roman" w:cs="Times New Roman"/>
          <w:sz w:val="24"/>
        </w:rPr>
        <w:t>, Xi Yang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Miao Li</w:t>
      </w: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hint="eastAsia" w:ascii="Times New Roman" w:hAnsi="Times New Roman" w:cs="Times New Roman"/>
          <w:sz w:val="24"/>
        </w:rPr>
        <w:t>, Guoxiang Li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, Qiangqiang Song</w:t>
      </w:r>
      <w:r>
        <w:rPr>
          <w:rFonts w:hint="eastAsia" w:ascii="Times New Roman" w:hAnsi="Times New Roman" w:cs="Times New Roman"/>
          <w:sz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</w:rPr>
        <w:t xml:space="preserve"> and J</w:t>
      </w:r>
      <w:r>
        <w:rPr>
          <w:rFonts w:ascii="Times New Roman" w:hAnsi="Times New Roman" w:cs="Times New Roman"/>
          <w:sz w:val="24"/>
        </w:rPr>
        <w:t>unyu Liu</w:t>
      </w:r>
      <w:r>
        <w:rPr>
          <w:rFonts w:hint="eastAsia" w:ascii="Times New Roman" w:hAnsi="Times New Roman" w:cs="Times New Roman"/>
          <w:sz w:val="24"/>
          <w:vertAlign w:val="superscript"/>
        </w:rPr>
        <w:t>4</w:t>
      </w:r>
      <w:r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hint="eastAsia" w:ascii="Times New Roman" w:hAnsi="Times New Roman" w:cs="Times New Roman"/>
          <w:sz w:val="24"/>
          <w:vertAlign w:val="superscript"/>
        </w:rPr>
        <w:t>*</w:t>
      </w:r>
    </w:p>
    <w:p w14:paraId="351780CB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hint="eastAsia" w:ascii="Times New Roman" w:hAnsi="Times New Roman" w:cs="Times New Roman"/>
          <w:i/>
          <w:sz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</w:rPr>
        <w:t>Department of Pathology, General Hospital of Xinjiang Military Command, Urumqi, Xinjiang, China;</w:t>
      </w:r>
    </w:p>
    <w:p w14:paraId="6C6710E9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i/>
          <w:sz w:val="24"/>
        </w:rPr>
        <w:t>Department of Medical Service, General Hospital of Xinjiang Military Command, Urumqi, Xinjiang, China</w:t>
      </w:r>
      <w:r>
        <w:rPr>
          <w:rFonts w:ascii="Times New Roman" w:hAnsi="Times New Roman" w:cs="Times New Roman"/>
          <w:i/>
          <w:sz w:val="24"/>
        </w:rPr>
        <w:t>;</w:t>
      </w:r>
    </w:p>
    <w:p w14:paraId="376AC0B8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hint="eastAsia" w:ascii="Times New Roman" w:hAnsi="Times New Roman" w:cs="Times New Roman"/>
          <w:i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>School of Rehabilitation Medicine, Xinjiang Medical University, Urumqi, Xinjiang, China;</w:t>
      </w:r>
    </w:p>
    <w:p w14:paraId="153EADCA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hint="eastAsia" w:ascii="Times New Roman" w:hAnsi="Times New Roman" w:cs="Times New Roman"/>
          <w:i/>
          <w:sz w:val="24"/>
          <w:vertAlign w:val="superscript"/>
        </w:rPr>
        <w:t>4</w:t>
      </w:r>
      <w:r>
        <w:rPr>
          <w:rFonts w:ascii="Times New Roman" w:hAnsi="Times New Roman" w:cs="Times New Roman"/>
          <w:i/>
          <w:sz w:val="24"/>
        </w:rPr>
        <w:t>Department of Gastroenterology, The Third Affiliated Hospital of Sun Yat-Sen University, Guangzhou, China</w:t>
      </w:r>
    </w:p>
    <w:p w14:paraId="30C3D05C">
      <w:pPr>
        <w:spacing w:line="480" w:lineRule="auto"/>
        <w:rPr>
          <w:rFonts w:ascii="Times New Roman" w:hAnsi="Times New Roman" w:eastAsia="等线" w:cs="Times New Roman"/>
          <w:i/>
          <w:sz w:val="24"/>
        </w:rPr>
      </w:pPr>
      <w:r>
        <w:rPr>
          <w:rFonts w:ascii="Times New Roman" w:hAnsi="Times New Roman" w:eastAsia="等线" w:cs="Times New Roman"/>
          <w:i/>
          <w:sz w:val="24"/>
          <w:vertAlign w:val="superscript"/>
        </w:rPr>
        <w:t>#</w:t>
      </w:r>
      <w:r>
        <w:rPr>
          <w:rFonts w:ascii="Times New Roman" w:hAnsi="Times New Roman" w:eastAsia="等线" w:cs="Times New Roman"/>
          <w:i/>
          <w:sz w:val="24"/>
        </w:rPr>
        <w:t>These authors contributed equally to this work;</w:t>
      </w:r>
    </w:p>
    <w:p w14:paraId="655724B5">
      <w:pPr>
        <w:autoSpaceDE w:val="0"/>
        <w:autoSpaceDN w:val="0"/>
        <w:spacing w:line="480" w:lineRule="auto"/>
        <w:rPr>
          <w:rFonts w:ascii="Times New Roman" w:hAnsi="Times New Roman" w:eastAsia="等线" w:cs="Times New Roman"/>
          <w:i/>
          <w:sz w:val="24"/>
        </w:rPr>
      </w:pPr>
      <w:r>
        <w:rPr>
          <w:rFonts w:ascii="Times New Roman" w:hAnsi="Times New Roman" w:eastAsia="等线" w:cs="Times New Roman"/>
          <w:i/>
          <w:sz w:val="24"/>
        </w:rPr>
        <w:t>*Corresponding authors.</w:t>
      </w:r>
    </w:p>
    <w:p w14:paraId="5BCDBB34">
      <w:pPr>
        <w:shd w:val="clear" w:color="auto"/>
        <w:spacing w:line="480" w:lineRule="auto"/>
        <w:jc w:val="both"/>
        <w:rPr>
          <w:rFonts w:hint="eastAsia" w:ascii="Times New Roman" w:hAnsi="Times New Roman" w:cs="Times New Roman" w:eastAsiaTheme="minorEastAsia"/>
          <w:i/>
          <w:color w:val="1E1C11" w:themeColor="background2" w:themeShade="1A"/>
          <w:sz w:val="24"/>
          <w:szCs w:val="24"/>
          <w:highlight w:val="none"/>
          <w:shd w:val="clear" w:color="auto" w:fill="auto"/>
          <w:lang w:val="en-US" w:eastAsia="zh-CN"/>
        </w:rPr>
      </w:pPr>
      <w:r>
        <w:rPr>
          <w:rFonts w:ascii="Times New Roman" w:hAnsi="Times New Roman" w:cs="Times New Roman"/>
          <w:b/>
          <w:sz w:val="24"/>
        </w:rPr>
        <w:t>Corresponding Authors: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Cs/>
          <w:sz w:val="24"/>
        </w:rPr>
        <w:t xml:space="preserve">Dr. Junyu Liu (ljysci@foxmail.com). </w:t>
      </w:r>
      <w:r>
        <w:rPr>
          <w:rFonts w:ascii="Times New Roman" w:hAnsi="Times New Roman" w:cs="Times New Roman"/>
          <w:bCs/>
          <w:iCs/>
          <w:sz w:val="24"/>
        </w:rPr>
        <w:t>Department of Gastroenterology, The Third Affiliated Hospital of Sun Yat-Sen University, Guangzhou, China</w:t>
      </w:r>
      <w:r>
        <w:rPr>
          <w:rFonts w:hint="eastAsia" w:ascii="Times New Roman" w:hAnsi="Times New Roman" w:cs="Times New Roman"/>
          <w:bCs/>
          <w:iCs/>
          <w:sz w:val="24"/>
        </w:rPr>
        <w:t xml:space="preserve">; </w:t>
      </w:r>
      <w:r>
        <w:rPr>
          <w:rFonts w:ascii="Times New Roman" w:hAnsi="Times New Roman" w:cs="Times New Roman"/>
          <w:bCs/>
          <w:sz w:val="24"/>
        </w:rPr>
        <w:t>Dr. Shichao Li (lishichao1208@126.com). Department of Pathology, General Hospital of Xinjiang Military Command, Youhao Bei street of the region of Shayibake, 830000 Urumqi, Xinjiang, China</w:t>
      </w:r>
      <w:r>
        <w:rPr>
          <w:rFonts w:hint="eastAsia" w:ascii="Times New Roman" w:hAnsi="Times New Roman" w:cs="Times New Roman"/>
          <w:bCs/>
          <w:sz w:val="24"/>
        </w:rPr>
        <w:t>.</w:t>
      </w:r>
    </w:p>
    <w:p w14:paraId="0AB780A2">
      <w:pPr>
        <w:shd w:val="clear" w:color="auto"/>
        <w:spacing w:line="480" w:lineRule="auto"/>
        <w:jc w:val="both"/>
        <w:rPr>
          <w:rFonts w:hint="eastAsia" w:ascii="Times New Roman" w:hAnsi="Times New Roman" w:cs="Times New Roman" w:eastAsiaTheme="minorEastAsia"/>
          <w:i/>
          <w:color w:val="1E1C11" w:themeColor="background2" w:themeShade="1A"/>
          <w:sz w:val="24"/>
          <w:szCs w:val="24"/>
          <w:highlight w:val="none"/>
          <w:lang w:val="en-US" w:eastAsia="zh-CN"/>
        </w:rPr>
      </w:pPr>
    </w:p>
    <w:p w14:paraId="14C03F03">
      <w:pPr>
        <w:jc w:val="both"/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</w:pPr>
    </w:p>
    <w:p w14:paraId="570C08E1">
      <w:pPr>
        <w:jc w:val="both"/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</w:pPr>
      <w:r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  <w:br w:type="page"/>
      </w:r>
    </w:p>
    <w:p w14:paraId="627F49A0">
      <w:pPr>
        <w:jc w:val="both"/>
        <w:rPr>
          <w:rFonts w:hint="eastAsia" w:eastAsia="宋体"/>
          <w:b/>
          <w:bCs/>
          <w:color w:val="1E1C11" w:themeColor="background2" w:themeShade="1A"/>
          <w:highlight w:val="none"/>
          <w:vertAlign w:val="baseline"/>
          <w:lang w:val="en-US" w:eastAsia="zh-CN"/>
        </w:rPr>
      </w:pPr>
    </w:p>
    <w:p w14:paraId="26AB9B32">
      <w:pPr>
        <w:jc w:val="both"/>
        <w:rPr>
          <w:rFonts w:ascii="Cambria" w:hAnsi="Cambria"/>
          <w:b/>
          <w:color w:val="1E1C11" w:themeColor="background2" w:themeShade="1A"/>
          <w:sz w:val="24"/>
          <w:szCs w:val="24"/>
          <w:highlight w:val="none"/>
        </w:rPr>
      </w:pPr>
      <w:r>
        <w:rPr>
          <w:rFonts w:ascii="Cambria" w:hAnsi="Cambria"/>
          <w:b/>
          <w:color w:val="1E1C11" w:themeColor="background2" w:themeShade="1A"/>
          <w:sz w:val="24"/>
          <w:szCs w:val="24"/>
          <w:highlight w:val="none"/>
        </w:rPr>
        <w:t>Supplementary Figures</w:t>
      </w:r>
    </w:p>
    <w:p w14:paraId="0DAC0460">
      <w:pPr>
        <w:spacing w:line="360" w:lineRule="auto"/>
        <w:jc w:val="both"/>
        <w:rPr>
          <w:rFonts w:ascii="Cambria" w:hAnsi="Cambria"/>
          <w:b/>
          <w:color w:val="1E1C11" w:themeColor="background2" w:themeShade="1A"/>
          <w:szCs w:val="21"/>
          <w:highlight w:val="none"/>
        </w:rPr>
      </w:pPr>
      <w:r>
        <w:rPr>
          <w:rFonts w:hint="eastAsia" w:ascii="Cambria" w:hAnsi="Cambria" w:eastAsia="宋体"/>
          <w:b/>
          <w:color w:val="1E1C11" w:themeColor="background2" w:themeShade="1A"/>
          <w:sz w:val="24"/>
          <w:szCs w:val="24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179070</wp:posOffset>
            </wp:positionV>
            <wp:extent cx="5400040" cy="6352540"/>
            <wp:effectExtent l="0" t="0" r="635" b="635"/>
            <wp:wrapTopAndBottom/>
            <wp:docPr id="1" name="图片 1" descr="s.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.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1E1C11" w:themeColor="background2" w:themeShade="1A"/>
          <w:szCs w:val="21"/>
          <w:highlight w:val="none"/>
        </w:rPr>
        <w:t>Supplementary Figure 1</w:t>
      </w:r>
    </w:p>
    <w:p w14:paraId="1E6301F9">
      <w:pPr>
        <w:adjustRightInd w:val="0"/>
        <w:snapToGrid w:val="0"/>
        <w:spacing w:line="360" w:lineRule="auto"/>
        <w:jc w:val="both"/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</w:pPr>
      <w:r>
        <w:rPr>
          <w:rFonts w:hint="eastAsia" w:ascii="Cambria" w:hAnsi="Cambria"/>
          <w:color w:val="1E1C11" w:themeColor="background2" w:themeShade="1A"/>
          <w:highlight w:val="none"/>
        </w:rPr>
        <w:t xml:space="preserve">the relationship between </w:t>
      </w:r>
      <w:r>
        <w:rPr>
          <w:rFonts w:hint="eastAsia" w:ascii="Cambria" w:hAnsi="Cambria"/>
          <w:i/>
          <w:iCs/>
          <w:color w:val="1E1C11" w:themeColor="background2" w:themeShade="1A"/>
          <w:highlight w:val="none"/>
        </w:rPr>
        <w:t>NCBP2</w:t>
      </w:r>
      <w:r>
        <w:rPr>
          <w:rFonts w:hint="eastAsia" w:ascii="Cambria" w:hAnsi="Cambria"/>
          <w:color w:val="1E1C11" w:themeColor="background2" w:themeShade="1A"/>
          <w:highlight w:val="none"/>
        </w:rPr>
        <w:t xml:space="preserve"> expression and copy numbers in top five cancers</w:t>
      </w: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t>: LUSC, ESEA, OV, HNSC and CESC.</w:t>
      </w:r>
    </w:p>
    <w:p w14:paraId="35D8972E">
      <w:pP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</w:pP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br w:type="page"/>
      </w:r>
    </w:p>
    <w:p w14:paraId="43CF0F97">
      <w:pPr>
        <w:adjustRightInd w:val="0"/>
        <w:snapToGrid w:val="0"/>
        <w:spacing w:line="360" w:lineRule="auto"/>
        <w:jc w:val="both"/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</w:pP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drawing>
          <wp:inline distT="0" distB="0" distL="114300" distR="114300">
            <wp:extent cx="5274310" cy="4375150"/>
            <wp:effectExtent l="0" t="0" r="0" b="0"/>
            <wp:docPr id="5" name="图片 5" descr="s.Figu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.Figue2"/>
                    <pic:cNvPicPr>
                      <a:picLocks noChangeAspect="1"/>
                    </pic:cNvPicPr>
                  </pic:nvPicPr>
                  <pic:blipFill>
                    <a:blip r:embed="rId5"/>
                    <a:srcRect r="8322" b="353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2D08">
      <w:pPr>
        <w:spacing w:line="360" w:lineRule="auto"/>
        <w:jc w:val="both"/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eastAsia="zh-CN"/>
        </w:rPr>
      </w:pPr>
      <w:r>
        <w:rPr>
          <w:rFonts w:ascii="Cambria" w:hAnsi="Cambria"/>
          <w:b/>
          <w:color w:val="1E1C11" w:themeColor="background2" w:themeShade="1A"/>
          <w:szCs w:val="21"/>
          <w:highlight w:val="none"/>
        </w:rPr>
        <w:t xml:space="preserve">Supplementary Figure </w:t>
      </w:r>
      <w:r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val="en-US" w:eastAsia="zh-CN"/>
        </w:rPr>
        <w:t>2</w:t>
      </w:r>
    </w:p>
    <w:p w14:paraId="57F52082">
      <w:pPr>
        <w:adjustRightInd w:val="0"/>
        <w:snapToGrid w:val="0"/>
        <w:spacing w:line="360" w:lineRule="auto"/>
        <w:jc w:val="both"/>
        <w:rPr>
          <w:rFonts w:hint="default" w:ascii="Cambria" w:hAnsi="Cambria"/>
          <w:color w:val="1E1C11" w:themeColor="background2" w:themeShade="1A"/>
          <w:highlight w:val="none"/>
          <w:lang w:val="en-US" w:eastAsia="zh-CN"/>
        </w:rPr>
      </w:pPr>
      <w:r>
        <w:rPr>
          <w:rFonts w:hint="eastAsia" w:ascii="Cambria" w:hAnsi="Cambria"/>
          <w:color w:val="1E1C11" w:themeColor="background2" w:themeShade="1A"/>
          <w:highlight w:val="none"/>
        </w:rPr>
        <w:t xml:space="preserve">the </w:t>
      </w:r>
      <w:r>
        <w:rPr>
          <w:rFonts w:hint="eastAsia" w:ascii="Cambria" w:hAnsi="Cambria"/>
          <w:color w:val="1E1C11" w:themeColor="background2" w:themeShade="1A"/>
          <w:highlight w:val="none"/>
          <w:lang w:val="en-US" w:eastAsia="zh-CN"/>
        </w:rPr>
        <w:t>expression of NCBP2 in LUSC, PAAD, KIRP and KIRC was detected by Immunohistochemistry.</w:t>
      </w:r>
    </w:p>
    <w:p w14:paraId="2A9D3669">
      <w:pPr>
        <w:adjustRightInd w:val="0"/>
        <w:snapToGrid w:val="0"/>
        <w:spacing w:line="360" w:lineRule="auto"/>
        <w:jc w:val="both"/>
        <w:rPr>
          <w:rFonts w:hint="default" w:ascii="Cambria" w:hAnsi="Cambria" w:eastAsia="宋体"/>
          <w:color w:val="1E1C11" w:themeColor="background2" w:themeShade="1A"/>
          <w:highlight w:val="none"/>
          <w:lang w:val="en-US" w:eastAsia="zh-CN"/>
        </w:rPr>
      </w:pPr>
    </w:p>
    <w:p w14:paraId="787035ED">
      <w:pPr>
        <w:jc w:val="both"/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</w:pP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br w:type="page"/>
      </w:r>
    </w:p>
    <w:p w14:paraId="35770257">
      <w:pPr>
        <w:adjustRightInd w:val="0"/>
        <w:snapToGrid w:val="0"/>
        <w:spacing w:line="360" w:lineRule="auto"/>
        <w:jc w:val="both"/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eastAsia="zh-CN"/>
        </w:rPr>
      </w:pPr>
      <w:r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eastAsia="zh-CN"/>
        </w:rPr>
        <w:drawing>
          <wp:inline distT="0" distB="0" distL="114300" distR="114300">
            <wp:extent cx="5348605" cy="6205855"/>
            <wp:effectExtent l="0" t="0" r="4445" b="4445"/>
            <wp:docPr id="3" name="图片 3" descr="s.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.Figure 3"/>
                    <pic:cNvPicPr>
                      <a:picLocks noChangeAspect="1"/>
                    </pic:cNvPicPr>
                  </pic:nvPicPr>
                  <pic:blipFill>
                    <a:blip r:embed="rId6"/>
                    <a:srcRect b="17965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A55C">
      <w:pPr>
        <w:adjustRightInd w:val="0"/>
        <w:snapToGrid w:val="0"/>
        <w:spacing w:line="360" w:lineRule="auto"/>
        <w:jc w:val="both"/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val="en-US" w:eastAsia="zh-CN"/>
        </w:rPr>
      </w:pPr>
      <w:r>
        <w:rPr>
          <w:rFonts w:ascii="Cambria" w:hAnsi="Cambria"/>
          <w:b/>
          <w:color w:val="1E1C11" w:themeColor="background2" w:themeShade="1A"/>
          <w:szCs w:val="21"/>
          <w:highlight w:val="none"/>
        </w:rPr>
        <w:t xml:space="preserve">Supplementary Figure </w:t>
      </w:r>
      <w:r>
        <w:rPr>
          <w:rFonts w:hint="eastAsia" w:ascii="Cambria" w:hAnsi="Cambria" w:eastAsia="宋体"/>
          <w:b/>
          <w:color w:val="1E1C11" w:themeColor="background2" w:themeShade="1A"/>
          <w:szCs w:val="21"/>
          <w:highlight w:val="none"/>
          <w:lang w:val="en-US" w:eastAsia="zh-CN"/>
        </w:rPr>
        <w:t>3</w:t>
      </w:r>
    </w:p>
    <w:p w14:paraId="02BCDEBC">
      <w:pPr>
        <w:numPr>
          <w:ilvl w:val="0"/>
          <w:numId w:val="2"/>
        </w:numPr>
        <w:adjustRightInd w:val="0"/>
        <w:snapToGrid w:val="0"/>
        <w:spacing w:line="360" w:lineRule="auto"/>
        <w:jc w:val="both"/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</w:pPr>
      <w:r>
        <w:rPr>
          <w:rFonts w:hint="eastAsia" w:ascii="Cambria" w:hAnsi="Cambria"/>
          <w:color w:val="1E1C11" w:themeColor="background2" w:themeShade="1A"/>
          <w:highlight w:val="none"/>
        </w:rPr>
        <w:t>T</w:t>
      </w: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t>he relationship between NCBP2 and disease specific survival (DSS);</w:t>
      </w:r>
    </w:p>
    <w:p w14:paraId="6AA32522">
      <w:pPr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B-G. The DSS were compared between 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NCBP2 high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NCBP2 low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 groups using Kaplan-Meier analysis for UCEC (B), PAAD (C), LIHC (D), KIRC (E), KICH (F) and KIRP (G); </w:t>
      </w:r>
    </w:p>
    <w:p w14:paraId="3C902A35">
      <w:pPr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</w:pP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t xml:space="preserve">H. </w:t>
      </w:r>
      <w:r>
        <w:rPr>
          <w:rFonts w:hint="eastAsia" w:ascii="Cambria" w:hAnsi="Cambria"/>
          <w:color w:val="1E1C11" w:themeColor="background2" w:themeShade="1A"/>
          <w:highlight w:val="none"/>
        </w:rPr>
        <w:t>T</w:t>
      </w:r>
      <w:r>
        <w:rPr>
          <w:rFonts w:hint="eastAsia" w:ascii="Cambria" w:hAnsi="Cambria" w:eastAsia="宋体"/>
          <w:color w:val="1E1C11" w:themeColor="background2" w:themeShade="1A"/>
          <w:highlight w:val="none"/>
          <w:lang w:val="en-US" w:eastAsia="zh-CN"/>
        </w:rPr>
        <w:t>he relationship between NCBP2 and progress free interval (PFI);</w:t>
      </w:r>
    </w:p>
    <w:p w14:paraId="50EA21E9">
      <w:pPr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I-N. The PFI were compared between 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NCBP2 high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NCBP2 low</w:t>
      </w:r>
      <w:r>
        <w:rPr>
          <w:rFonts w:hint="default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color w:val="1E1C11" w:themeColor="background2" w:themeShade="1A"/>
          <w:sz w:val="24"/>
          <w:szCs w:val="24"/>
          <w:highlight w:val="none"/>
          <w:lang w:val="en-US" w:eastAsia="zh-CN"/>
        </w:rPr>
        <w:t xml:space="preserve"> groups using Kaplan-Meier analysis for UCEC (I), PAAD (J), LIHC (K), KIRC (L), KICH (M) and KIRP (N).</w:t>
      </w:r>
    </w:p>
    <w:p w14:paraId="1667AD9B">
      <w:pP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  <w:br w:type="page"/>
      </w:r>
    </w:p>
    <w:p w14:paraId="4128485B">
      <w:pPr>
        <w:jc w:val="center"/>
        <w:rPr>
          <w:b/>
          <w:bCs/>
          <w:color w:val="1E1C11" w:themeColor="background2" w:themeShade="1A"/>
          <w:highlight w:val="none"/>
          <w:vertAlign w:val="baseline"/>
        </w:rPr>
      </w:pPr>
      <w: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color w:val="1E1C11" w:themeColor="background2" w:themeShade="1A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bCs/>
          <w:color w:val="1E1C11" w:themeColor="background2" w:themeShade="1A"/>
          <w:sz w:val="24"/>
          <w:szCs w:val="24"/>
          <w:highlight w:val="none"/>
          <w:lang w:val="en-US" w:eastAsia="zh-CN"/>
        </w:rPr>
        <w:t>. A</w:t>
      </w:r>
      <w: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  <w:t xml:space="preserve">bbreviations of </w:t>
      </w:r>
      <w:r>
        <w:rPr>
          <w:rFonts w:hint="eastAsia" w:ascii="Times New Roman" w:hAnsi="Times New Roman" w:eastAsia="宋体" w:cs="Times New Roman"/>
          <w:b/>
          <w:bCs/>
          <w:color w:val="1E1C11" w:themeColor="background2" w:themeShade="1A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color w:val="1E1C11" w:themeColor="background2" w:themeShade="1A"/>
          <w:sz w:val="24"/>
          <w:szCs w:val="24"/>
          <w:highlight w:val="none"/>
        </w:rPr>
        <w:t>ancers</w:t>
      </w:r>
    </w:p>
    <w:p w14:paraId="483BF1F6">
      <w:pPr>
        <w:jc w:val="both"/>
        <w:rPr>
          <w:color w:val="1E1C11" w:themeColor="background2" w:themeShade="1A"/>
          <w:highlight w:val="none"/>
          <w:vertAlign w:val="baseline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7137"/>
      </w:tblGrid>
      <w:tr w14:paraId="7C1F8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C9F7859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THYM</w:t>
            </w:r>
          </w:p>
        </w:tc>
        <w:tc>
          <w:tcPr>
            <w:tcW w:w="7137" w:type="dxa"/>
            <w:vAlign w:val="center"/>
          </w:tcPr>
          <w:p w14:paraId="10DDF9A6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Thymoma</w:t>
            </w:r>
          </w:p>
        </w:tc>
      </w:tr>
      <w:tr w14:paraId="70F35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29484EE1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KICH</w:t>
            </w:r>
          </w:p>
        </w:tc>
        <w:tc>
          <w:tcPr>
            <w:tcW w:w="7137" w:type="dxa"/>
            <w:vAlign w:val="center"/>
          </w:tcPr>
          <w:p w14:paraId="67322136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Kidney Chromophobe</w:t>
            </w:r>
          </w:p>
        </w:tc>
      </w:tr>
      <w:tr w14:paraId="1CAD8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69CE5CD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LAML</w:t>
            </w:r>
          </w:p>
        </w:tc>
        <w:tc>
          <w:tcPr>
            <w:tcW w:w="7137" w:type="dxa"/>
            <w:vAlign w:val="center"/>
          </w:tcPr>
          <w:p w14:paraId="112B28F8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Acute Myeloid Leukemia</w:t>
            </w:r>
          </w:p>
        </w:tc>
      </w:tr>
      <w:tr w14:paraId="72CAF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5F4B3088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THCA</w:t>
            </w:r>
          </w:p>
        </w:tc>
        <w:tc>
          <w:tcPr>
            <w:tcW w:w="7137" w:type="dxa"/>
            <w:vAlign w:val="center"/>
          </w:tcPr>
          <w:p w14:paraId="6B1FE491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Thyroid carcinoma</w:t>
            </w:r>
          </w:p>
        </w:tc>
      </w:tr>
      <w:tr w14:paraId="45DE4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19E112C6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COADREAD</w:t>
            </w:r>
          </w:p>
        </w:tc>
        <w:tc>
          <w:tcPr>
            <w:tcW w:w="7137" w:type="dxa"/>
            <w:vAlign w:val="center"/>
          </w:tcPr>
          <w:p w14:paraId="742A8D51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Colorectal carcinoma</w:t>
            </w:r>
          </w:p>
        </w:tc>
      </w:tr>
      <w:tr w14:paraId="7C2F4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6F8E22A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TGCT</w:t>
            </w:r>
          </w:p>
        </w:tc>
        <w:tc>
          <w:tcPr>
            <w:tcW w:w="7137" w:type="dxa"/>
            <w:vAlign w:val="center"/>
          </w:tcPr>
          <w:p w14:paraId="73D150C0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Testicular Germ Cell Tumors</w:t>
            </w:r>
          </w:p>
        </w:tc>
      </w:tr>
      <w:tr w14:paraId="403B3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27DC6626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KIRP</w:t>
            </w:r>
          </w:p>
        </w:tc>
        <w:tc>
          <w:tcPr>
            <w:tcW w:w="7137" w:type="dxa"/>
            <w:vAlign w:val="center"/>
          </w:tcPr>
          <w:p w14:paraId="210692EF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Kidney renal papillary cell carcinoma</w:t>
            </w:r>
          </w:p>
        </w:tc>
      </w:tr>
      <w:tr w14:paraId="6DF6F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4BF58EEF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ACC</w:t>
            </w:r>
          </w:p>
        </w:tc>
        <w:tc>
          <w:tcPr>
            <w:tcW w:w="7137" w:type="dxa"/>
            <w:vAlign w:val="center"/>
          </w:tcPr>
          <w:p w14:paraId="050C7659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  <w:t>Adrenocortical carcinoma</w:t>
            </w:r>
          </w:p>
        </w:tc>
      </w:tr>
      <w:tr w14:paraId="50204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2AA7878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GBM</w:t>
            </w:r>
          </w:p>
        </w:tc>
        <w:tc>
          <w:tcPr>
            <w:tcW w:w="7137" w:type="dxa"/>
            <w:vAlign w:val="center"/>
          </w:tcPr>
          <w:p w14:paraId="09230D16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Glioblastoma multiforme</w:t>
            </w:r>
          </w:p>
        </w:tc>
      </w:tr>
      <w:tr w14:paraId="01271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20CFA1D4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SKCM</w:t>
            </w:r>
          </w:p>
        </w:tc>
        <w:tc>
          <w:tcPr>
            <w:tcW w:w="7137" w:type="dxa"/>
            <w:vAlign w:val="center"/>
          </w:tcPr>
          <w:p w14:paraId="352185DF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Skin Cutaneous Melanoma</w:t>
            </w:r>
          </w:p>
        </w:tc>
      </w:tr>
      <w:tr w14:paraId="3D640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13A2B8A9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LIHC</w:t>
            </w:r>
          </w:p>
        </w:tc>
        <w:tc>
          <w:tcPr>
            <w:tcW w:w="7137" w:type="dxa"/>
            <w:vAlign w:val="center"/>
          </w:tcPr>
          <w:p w14:paraId="585C3AE9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Liver hepatocellular carcinoma</w:t>
            </w:r>
          </w:p>
        </w:tc>
      </w:tr>
      <w:tr w14:paraId="0C577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3D964D5D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KIRC</w:t>
            </w:r>
          </w:p>
        </w:tc>
        <w:tc>
          <w:tcPr>
            <w:tcW w:w="7137" w:type="dxa"/>
            <w:vAlign w:val="center"/>
          </w:tcPr>
          <w:p w14:paraId="75715BF0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Kidney renal clear cell carcinoma</w:t>
            </w:r>
          </w:p>
        </w:tc>
      </w:tr>
      <w:tr w14:paraId="11B31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A3A900E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PAAD</w:t>
            </w:r>
          </w:p>
        </w:tc>
        <w:tc>
          <w:tcPr>
            <w:tcW w:w="7137" w:type="dxa"/>
            <w:vAlign w:val="center"/>
          </w:tcPr>
          <w:p w14:paraId="7A2735B5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Pancreatic adenocarcinoma</w:t>
            </w:r>
          </w:p>
        </w:tc>
      </w:tr>
      <w:tr w14:paraId="63613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2090299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LGG</w:t>
            </w:r>
          </w:p>
        </w:tc>
        <w:tc>
          <w:tcPr>
            <w:tcW w:w="7137" w:type="dxa"/>
            <w:vAlign w:val="center"/>
          </w:tcPr>
          <w:p w14:paraId="1FF69C99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Brain Lower Grade Glioma</w:t>
            </w:r>
          </w:p>
        </w:tc>
      </w:tr>
      <w:tr w14:paraId="36DF6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4ABD37D9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CHOL</w:t>
            </w:r>
          </w:p>
        </w:tc>
        <w:tc>
          <w:tcPr>
            <w:tcW w:w="7137" w:type="dxa"/>
            <w:vAlign w:val="center"/>
          </w:tcPr>
          <w:p w14:paraId="3E42381A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Cholangio carcinoma</w:t>
            </w:r>
          </w:p>
        </w:tc>
      </w:tr>
      <w:tr w14:paraId="24DAA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E3D29BA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BRCA</w:t>
            </w:r>
          </w:p>
        </w:tc>
        <w:tc>
          <w:tcPr>
            <w:tcW w:w="7137" w:type="dxa"/>
            <w:vAlign w:val="center"/>
          </w:tcPr>
          <w:p w14:paraId="3B5E31B6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Breast invasive carcinoma</w:t>
            </w:r>
          </w:p>
        </w:tc>
      </w:tr>
      <w:tr w14:paraId="0B8CB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D837F3A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PRAD</w:t>
            </w:r>
          </w:p>
        </w:tc>
        <w:tc>
          <w:tcPr>
            <w:tcW w:w="7137" w:type="dxa"/>
            <w:vAlign w:val="center"/>
          </w:tcPr>
          <w:p w14:paraId="4D7FA29A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Prostate adenocarcinoma</w:t>
            </w:r>
          </w:p>
        </w:tc>
      </w:tr>
      <w:tr w14:paraId="57019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CCF625D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LUAD</w:t>
            </w:r>
          </w:p>
        </w:tc>
        <w:tc>
          <w:tcPr>
            <w:tcW w:w="7137" w:type="dxa"/>
            <w:vAlign w:val="center"/>
          </w:tcPr>
          <w:p w14:paraId="73370510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Lung adenocarcinoma</w:t>
            </w:r>
          </w:p>
        </w:tc>
      </w:tr>
      <w:tr w14:paraId="4ECBB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FD8E03E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BLCA</w:t>
            </w:r>
          </w:p>
        </w:tc>
        <w:tc>
          <w:tcPr>
            <w:tcW w:w="7137" w:type="dxa"/>
            <w:vAlign w:val="center"/>
          </w:tcPr>
          <w:p w14:paraId="4DBA444D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Bladder Urothelial Carcinoma</w:t>
            </w:r>
          </w:p>
        </w:tc>
      </w:tr>
      <w:tr w14:paraId="6A0A1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4D57BB0C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STAD</w:t>
            </w:r>
          </w:p>
        </w:tc>
        <w:tc>
          <w:tcPr>
            <w:tcW w:w="7137" w:type="dxa"/>
            <w:vAlign w:val="center"/>
          </w:tcPr>
          <w:p w14:paraId="027FEB96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Stomach adenocarcinoma</w:t>
            </w:r>
          </w:p>
        </w:tc>
      </w:tr>
      <w:tr w14:paraId="6EB0A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2C51A731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DLBC</w:t>
            </w:r>
          </w:p>
        </w:tc>
        <w:tc>
          <w:tcPr>
            <w:tcW w:w="7137" w:type="dxa"/>
            <w:vAlign w:val="center"/>
          </w:tcPr>
          <w:p w14:paraId="20CAEC7E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Lymphoid Neoplasm Diffuse Large B-cell Lymphoma</w:t>
            </w:r>
          </w:p>
        </w:tc>
      </w:tr>
      <w:tr w14:paraId="7E678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1337011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UCEC</w:t>
            </w:r>
          </w:p>
        </w:tc>
        <w:tc>
          <w:tcPr>
            <w:tcW w:w="7137" w:type="dxa"/>
            <w:vAlign w:val="center"/>
          </w:tcPr>
          <w:p w14:paraId="3255D0A7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Uterine Corpus Endometrial Carcinoma</w:t>
            </w:r>
          </w:p>
        </w:tc>
      </w:tr>
      <w:tr w14:paraId="4A316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7B618F46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UCS</w:t>
            </w:r>
          </w:p>
        </w:tc>
        <w:tc>
          <w:tcPr>
            <w:tcW w:w="7137" w:type="dxa"/>
            <w:vAlign w:val="center"/>
          </w:tcPr>
          <w:p w14:paraId="40813F01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Uterine Carcinosarcoma</w:t>
            </w:r>
          </w:p>
        </w:tc>
      </w:tr>
      <w:tr w14:paraId="7AA1A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F2117D2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HNSC</w:t>
            </w:r>
          </w:p>
        </w:tc>
        <w:tc>
          <w:tcPr>
            <w:tcW w:w="7137" w:type="dxa"/>
            <w:vAlign w:val="center"/>
          </w:tcPr>
          <w:p w14:paraId="4C9BBDAE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Head and Neck Squamous Cell Carcinoma</w:t>
            </w:r>
          </w:p>
        </w:tc>
      </w:tr>
      <w:tr w14:paraId="2D401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EBF8DFC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CESC</w:t>
            </w:r>
          </w:p>
        </w:tc>
        <w:tc>
          <w:tcPr>
            <w:tcW w:w="7137" w:type="dxa"/>
            <w:vAlign w:val="center"/>
          </w:tcPr>
          <w:p w14:paraId="08E9941A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Cervical</w:t>
            </w: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squamous cell carcinoma and endocervical adenocarcinoma</w:t>
            </w:r>
          </w:p>
        </w:tc>
      </w:tr>
      <w:tr w14:paraId="68750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4DC0820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OV</w:t>
            </w:r>
          </w:p>
        </w:tc>
        <w:tc>
          <w:tcPr>
            <w:tcW w:w="7137" w:type="dxa"/>
            <w:vAlign w:val="center"/>
          </w:tcPr>
          <w:p w14:paraId="6D3A055B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Ovarian Serous Cystadenocarcinoma</w:t>
            </w:r>
          </w:p>
        </w:tc>
      </w:tr>
      <w:tr w14:paraId="700BB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CF4B384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ESCA</w:t>
            </w:r>
          </w:p>
        </w:tc>
        <w:tc>
          <w:tcPr>
            <w:tcW w:w="7137" w:type="dxa"/>
            <w:vAlign w:val="center"/>
          </w:tcPr>
          <w:p w14:paraId="6F94C7CE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Esophageal Carcinoma</w:t>
            </w:r>
          </w:p>
        </w:tc>
      </w:tr>
      <w:tr w14:paraId="25DEC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F8A5363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LUSC</w:t>
            </w:r>
          </w:p>
        </w:tc>
        <w:tc>
          <w:tcPr>
            <w:tcW w:w="7137" w:type="dxa"/>
            <w:vAlign w:val="center"/>
          </w:tcPr>
          <w:p w14:paraId="3A409FA2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Lung Squamous Cell Carcinoma</w:t>
            </w:r>
          </w:p>
        </w:tc>
      </w:tr>
      <w:tr w14:paraId="1649E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3B53C7C8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MESO</w:t>
            </w:r>
          </w:p>
        </w:tc>
        <w:tc>
          <w:tcPr>
            <w:tcW w:w="7137" w:type="dxa"/>
            <w:vAlign w:val="center"/>
          </w:tcPr>
          <w:p w14:paraId="735EE15D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Mesothelioma</w:t>
            </w:r>
          </w:p>
        </w:tc>
      </w:tr>
      <w:tr w14:paraId="6B043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47AA4909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PCPG</w:t>
            </w:r>
          </w:p>
        </w:tc>
        <w:tc>
          <w:tcPr>
            <w:tcW w:w="7137" w:type="dxa"/>
            <w:vAlign w:val="center"/>
          </w:tcPr>
          <w:p w14:paraId="11C286C2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Pheochromocytoma and Paraganglioma</w:t>
            </w:r>
          </w:p>
        </w:tc>
      </w:tr>
      <w:tr w14:paraId="2DE01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55CD5C8C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SARC</w:t>
            </w:r>
          </w:p>
        </w:tc>
        <w:tc>
          <w:tcPr>
            <w:tcW w:w="7137" w:type="dxa"/>
            <w:vAlign w:val="center"/>
          </w:tcPr>
          <w:p w14:paraId="1CCFED4D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Sarcoma</w:t>
            </w:r>
          </w:p>
        </w:tc>
      </w:tr>
      <w:tr w14:paraId="32D88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5D6B802A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UVM</w:t>
            </w:r>
          </w:p>
        </w:tc>
        <w:tc>
          <w:tcPr>
            <w:tcW w:w="7137" w:type="dxa"/>
            <w:vAlign w:val="center"/>
          </w:tcPr>
          <w:p w14:paraId="4D4113F3">
            <w:pPr>
              <w:widowControl w:val="0"/>
              <w:jc w:val="left"/>
              <w:rPr>
                <w:rFonts w:hint="default" w:ascii="Times New Roman" w:hAnsi="Times New Roman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>Uveal Melanoma</w:t>
            </w:r>
          </w:p>
        </w:tc>
      </w:tr>
      <w:tr w14:paraId="3FF56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B2EAAC2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0B8C5295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  <w:tr w14:paraId="7B17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14AE22E8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DEGs</w:t>
            </w:r>
          </w:p>
        </w:tc>
        <w:tc>
          <w:tcPr>
            <w:tcW w:w="7137" w:type="dxa"/>
            <w:vAlign w:val="center"/>
          </w:tcPr>
          <w:p w14:paraId="3CC8EF61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  <w:t xml:space="preserve"> differential expressed genes</w:t>
            </w:r>
          </w:p>
        </w:tc>
      </w:tr>
      <w:tr w14:paraId="6108D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7B2A0C90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GSEA</w:t>
            </w:r>
          </w:p>
        </w:tc>
        <w:tc>
          <w:tcPr>
            <w:tcW w:w="7137" w:type="dxa"/>
            <w:vAlign w:val="center"/>
          </w:tcPr>
          <w:p w14:paraId="7C335330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4"/>
                <w:highlight w:val="none"/>
                <w:shd w:val="clear" w:color="auto" w:fill="auto"/>
                <w:lang w:val="en-US" w:eastAsia="zh-CN"/>
              </w:rPr>
              <w:t>g</w:t>
            </w:r>
            <w:r>
              <w:rPr>
                <w:rFonts w:hint="eastAsia"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</w:rPr>
              <w:t xml:space="preserve">ene </w:t>
            </w: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4"/>
                <w:highlight w:val="none"/>
                <w:shd w:val="clear" w:color="auto" w:fill="auto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</w:rPr>
              <w:t>et</w:t>
            </w: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4"/>
                <w:highlight w:val="none"/>
                <w:shd w:val="clear" w:color="auto" w:fill="auto"/>
                <w:lang w:val="en-US" w:eastAsia="zh-CN"/>
              </w:rPr>
              <w:t xml:space="preserve"> e</w:t>
            </w:r>
            <w:r>
              <w:rPr>
                <w:rFonts w:hint="eastAsia"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</w:rPr>
              <w:t xml:space="preserve">nrichment </w:t>
            </w: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4"/>
                <w:highlight w:val="none"/>
                <w:shd w:val="clear" w:color="auto" w:fill="auto"/>
                <w:lang w:val="en-US" w:eastAsia="zh-CN"/>
              </w:rPr>
              <w:t>a</w:t>
            </w:r>
            <w:r>
              <w:rPr>
                <w:rFonts w:hint="eastAsia"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</w:rPr>
              <w:t>nalysis</w:t>
            </w:r>
          </w:p>
        </w:tc>
      </w:tr>
      <w:tr w14:paraId="1C930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386FEBB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  <w:t>CBC</w:t>
            </w:r>
          </w:p>
        </w:tc>
        <w:tc>
          <w:tcPr>
            <w:tcW w:w="7137" w:type="dxa"/>
            <w:vAlign w:val="center"/>
          </w:tcPr>
          <w:p w14:paraId="731B0736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  <w:lang w:val="en-US" w:eastAsia="zh-CN"/>
              </w:rPr>
              <w:t>c</w:t>
            </w:r>
            <w:r>
              <w:rPr>
                <w:rFonts w:ascii="Times New Roman" w:hAnsi="Times New Roman" w:cs="Times New Roman"/>
                <w:color w:val="1E1C11" w:themeColor="background2" w:themeShade="1A"/>
                <w:sz w:val="24"/>
                <w:highlight w:val="none"/>
                <w:shd w:val="clear" w:color="auto" w:fill="auto"/>
              </w:rPr>
              <w:t>ap-binding complex</w:t>
            </w:r>
          </w:p>
        </w:tc>
      </w:tr>
      <w:tr w14:paraId="05169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0C324A50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7366BD2B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  <w:tr w14:paraId="15ABB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4BDEFB31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20AF6C87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  <w:tr w14:paraId="3CE44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89C40C1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5FF04E7E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  <w:tr w14:paraId="5C7B3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3E21ED7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7D09DEFB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  <w:tr w14:paraId="1C464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45" w:type="dxa"/>
            <w:vAlign w:val="center"/>
          </w:tcPr>
          <w:p w14:paraId="64C70A86"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137" w:type="dxa"/>
            <w:vAlign w:val="center"/>
          </w:tcPr>
          <w:p w14:paraId="58496631">
            <w:pPr>
              <w:widowControl w:val="0"/>
              <w:jc w:val="left"/>
              <w:rPr>
                <w:rFonts w:hint="default" w:ascii="Times New Roman" w:hAnsi="Times New Roman" w:eastAsia="宋体" w:cs="Times New Roman"/>
                <w:color w:val="1E1C11" w:themeColor="background2" w:themeShade="1A"/>
                <w:sz w:val="21"/>
                <w:szCs w:val="21"/>
                <w:highlight w:val="none"/>
              </w:rPr>
            </w:pPr>
          </w:p>
        </w:tc>
      </w:tr>
    </w:tbl>
    <w:p w14:paraId="07B5B9CC">
      <w:pPr>
        <w:rPr>
          <w:color w:val="1E1C11" w:themeColor="background2" w:themeShade="1A"/>
          <w:highlight w:val="none"/>
        </w:rPr>
      </w:pPr>
    </w:p>
    <w:sectPr>
      <w:type w:val="continuous"/>
      <w:pgSz w:w="11900" w:h="16840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925FD"/>
    <w:multiLevelType w:val="multilevel"/>
    <w:tmpl w:val="07E925FD"/>
    <w:lvl w:ilvl="0" w:tentative="0">
      <w:start w:val="1"/>
      <w:numFmt w:val="decimal"/>
      <w:pStyle w:val="2"/>
      <w:lvlText w:val="%1."/>
      <w:lvlJc w:val="left"/>
      <w:pPr>
        <w:ind w:left="360" w:hanging="360"/>
      </w:pPr>
    </w:lvl>
    <w:lvl w:ilvl="1" w:tentative="0">
      <w:start w:val="1"/>
      <w:numFmt w:val="decimal"/>
      <w:pStyle w:val="3"/>
      <w:lvlText w:val="%1.%2."/>
      <w:lvlJc w:val="left"/>
      <w:pPr>
        <w:ind w:left="792" w:hanging="432"/>
      </w:pPr>
    </w:lvl>
    <w:lvl w:ilvl="2" w:tentative="0">
      <w:start w:val="1"/>
      <w:numFmt w:val="decimal"/>
      <w:pStyle w:val="4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BE343D1"/>
    <w:multiLevelType w:val="singleLevel"/>
    <w:tmpl w:val="5BE343D1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MjQwZmEyNGIwMzFmMWVlZDczNzRjNmVkOWZmZmMifQ=="/>
  </w:docVars>
  <w:rsids>
    <w:rsidRoot w:val="00B4379D"/>
    <w:rsid w:val="00036527"/>
    <w:rsid w:val="00073835"/>
    <w:rsid w:val="001379FE"/>
    <w:rsid w:val="001C0A13"/>
    <w:rsid w:val="001D75AB"/>
    <w:rsid w:val="0035500D"/>
    <w:rsid w:val="00362E65"/>
    <w:rsid w:val="004158F9"/>
    <w:rsid w:val="00457CF1"/>
    <w:rsid w:val="00747CCE"/>
    <w:rsid w:val="007B3E96"/>
    <w:rsid w:val="008F1F48"/>
    <w:rsid w:val="00901463"/>
    <w:rsid w:val="00946CB3"/>
    <w:rsid w:val="00AE18EF"/>
    <w:rsid w:val="00AE1BDD"/>
    <w:rsid w:val="00B3547C"/>
    <w:rsid w:val="00B4379D"/>
    <w:rsid w:val="00C27329"/>
    <w:rsid w:val="00C31EEB"/>
    <w:rsid w:val="00F12158"/>
    <w:rsid w:val="00FB63E7"/>
    <w:rsid w:val="00FC557F"/>
    <w:rsid w:val="01355A28"/>
    <w:rsid w:val="01817BA7"/>
    <w:rsid w:val="029A7D90"/>
    <w:rsid w:val="04FC43EA"/>
    <w:rsid w:val="05243941"/>
    <w:rsid w:val="0AF344E1"/>
    <w:rsid w:val="0B6A744E"/>
    <w:rsid w:val="0FC60169"/>
    <w:rsid w:val="11E97526"/>
    <w:rsid w:val="13877EBC"/>
    <w:rsid w:val="15604521"/>
    <w:rsid w:val="1B100797"/>
    <w:rsid w:val="1CCE26B8"/>
    <w:rsid w:val="1E547F75"/>
    <w:rsid w:val="2004529B"/>
    <w:rsid w:val="265821CF"/>
    <w:rsid w:val="2BE41365"/>
    <w:rsid w:val="2C7831CF"/>
    <w:rsid w:val="2CEF1D8D"/>
    <w:rsid w:val="2F364819"/>
    <w:rsid w:val="301E7ABA"/>
    <w:rsid w:val="32043315"/>
    <w:rsid w:val="354E2DBA"/>
    <w:rsid w:val="3D1D1A5A"/>
    <w:rsid w:val="3D665092"/>
    <w:rsid w:val="3EE85F48"/>
    <w:rsid w:val="405101E2"/>
    <w:rsid w:val="43734A17"/>
    <w:rsid w:val="45D265D4"/>
    <w:rsid w:val="46CF507D"/>
    <w:rsid w:val="4C240395"/>
    <w:rsid w:val="4DD4416D"/>
    <w:rsid w:val="4FED4628"/>
    <w:rsid w:val="52CE01B3"/>
    <w:rsid w:val="53001665"/>
    <w:rsid w:val="565B3956"/>
    <w:rsid w:val="5A00029F"/>
    <w:rsid w:val="5AEE605F"/>
    <w:rsid w:val="5B3F1D72"/>
    <w:rsid w:val="5B9C2783"/>
    <w:rsid w:val="67831162"/>
    <w:rsid w:val="72595A50"/>
    <w:rsid w:val="73F92038"/>
    <w:rsid w:val="753A180E"/>
    <w:rsid w:val="75513C6A"/>
    <w:rsid w:val="76487F5B"/>
    <w:rsid w:val="7962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pBdr>
        <w:bottom w:val="single" w:color="auto" w:sz="4" w:space="1"/>
      </w:pBdr>
      <w:spacing w:before="48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hAnsiTheme="majorHAnsi" w:eastAsiaTheme="majorEastAsia" w:cstheme="majorBidi"/>
      <w:b/>
      <w:bCs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1"/>
    <w:semiHidden/>
    <w:unhideWhenUsed/>
    <w:qFormat/>
    <w:uiPriority w:val="99"/>
    <w:rPr>
      <w:rFonts w:ascii="Lucida Grande" w:hAnsi="Lucida Grande"/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spacing w:after="100"/>
    </w:pPr>
  </w:style>
  <w:style w:type="paragraph" w:styleId="7">
    <w:name w:val="toc 2"/>
    <w:basedOn w:val="1"/>
    <w:next w:val="1"/>
    <w:unhideWhenUsed/>
    <w:qFormat/>
    <w:uiPriority w:val="39"/>
    <w:pPr>
      <w:spacing w:after="100"/>
      <w:ind w:left="24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Table Professional"/>
    <w:basedOn w:val="8"/>
    <w:semiHidden/>
    <w:unhideWhenUsed/>
    <w:qFormat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11">
    <w:name w:val="Light List Accent 2"/>
    <w:basedOn w:val="8"/>
    <w:qFormat/>
    <w:uiPriority w:val="61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character" w:customStyle="1" w:styleId="13">
    <w:name w:val="strong"/>
    <w:basedOn w:val="12"/>
    <w:qFormat/>
    <w:uiPriority w:val="1"/>
    <w:rPr>
      <w:b/>
    </w:rPr>
  </w:style>
  <w:style w:type="paragraph" w:customStyle="1" w:styleId="14">
    <w:name w:val="centered"/>
    <w:basedOn w:val="1"/>
    <w:qFormat/>
    <w:uiPriority w:val="0"/>
    <w:pPr>
      <w:jc w:val="center"/>
    </w:pPr>
  </w:style>
  <w:style w:type="table" w:customStyle="1" w:styleId="15">
    <w:name w:val="table_template"/>
    <w:basedOn w:val="8"/>
    <w:qFormat/>
    <w:uiPriority w:val="59"/>
    <w:pPr>
      <w:jc w:val="right"/>
    </w:pPr>
    <w:tblPr>
      <w:jc w:val="center"/>
      <w:tblBorders>
        <w:top w:val="single" w:color="auto" w:sz="8" w:space="0"/>
        <w:bottom w:val="single" w:color="auto" w:sz="8" w:space="0"/>
        <w:insideH w:val="single" w:color="auto" w:sz="8" w:space="0"/>
      </w:tblBorders>
    </w:tblPr>
    <w:trPr>
      <w:jc w:val="center"/>
    </w:trPr>
    <w:tblStylePr w:type="firstRow">
      <w:rPr>
        <w:b/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6">
    <w:name w:val="Titre 1 Car"/>
    <w:basedOn w:val="12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Titre 2 Car"/>
    <w:basedOn w:val="12"/>
    <w:link w:val="3"/>
    <w:semiHidden/>
    <w:qFormat/>
    <w:uiPriority w:val="9"/>
    <w:rPr>
      <w:rFonts w:asciiTheme="majorHAnsi" w:hAnsiTheme="majorHAnsi" w:eastAsiaTheme="majorEastAsia" w:cstheme="majorBidi"/>
      <w:b/>
      <w:bCs/>
      <w:sz w:val="26"/>
      <w:szCs w:val="26"/>
    </w:rPr>
  </w:style>
  <w:style w:type="character" w:customStyle="1" w:styleId="18">
    <w:name w:val="Titre 3 Car"/>
    <w:basedOn w:val="12"/>
    <w:link w:val="4"/>
    <w:semiHidden/>
    <w:qFormat/>
    <w:uiPriority w:val="9"/>
    <w:rPr>
      <w:rFonts w:asciiTheme="majorHAnsi" w:hAnsiTheme="majorHAnsi" w:eastAsiaTheme="majorEastAsia" w:cstheme="majorBidi"/>
      <w:b/>
      <w:bCs/>
    </w:rPr>
  </w:style>
  <w:style w:type="paragraph" w:customStyle="1" w:styleId="19">
    <w:name w:val="Image Caption"/>
    <w:basedOn w:val="1"/>
    <w:qFormat/>
    <w:uiPriority w:val="0"/>
    <w:pPr>
      <w:jc w:val="center"/>
    </w:pPr>
    <w:rPr>
      <w:b/>
      <w:i/>
    </w:rPr>
  </w:style>
  <w:style w:type="paragraph" w:customStyle="1" w:styleId="20">
    <w:name w:val="Table Caption"/>
    <w:basedOn w:val="19"/>
    <w:qFormat/>
    <w:uiPriority w:val="0"/>
  </w:style>
  <w:style w:type="character" w:customStyle="1" w:styleId="21">
    <w:name w:val="Texte de bulles Car"/>
    <w:basedOn w:val="12"/>
    <w:link w:val="5"/>
    <w:semiHidden/>
    <w:qFormat/>
    <w:uiPriority w:val="99"/>
    <w:rPr>
      <w:rFonts w:ascii="Lucida Grande" w:hAnsi="Lucida Grande"/>
      <w:sz w:val="18"/>
      <w:szCs w:val="18"/>
    </w:rPr>
  </w:style>
  <w:style w:type="character" w:customStyle="1" w:styleId="22">
    <w:name w:val="reference_id"/>
    <w:basedOn w:val="12"/>
    <w:qFormat/>
    <w:uiPriority w:val="1"/>
    <w:rPr>
      <w:vertAlign w:val="superscript"/>
    </w:rPr>
  </w:style>
  <w:style w:type="paragraph" w:customStyle="1" w:styleId="23">
    <w:name w:val="graphic title"/>
    <w:basedOn w:val="19"/>
    <w:next w:val="1"/>
    <w:qFormat/>
    <w:uiPriority w:val="0"/>
  </w:style>
  <w:style w:type="paragraph" w:customStyle="1" w:styleId="24">
    <w:name w:val="table title"/>
    <w:basedOn w:val="20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155</Words>
  <Characters>1053</Characters>
  <Lines>0</Lines>
  <Paragraphs>0</Paragraphs>
  <TotalTime>0</TotalTime>
  <ScaleCrop>false</ScaleCrop>
  <LinksUpToDate>false</LinksUpToDate>
  <CharactersWithSpaces>1196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2017-02-28T11:18:00Z</dcterms:created>
  <dc:creator>lsc</dc:creator>
  <cp:lastModifiedBy>lsc</cp:lastModifiedBy>
  <cp:lastPrinted>2024-12-31T14:09:00Z</cp:lastPrinted>
  <dcterms:modified xsi:type="dcterms:W3CDTF">2025-01-18T13:28:27Z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3845EE26907C49B492E2A29229B462E5</vt:lpwstr>
  </property>
  <property fmtid="{D5CDD505-2E9C-101B-9397-08002B2CF9AE}" pid="4" name="KSOTemplateDocerSaveRecord">
    <vt:lpwstr>eyJoZGlkIjoiYjJkMTM4NjBkNGJmODFkZDY3MGFhNTk2ZTRmNWYyNjkiLCJ1c2VySWQiOiIzNDUzNzY0OTQifQ==</vt:lpwstr>
  </property>
</Properties>
</file>