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63368" w14:textId="198C3EFC" w:rsidR="00FC02A6" w:rsidRPr="00846D13" w:rsidRDefault="008B62AF" w:rsidP="00FC02A6">
      <w:pPr>
        <w:rPr>
          <w:rFonts w:ascii="Times New Roman" w:hAnsi="Times New Roman" w:cs="Times New Roman"/>
          <w:sz w:val="24"/>
          <w:szCs w:val="24"/>
        </w:rPr>
      </w:pPr>
      <w:r w:rsidRPr="00846D13">
        <w:rPr>
          <w:rFonts w:ascii="Times New Roman" w:hAnsi="Times New Roman" w:cs="Times New Roman" w:hint="eastAsia"/>
          <w:sz w:val="24"/>
          <w:szCs w:val="24"/>
        </w:rPr>
        <w:t xml:space="preserve">Table S3. </w:t>
      </w:r>
      <w:r w:rsidR="0043597C">
        <w:rPr>
          <w:rFonts w:ascii="Times New Roman" w:hAnsi="Times New Roman" w:cs="Times New Roman" w:hint="eastAsia"/>
          <w:sz w:val="24"/>
          <w:szCs w:val="24"/>
        </w:rPr>
        <w:t>The s</w:t>
      </w:r>
      <w:r w:rsidRPr="00846D13">
        <w:rPr>
          <w:rFonts w:ascii="Times New Roman" w:hAnsi="Times New Roman" w:cs="Times New Roman" w:hint="eastAsia"/>
          <w:sz w:val="24"/>
          <w:szCs w:val="24"/>
        </w:rPr>
        <w:t>ummary of CD161's role in different types of cancers and its potential molecular.</w:t>
      </w:r>
    </w:p>
    <w:tbl>
      <w:tblPr>
        <w:tblStyle w:val="1"/>
        <w:tblpPr w:leftFromText="180" w:rightFromText="180" w:vertAnchor="text" w:horzAnchor="margin" w:tblpY="425"/>
        <w:tblW w:w="0" w:type="auto"/>
        <w:tblLayout w:type="fixed"/>
        <w:tblLook w:val="04A0" w:firstRow="1" w:lastRow="0" w:firstColumn="1" w:lastColumn="0" w:noHBand="0" w:noVBand="1"/>
      </w:tblPr>
      <w:tblGrid>
        <w:gridCol w:w="1413"/>
        <w:gridCol w:w="850"/>
        <w:gridCol w:w="1276"/>
        <w:gridCol w:w="1134"/>
        <w:gridCol w:w="2268"/>
        <w:gridCol w:w="1355"/>
      </w:tblGrid>
      <w:tr w:rsidR="00A556AA" w:rsidRPr="00FB58F1" w14:paraId="10A03536" w14:textId="77777777" w:rsidTr="00E156A9">
        <w:trPr>
          <w:trHeight w:val="610"/>
        </w:trPr>
        <w:tc>
          <w:tcPr>
            <w:tcW w:w="1413" w:type="dxa"/>
          </w:tcPr>
          <w:p w14:paraId="0D3936C5" w14:textId="77777777" w:rsidR="00A556AA" w:rsidRPr="00FB58F1" w:rsidRDefault="00A556AA" w:rsidP="00E156A9">
            <w:pPr>
              <w:rPr>
                <w:rFonts w:ascii="Times New Roman" w:hAnsi="Times New Roman" w:cs="Times New Roman"/>
                <w:sz w:val="18"/>
                <w:szCs w:val="18"/>
              </w:rPr>
            </w:pPr>
            <w:bookmarkStart w:id="0" w:name="_Hlk183183827"/>
            <w:r w:rsidRPr="00FB58F1">
              <w:rPr>
                <w:rFonts w:ascii="Times New Roman" w:hAnsi="Times New Roman" w:cs="Times New Roman"/>
                <w:sz w:val="18"/>
                <w:szCs w:val="18"/>
              </w:rPr>
              <w:t>Cancer type</w:t>
            </w:r>
            <w:r w:rsidRPr="00FB58F1">
              <w:rPr>
                <w:rFonts w:ascii="Times New Roman" w:hAnsi="Times New Roman" w:cs="Times New Roman" w:hint="eastAsia"/>
                <w:sz w:val="18"/>
                <w:szCs w:val="18"/>
              </w:rPr>
              <w:t>s</w:t>
            </w:r>
          </w:p>
        </w:tc>
        <w:tc>
          <w:tcPr>
            <w:tcW w:w="850" w:type="dxa"/>
          </w:tcPr>
          <w:p w14:paraId="66F6DE3C"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Subject</w:t>
            </w:r>
          </w:p>
        </w:tc>
        <w:tc>
          <w:tcPr>
            <w:tcW w:w="1276" w:type="dxa"/>
          </w:tcPr>
          <w:p w14:paraId="27B88641"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Method</w:t>
            </w:r>
            <w:r w:rsidRPr="00FB58F1">
              <w:rPr>
                <w:rFonts w:ascii="Times New Roman" w:hAnsi="Times New Roman" w:cs="Times New Roman" w:hint="eastAsia"/>
                <w:sz w:val="18"/>
                <w:szCs w:val="18"/>
              </w:rPr>
              <w:t>s</w:t>
            </w:r>
          </w:p>
        </w:tc>
        <w:tc>
          <w:tcPr>
            <w:tcW w:w="1134" w:type="dxa"/>
          </w:tcPr>
          <w:p w14:paraId="6D033903"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Prognostic significance</w:t>
            </w:r>
          </w:p>
        </w:tc>
        <w:tc>
          <w:tcPr>
            <w:tcW w:w="2268" w:type="dxa"/>
          </w:tcPr>
          <w:p w14:paraId="2FAF1A48"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Possible mechanisms</w:t>
            </w:r>
          </w:p>
        </w:tc>
        <w:tc>
          <w:tcPr>
            <w:tcW w:w="1355" w:type="dxa"/>
          </w:tcPr>
          <w:p w14:paraId="6B900F19"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Reference</w:t>
            </w:r>
          </w:p>
        </w:tc>
      </w:tr>
      <w:tr w:rsidR="00A556AA" w:rsidRPr="00FB58F1" w14:paraId="6EEA3B4F" w14:textId="77777777" w:rsidTr="00E156A9">
        <w:trPr>
          <w:trHeight w:val="610"/>
        </w:trPr>
        <w:tc>
          <w:tcPr>
            <w:tcW w:w="1413" w:type="dxa"/>
          </w:tcPr>
          <w:p w14:paraId="6D26074C"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Breast cancer</w:t>
            </w:r>
          </w:p>
        </w:tc>
        <w:tc>
          <w:tcPr>
            <w:tcW w:w="850" w:type="dxa"/>
          </w:tcPr>
          <w:p w14:paraId="66F2CEAA"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Tissue/ cancer cells</w:t>
            </w:r>
          </w:p>
        </w:tc>
        <w:tc>
          <w:tcPr>
            <w:tcW w:w="1276" w:type="dxa"/>
          </w:tcPr>
          <w:p w14:paraId="0BEF4ADE"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mRNA</w:t>
            </w:r>
          </w:p>
        </w:tc>
        <w:tc>
          <w:tcPr>
            <w:tcW w:w="1134" w:type="dxa"/>
          </w:tcPr>
          <w:p w14:paraId="7617EAD5"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Positive</w:t>
            </w:r>
          </w:p>
        </w:tc>
        <w:tc>
          <w:tcPr>
            <w:tcW w:w="2268" w:type="dxa"/>
          </w:tcPr>
          <w:p w14:paraId="0E98D276"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KLRB1</w:t>
            </w:r>
            <w:r w:rsidRPr="00FB58F1">
              <w:rPr>
                <w:rFonts w:ascii="Times New Roman" w:hAnsi="Times New Roman" w:cs="Times New Roman" w:hint="eastAsia"/>
                <w:sz w:val="18"/>
                <w:szCs w:val="18"/>
              </w:rPr>
              <w:t>/CD161</w:t>
            </w:r>
            <w:r w:rsidRPr="00FB58F1">
              <w:rPr>
                <w:rFonts w:ascii="Times New Roman" w:hAnsi="Times New Roman" w:cs="Times New Roman"/>
                <w:sz w:val="18"/>
                <w:szCs w:val="18"/>
              </w:rPr>
              <w:t xml:space="preserve"> suppresses the proliferation, invasive and migrative abilities. KLRB1</w:t>
            </w:r>
            <w:r w:rsidRPr="00FB58F1">
              <w:rPr>
                <w:rFonts w:ascii="Times New Roman" w:hAnsi="Times New Roman" w:cs="Times New Roman" w:hint="eastAsia"/>
                <w:sz w:val="18"/>
                <w:szCs w:val="18"/>
              </w:rPr>
              <w:t>/CD161</w:t>
            </w:r>
            <w:r w:rsidRPr="00FB58F1">
              <w:rPr>
                <w:rFonts w:ascii="Times New Roman" w:hAnsi="Times New Roman" w:cs="Times New Roman"/>
                <w:sz w:val="18"/>
                <w:szCs w:val="18"/>
              </w:rPr>
              <w:t xml:space="preserve"> enhance the anti-cancer immunity.</w:t>
            </w:r>
          </w:p>
        </w:tc>
        <w:tc>
          <w:tcPr>
            <w:tcW w:w="1355" w:type="dxa"/>
          </w:tcPr>
          <w:p w14:paraId="17CEADB2"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 xml:space="preserve">Huang G, et al </w:t>
            </w:r>
            <w:r w:rsidRPr="00FB58F1">
              <w:rPr>
                <w:rFonts w:ascii="Times New Roman" w:hAnsi="Times New Roman" w:cs="Times New Roman"/>
                <w:sz w:val="18"/>
                <w:szCs w:val="18"/>
                <w:vertAlign w:val="superscript"/>
              </w:rPr>
              <w:t>[</w:t>
            </w:r>
            <w:r w:rsidRPr="00FB58F1">
              <w:rPr>
                <w:rFonts w:ascii="Times New Roman" w:hAnsi="Times New Roman" w:cs="Times New Roman" w:hint="eastAsia"/>
                <w:sz w:val="18"/>
                <w:szCs w:val="18"/>
                <w:vertAlign w:val="superscript"/>
              </w:rPr>
              <w:t>1</w:t>
            </w:r>
            <w:r w:rsidRPr="00FB58F1">
              <w:rPr>
                <w:rFonts w:ascii="Times New Roman" w:hAnsi="Times New Roman" w:cs="Times New Roman"/>
                <w:sz w:val="18"/>
                <w:szCs w:val="18"/>
                <w:vertAlign w:val="superscript"/>
              </w:rPr>
              <w:t>]</w:t>
            </w:r>
            <w:r w:rsidRPr="00FB58F1">
              <w:rPr>
                <w:rFonts w:ascii="Times New Roman" w:hAnsi="Times New Roman" w:cs="Times New Roman"/>
                <w:sz w:val="18"/>
                <w:szCs w:val="18"/>
              </w:rPr>
              <w:t xml:space="preserve"> and He </w:t>
            </w:r>
            <w:proofErr w:type="spellStart"/>
            <w:r w:rsidRPr="00FB58F1">
              <w:rPr>
                <w:rFonts w:ascii="Times New Roman" w:hAnsi="Times New Roman" w:cs="Times New Roman"/>
                <w:sz w:val="18"/>
                <w:szCs w:val="18"/>
              </w:rPr>
              <w:t>JR,et</w:t>
            </w:r>
            <w:proofErr w:type="spellEnd"/>
            <w:r w:rsidRPr="00FB58F1">
              <w:rPr>
                <w:rFonts w:ascii="Times New Roman" w:hAnsi="Times New Roman" w:cs="Times New Roman"/>
                <w:sz w:val="18"/>
                <w:szCs w:val="18"/>
              </w:rPr>
              <w:t>.</w:t>
            </w:r>
            <w:r w:rsidRPr="00FB58F1">
              <w:rPr>
                <w:rFonts w:ascii="Times New Roman" w:hAnsi="Times New Roman" w:cs="Times New Roman"/>
                <w:sz w:val="18"/>
                <w:szCs w:val="18"/>
                <w:vertAlign w:val="superscript"/>
              </w:rPr>
              <w:t>[</w:t>
            </w:r>
            <w:r w:rsidRPr="00FB58F1">
              <w:rPr>
                <w:rFonts w:ascii="Times New Roman" w:hAnsi="Times New Roman" w:cs="Times New Roman" w:hint="eastAsia"/>
                <w:sz w:val="18"/>
                <w:szCs w:val="18"/>
                <w:vertAlign w:val="superscript"/>
              </w:rPr>
              <w:t>2</w:t>
            </w:r>
            <w:r w:rsidRPr="00FB58F1">
              <w:rPr>
                <w:rFonts w:ascii="Times New Roman" w:hAnsi="Times New Roman" w:cs="Times New Roman"/>
                <w:sz w:val="18"/>
                <w:szCs w:val="18"/>
                <w:vertAlign w:val="superscript"/>
              </w:rPr>
              <w:t>]</w:t>
            </w:r>
          </w:p>
        </w:tc>
      </w:tr>
      <w:tr w:rsidR="00A556AA" w:rsidRPr="00FB58F1" w14:paraId="59F5D309" w14:textId="77777777" w:rsidTr="00E156A9">
        <w:trPr>
          <w:trHeight w:val="603"/>
        </w:trPr>
        <w:tc>
          <w:tcPr>
            <w:tcW w:w="1413" w:type="dxa"/>
          </w:tcPr>
          <w:p w14:paraId="2AF24800"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Oral squamous cell carcinoma</w:t>
            </w:r>
          </w:p>
        </w:tc>
        <w:tc>
          <w:tcPr>
            <w:tcW w:w="850" w:type="dxa"/>
          </w:tcPr>
          <w:p w14:paraId="2BC0FD0C"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T</w:t>
            </w:r>
            <w:r w:rsidRPr="00FB58F1">
              <w:rPr>
                <w:rFonts w:ascii="Times New Roman" w:hAnsi="Times New Roman" w:cs="Times New Roman"/>
                <w:sz w:val="18"/>
                <w:szCs w:val="18"/>
              </w:rPr>
              <w:t>issue</w:t>
            </w:r>
          </w:p>
        </w:tc>
        <w:tc>
          <w:tcPr>
            <w:tcW w:w="1276" w:type="dxa"/>
          </w:tcPr>
          <w:p w14:paraId="25B86F0E"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IHC</w:t>
            </w:r>
            <w:r w:rsidRPr="00FB58F1">
              <w:rPr>
                <w:rFonts w:ascii="Times New Roman" w:hAnsi="Times New Roman" w:cs="Times New Roman" w:hint="eastAsia"/>
                <w:sz w:val="18"/>
                <w:szCs w:val="18"/>
              </w:rPr>
              <w:t>/</w:t>
            </w:r>
            <w:r w:rsidRPr="00FB58F1">
              <w:rPr>
                <w:rFonts w:hint="eastAsia"/>
              </w:rPr>
              <w:t xml:space="preserve"> </w:t>
            </w:r>
            <w:r w:rsidRPr="00FB58F1">
              <w:rPr>
                <w:rFonts w:ascii="Times New Roman" w:hAnsi="Times New Roman" w:cs="Times New Roman" w:hint="eastAsia"/>
                <w:sz w:val="18"/>
                <w:szCs w:val="18"/>
              </w:rPr>
              <w:t>immunofluorescence</w:t>
            </w:r>
          </w:p>
        </w:tc>
        <w:tc>
          <w:tcPr>
            <w:tcW w:w="1134" w:type="dxa"/>
          </w:tcPr>
          <w:p w14:paraId="2F8940AE"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Positive</w:t>
            </w:r>
          </w:p>
        </w:tc>
        <w:tc>
          <w:tcPr>
            <w:tcW w:w="2268" w:type="dxa"/>
          </w:tcPr>
          <w:p w14:paraId="3F832FD3"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CD161/LLT1 influences the OSCC tumor immune microenvironment.</w:t>
            </w:r>
          </w:p>
        </w:tc>
        <w:tc>
          <w:tcPr>
            <w:tcW w:w="1355" w:type="dxa"/>
          </w:tcPr>
          <w:p w14:paraId="26CE789C"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 xml:space="preserve">Hu X, et al. </w:t>
            </w:r>
            <w:r w:rsidRPr="00FB58F1">
              <w:rPr>
                <w:rFonts w:ascii="Times New Roman" w:hAnsi="Times New Roman" w:cs="Times New Roman"/>
                <w:sz w:val="18"/>
                <w:szCs w:val="18"/>
                <w:vertAlign w:val="superscript"/>
              </w:rPr>
              <w:t>[</w:t>
            </w:r>
            <w:r w:rsidRPr="00FB58F1">
              <w:rPr>
                <w:rFonts w:ascii="Times New Roman" w:hAnsi="Times New Roman" w:cs="Times New Roman" w:hint="eastAsia"/>
                <w:sz w:val="18"/>
                <w:szCs w:val="18"/>
                <w:vertAlign w:val="superscript"/>
              </w:rPr>
              <w:t>3</w:t>
            </w:r>
            <w:r w:rsidRPr="00FB58F1">
              <w:rPr>
                <w:rFonts w:ascii="Times New Roman" w:hAnsi="Times New Roman" w:cs="Times New Roman"/>
                <w:sz w:val="18"/>
                <w:szCs w:val="18"/>
                <w:vertAlign w:val="superscript"/>
              </w:rPr>
              <w:t>]</w:t>
            </w:r>
            <w:r w:rsidRPr="00FB58F1">
              <w:rPr>
                <w:rFonts w:ascii="Times New Roman" w:hAnsi="Times New Roman" w:cs="Times New Roman" w:hint="eastAsia"/>
                <w:sz w:val="18"/>
                <w:szCs w:val="18"/>
              </w:rPr>
              <w:t xml:space="preserve"> </w:t>
            </w:r>
          </w:p>
        </w:tc>
      </w:tr>
      <w:tr w:rsidR="00A556AA" w:rsidRPr="00FB58F1" w14:paraId="60FEB0B1" w14:textId="77777777" w:rsidTr="00E156A9">
        <w:trPr>
          <w:trHeight w:val="603"/>
        </w:trPr>
        <w:tc>
          <w:tcPr>
            <w:tcW w:w="1413" w:type="dxa"/>
          </w:tcPr>
          <w:p w14:paraId="46ADDC5B"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HPV-Driven Oropharyngeal Cancer</w:t>
            </w:r>
          </w:p>
        </w:tc>
        <w:tc>
          <w:tcPr>
            <w:tcW w:w="850" w:type="dxa"/>
          </w:tcPr>
          <w:p w14:paraId="16EB71F7"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Tissue</w:t>
            </w:r>
          </w:p>
        </w:tc>
        <w:tc>
          <w:tcPr>
            <w:tcW w:w="1276" w:type="dxa"/>
          </w:tcPr>
          <w:p w14:paraId="617FE194"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Single-cell RNA-seq</w:t>
            </w:r>
          </w:p>
        </w:tc>
        <w:tc>
          <w:tcPr>
            <w:tcW w:w="1134" w:type="dxa"/>
          </w:tcPr>
          <w:p w14:paraId="01FDC43C"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Positive</w:t>
            </w:r>
          </w:p>
        </w:tc>
        <w:tc>
          <w:tcPr>
            <w:tcW w:w="2268" w:type="dxa"/>
          </w:tcPr>
          <w:p w14:paraId="7F5DE0A0"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KLRB1</w:t>
            </w:r>
            <w:r>
              <w:rPr>
                <w:rFonts w:ascii="Times New Roman" w:hAnsi="Times New Roman" w:cs="Times New Roman" w:hint="eastAsia"/>
                <w:sz w:val="18"/>
                <w:szCs w:val="18"/>
              </w:rPr>
              <w:t xml:space="preserve">(CD161) </w:t>
            </w:r>
            <w:r w:rsidRPr="00FB58F1">
              <w:rPr>
                <w:rFonts w:ascii="Times New Roman" w:hAnsi="Times New Roman" w:cs="Times New Roman" w:hint="eastAsia"/>
                <w:sz w:val="18"/>
                <w:szCs w:val="18"/>
              </w:rPr>
              <w:t>boost the anti-tumor immune responses.</w:t>
            </w:r>
          </w:p>
        </w:tc>
        <w:tc>
          <w:tcPr>
            <w:tcW w:w="1355" w:type="dxa"/>
          </w:tcPr>
          <w:p w14:paraId="4F7F481F"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Wei Y, et al.</w:t>
            </w:r>
            <w:r w:rsidRPr="00FB58F1">
              <w:rPr>
                <w:rFonts w:ascii="Times New Roman" w:hAnsi="Times New Roman" w:cs="Times New Roman" w:hint="eastAsia"/>
                <w:sz w:val="18"/>
                <w:szCs w:val="18"/>
                <w:vertAlign w:val="superscript"/>
              </w:rPr>
              <w:t>[4]</w:t>
            </w:r>
            <w:r w:rsidRPr="00FB58F1">
              <w:rPr>
                <w:rFonts w:ascii="Times New Roman" w:hAnsi="Times New Roman" w:cs="Times New Roman" w:hint="eastAsia"/>
                <w:sz w:val="18"/>
                <w:szCs w:val="18"/>
              </w:rPr>
              <w:t xml:space="preserve"> and </w:t>
            </w:r>
            <w:r w:rsidRPr="00FB58F1">
              <w:rPr>
                <w:rFonts w:hint="eastAsia"/>
              </w:rPr>
              <w:t xml:space="preserve"> </w:t>
            </w:r>
            <w:r w:rsidRPr="00FB58F1">
              <w:rPr>
                <w:rFonts w:ascii="Times New Roman" w:hAnsi="Times New Roman" w:cs="Times New Roman" w:hint="eastAsia"/>
                <w:sz w:val="18"/>
                <w:szCs w:val="18"/>
              </w:rPr>
              <w:t>Cha J, et al</w:t>
            </w:r>
            <w:r w:rsidRPr="00FB58F1">
              <w:rPr>
                <w:rFonts w:ascii="Times New Roman" w:hAnsi="Times New Roman" w:cs="Times New Roman" w:hint="eastAsia"/>
                <w:sz w:val="18"/>
                <w:szCs w:val="18"/>
                <w:vertAlign w:val="superscript"/>
              </w:rPr>
              <w:t>[5]</w:t>
            </w:r>
          </w:p>
        </w:tc>
      </w:tr>
      <w:tr w:rsidR="00A556AA" w:rsidRPr="00FB58F1" w14:paraId="143985AF" w14:textId="77777777" w:rsidTr="00E156A9">
        <w:trPr>
          <w:trHeight w:val="603"/>
        </w:trPr>
        <w:tc>
          <w:tcPr>
            <w:tcW w:w="1413" w:type="dxa"/>
          </w:tcPr>
          <w:p w14:paraId="25CD5191"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Pancreatic cancer</w:t>
            </w:r>
          </w:p>
        </w:tc>
        <w:tc>
          <w:tcPr>
            <w:tcW w:w="850" w:type="dxa"/>
          </w:tcPr>
          <w:p w14:paraId="50BEE44B"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Tissue</w:t>
            </w:r>
          </w:p>
        </w:tc>
        <w:tc>
          <w:tcPr>
            <w:tcW w:w="1276" w:type="dxa"/>
          </w:tcPr>
          <w:p w14:paraId="4648E910"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 xml:space="preserve">Immunofluorescence </w:t>
            </w:r>
          </w:p>
          <w:p w14:paraId="7621E027"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staining</w:t>
            </w:r>
          </w:p>
        </w:tc>
        <w:tc>
          <w:tcPr>
            <w:tcW w:w="1134" w:type="dxa"/>
          </w:tcPr>
          <w:p w14:paraId="0CA1341A"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Positive</w:t>
            </w:r>
          </w:p>
        </w:tc>
        <w:tc>
          <w:tcPr>
            <w:tcW w:w="2268" w:type="dxa"/>
          </w:tcPr>
          <w:p w14:paraId="1F588DB5"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Promote cytokine secretion, and enhance anti-tumor immunity</w:t>
            </w:r>
          </w:p>
        </w:tc>
        <w:tc>
          <w:tcPr>
            <w:tcW w:w="1355" w:type="dxa"/>
          </w:tcPr>
          <w:p w14:paraId="23411E70"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 xml:space="preserve">Chen </w:t>
            </w:r>
            <w:proofErr w:type="spellStart"/>
            <w:r w:rsidRPr="00FB58F1">
              <w:rPr>
                <w:rFonts w:ascii="Times New Roman" w:hAnsi="Times New Roman" w:cs="Times New Roman" w:hint="eastAsia"/>
                <w:sz w:val="18"/>
                <w:szCs w:val="18"/>
              </w:rPr>
              <w:t>Q,et</w:t>
            </w:r>
            <w:proofErr w:type="spellEnd"/>
            <w:r w:rsidRPr="00FB58F1">
              <w:rPr>
                <w:rFonts w:ascii="Times New Roman" w:hAnsi="Times New Roman" w:cs="Times New Roman" w:hint="eastAsia"/>
                <w:sz w:val="18"/>
                <w:szCs w:val="18"/>
              </w:rPr>
              <w:t xml:space="preserve"> al.</w:t>
            </w:r>
            <w:r w:rsidRPr="00FB58F1">
              <w:rPr>
                <w:rFonts w:ascii="Times New Roman" w:hAnsi="Times New Roman" w:cs="Times New Roman" w:hint="eastAsia"/>
                <w:sz w:val="18"/>
                <w:szCs w:val="18"/>
                <w:vertAlign w:val="superscript"/>
              </w:rPr>
              <w:t>[6]</w:t>
            </w:r>
          </w:p>
        </w:tc>
      </w:tr>
      <w:tr w:rsidR="00A556AA" w:rsidRPr="00FB58F1" w14:paraId="2BF6AFEB" w14:textId="77777777" w:rsidTr="00E156A9">
        <w:trPr>
          <w:trHeight w:val="603"/>
        </w:trPr>
        <w:tc>
          <w:tcPr>
            <w:tcW w:w="1413" w:type="dxa"/>
          </w:tcPr>
          <w:p w14:paraId="7DCA39A0" w14:textId="77777777" w:rsidR="00A556AA" w:rsidRPr="00FB58F1" w:rsidRDefault="00A556AA" w:rsidP="00E156A9">
            <w:pPr>
              <w:rPr>
                <w:rFonts w:ascii="Times New Roman" w:hAnsi="Times New Roman" w:cs="Times New Roman"/>
                <w:sz w:val="18"/>
                <w:szCs w:val="18"/>
              </w:rPr>
            </w:pPr>
            <w:r>
              <w:rPr>
                <w:rFonts w:ascii="Times New Roman" w:hAnsi="Times New Roman" w:cs="Times New Roman" w:hint="eastAsia"/>
                <w:sz w:val="18"/>
                <w:szCs w:val="18"/>
              </w:rPr>
              <w:t>Lung cancer</w:t>
            </w:r>
          </w:p>
        </w:tc>
        <w:tc>
          <w:tcPr>
            <w:tcW w:w="850" w:type="dxa"/>
          </w:tcPr>
          <w:p w14:paraId="5211B206" w14:textId="77777777" w:rsidR="00A556AA" w:rsidRPr="00DE49BC" w:rsidRDefault="00A556AA" w:rsidP="00E156A9">
            <w:pPr>
              <w:rPr>
                <w:rFonts w:ascii="Times New Roman" w:hAnsi="Times New Roman" w:cs="Times New Roman"/>
                <w:sz w:val="18"/>
                <w:szCs w:val="18"/>
              </w:rPr>
            </w:pPr>
            <w:r w:rsidRPr="00DE49BC">
              <w:rPr>
                <w:rFonts w:ascii="Times New Roman" w:hAnsi="Times New Roman" w:cs="Times New Roman" w:hint="eastAsia"/>
                <w:sz w:val="18"/>
                <w:szCs w:val="18"/>
              </w:rPr>
              <w:t>Tissue/</w:t>
            </w:r>
          </w:p>
          <w:p w14:paraId="0BE7769C" w14:textId="77777777" w:rsidR="00A556AA" w:rsidRPr="00FB58F1" w:rsidRDefault="00A556AA" w:rsidP="00E156A9">
            <w:pPr>
              <w:rPr>
                <w:rFonts w:ascii="Times New Roman" w:hAnsi="Times New Roman" w:cs="Times New Roman"/>
                <w:sz w:val="18"/>
                <w:szCs w:val="18"/>
              </w:rPr>
            </w:pPr>
            <w:r w:rsidRPr="00DE49BC">
              <w:rPr>
                <w:rFonts w:ascii="Times New Roman" w:hAnsi="Times New Roman" w:cs="Times New Roman" w:hint="eastAsia"/>
                <w:sz w:val="18"/>
                <w:szCs w:val="18"/>
              </w:rPr>
              <w:t>cancer cells</w:t>
            </w:r>
          </w:p>
        </w:tc>
        <w:tc>
          <w:tcPr>
            <w:tcW w:w="1276" w:type="dxa"/>
          </w:tcPr>
          <w:p w14:paraId="49BDFDC3" w14:textId="77777777" w:rsidR="00A556AA" w:rsidRPr="00FB58F1" w:rsidRDefault="00A556AA" w:rsidP="00E156A9">
            <w:pPr>
              <w:rPr>
                <w:rFonts w:ascii="Times New Roman" w:hAnsi="Times New Roman" w:cs="Times New Roman"/>
                <w:sz w:val="18"/>
                <w:szCs w:val="18"/>
              </w:rPr>
            </w:pPr>
            <w:r>
              <w:rPr>
                <w:rFonts w:ascii="Times New Roman" w:hAnsi="Times New Roman" w:cs="Times New Roman" w:hint="eastAsia"/>
                <w:sz w:val="18"/>
                <w:szCs w:val="18"/>
              </w:rPr>
              <w:t>mRNA</w:t>
            </w:r>
          </w:p>
        </w:tc>
        <w:tc>
          <w:tcPr>
            <w:tcW w:w="1134" w:type="dxa"/>
          </w:tcPr>
          <w:p w14:paraId="18BCF96F" w14:textId="77777777" w:rsidR="00A556AA" w:rsidRPr="00FB58F1" w:rsidRDefault="00A556AA" w:rsidP="00E156A9">
            <w:pPr>
              <w:rPr>
                <w:rFonts w:ascii="Times New Roman" w:hAnsi="Times New Roman" w:cs="Times New Roman"/>
                <w:sz w:val="18"/>
                <w:szCs w:val="18"/>
              </w:rPr>
            </w:pPr>
            <w:r>
              <w:rPr>
                <w:rFonts w:ascii="Times New Roman" w:hAnsi="Times New Roman" w:cs="Times New Roman" w:hint="eastAsia"/>
                <w:sz w:val="18"/>
                <w:szCs w:val="18"/>
              </w:rPr>
              <w:t>Positive</w:t>
            </w:r>
          </w:p>
        </w:tc>
        <w:tc>
          <w:tcPr>
            <w:tcW w:w="2268" w:type="dxa"/>
          </w:tcPr>
          <w:p w14:paraId="24B9D7C4" w14:textId="77777777" w:rsidR="00A556AA" w:rsidRPr="00FB58F1" w:rsidRDefault="00A556AA" w:rsidP="00E156A9">
            <w:pPr>
              <w:rPr>
                <w:rFonts w:ascii="Times New Roman" w:hAnsi="Times New Roman" w:cs="Times New Roman"/>
                <w:sz w:val="18"/>
                <w:szCs w:val="18"/>
              </w:rPr>
            </w:pPr>
            <w:r>
              <w:rPr>
                <w:rFonts w:ascii="Times New Roman" w:hAnsi="Times New Roman" w:cs="Times New Roman" w:hint="eastAsia"/>
                <w:sz w:val="18"/>
                <w:szCs w:val="18"/>
              </w:rPr>
              <w:t xml:space="preserve">KLRB1 </w:t>
            </w:r>
            <w:r w:rsidRPr="00AF20B7">
              <w:rPr>
                <w:rFonts w:ascii="Times New Roman" w:hAnsi="Times New Roman" w:cs="Times New Roman" w:hint="eastAsia"/>
                <w:sz w:val="18"/>
                <w:szCs w:val="18"/>
              </w:rPr>
              <w:t>regulates lung adenocarcinoma cell proliferation and metastasis through the MAPK/ERK pathway</w:t>
            </w:r>
            <w:r>
              <w:rPr>
                <w:rFonts w:ascii="Times New Roman" w:hAnsi="Times New Roman" w:cs="Times New Roman" w:hint="eastAsia"/>
                <w:sz w:val="18"/>
                <w:szCs w:val="18"/>
              </w:rPr>
              <w:t>.</w:t>
            </w:r>
            <w:r>
              <w:rPr>
                <w:rFonts w:hint="eastAsia"/>
              </w:rPr>
              <w:t xml:space="preserve"> </w:t>
            </w:r>
            <w:r w:rsidRPr="006268C0">
              <w:rPr>
                <w:rFonts w:ascii="Times New Roman" w:hAnsi="Times New Roman" w:cs="Times New Roman" w:hint="eastAsia"/>
                <w:sz w:val="18"/>
                <w:szCs w:val="18"/>
              </w:rPr>
              <w:t>Down-regulation of KLRB1 is associated with increased cell growth, metastasis, poor prognosis, as well as a dysfunctional immune microenvironment</w:t>
            </w:r>
            <w:r>
              <w:rPr>
                <w:rFonts w:ascii="Times New Roman" w:hAnsi="Times New Roman" w:cs="Times New Roman" w:hint="eastAsia"/>
                <w:sz w:val="18"/>
                <w:szCs w:val="18"/>
              </w:rPr>
              <w:t>.</w:t>
            </w:r>
          </w:p>
        </w:tc>
        <w:tc>
          <w:tcPr>
            <w:tcW w:w="1355" w:type="dxa"/>
          </w:tcPr>
          <w:p w14:paraId="089735C6" w14:textId="77777777" w:rsidR="00A556AA" w:rsidRPr="007B4529" w:rsidRDefault="00A556AA" w:rsidP="00E156A9">
            <w:pPr>
              <w:rPr>
                <w:rFonts w:ascii="Times New Roman" w:hAnsi="Times New Roman" w:cs="Times New Roman"/>
                <w:sz w:val="18"/>
                <w:szCs w:val="18"/>
              </w:rPr>
            </w:pPr>
            <w:r w:rsidRPr="00D30091">
              <w:rPr>
                <w:rFonts w:ascii="Times New Roman" w:hAnsi="Times New Roman" w:cs="Times New Roman" w:hint="eastAsia"/>
                <w:sz w:val="18"/>
                <w:szCs w:val="18"/>
              </w:rPr>
              <w:t>Xu S</w:t>
            </w:r>
            <w:r>
              <w:rPr>
                <w:rFonts w:ascii="Times New Roman" w:hAnsi="Times New Roman" w:cs="Times New Roman" w:hint="eastAsia"/>
                <w:sz w:val="18"/>
                <w:szCs w:val="18"/>
              </w:rPr>
              <w:t>, et al.</w:t>
            </w:r>
            <w:r w:rsidRPr="00D30091">
              <w:rPr>
                <w:rFonts w:ascii="Times New Roman" w:hAnsi="Times New Roman" w:cs="Times New Roman" w:hint="eastAsia"/>
                <w:sz w:val="18"/>
                <w:szCs w:val="18"/>
                <w:vertAlign w:val="superscript"/>
              </w:rPr>
              <w:t>[7]</w:t>
            </w:r>
            <w:r>
              <w:rPr>
                <w:rFonts w:ascii="Times New Roman" w:hAnsi="Times New Roman" w:cs="Times New Roman" w:hint="eastAsia"/>
                <w:sz w:val="18"/>
                <w:szCs w:val="18"/>
              </w:rPr>
              <w:t xml:space="preserve"> and </w:t>
            </w:r>
            <w:r w:rsidRPr="00D7755D">
              <w:rPr>
                <w:rFonts w:ascii="Times New Roman" w:hAnsi="Times New Roman" w:cs="Times New Roman" w:hint="eastAsia"/>
                <w:sz w:val="18"/>
                <w:szCs w:val="18"/>
              </w:rPr>
              <w:t xml:space="preserve">Chen </w:t>
            </w:r>
            <w:proofErr w:type="spellStart"/>
            <w:r w:rsidRPr="00D7755D">
              <w:rPr>
                <w:rFonts w:ascii="Times New Roman" w:hAnsi="Times New Roman" w:cs="Times New Roman" w:hint="eastAsia"/>
                <w:sz w:val="18"/>
                <w:szCs w:val="18"/>
              </w:rPr>
              <w:t>JL,</w:t>
            </w:r>
            <w:r>
              <w:rPr>
                <w:rFonts w:ascii="Times New Roman" w:hAnsi="Times New Roman" w:cs="Times New Roman" w:hint="eastAsia"/>
                <w:sz w:val="18"/>
                <w:szCs w:val="18"/>
              </w:rPr>
              <w:t>et</w:t>
            </w:r>
            <w:proofErr w:type="spellEnd"/>
            <w:r>
              <w:rPr>
                <w:rFonts w:ascii="Times New Roman" w:hAnsi="Times New Roman" w:cs="Times New Roman" w:hint="eastAsia"/>
                <w:sz w:val="18"/>
                <w:szCs w:val="18"/>
              </w:rPr>
              <w:t xml:space="preserve"> al</w:t>
            </w:r>
            <w:r w:rsidRPr="00D7755D">
              <w:rPr>
                <w:rFonts w:ascii="Times New Roman" w:hAnsi="Times New Roman" w:cs="Times New Roman" w:hint="eastAsia"/>
                <w:sz w:val="18"/>
                <w:szCs w:val="18"/>
              </w:rPr>
              <w:t>.</w:t>
            </w:r>
            <w:r w:rsidRPr="00D7755D">
              <w:rPr>
                <w:rFonts w:ascii="Times New Roman" w:hAnsi="Times New Roman" w:cs="Times New Roman" w:hint="eastAsia"/>
                <w:sz w:val="18"/>
                <w:szCs w:val="18"/>
                <w:vertAlign w:val="superscript"/>
              </w:rPr>
              <w:t>[8]</w:t>
            </w:r>
          </w:p>
        </w:tc>
      </w:tr>
      <w:tr w:rsidR="00A556AA" w:rsidRPr="00FB58F1" w14:paraId="3AC335FB" w14:textId="77777777" w:rsidTr="00E156A9">
        <w:trPr>
          <w:trHeight w:val="308"/>
        </w:trPr>
        <w:tc>
          <w:tcPr>
            <w:tcW w:w="1413" w:type="dxa"/>
          </w:tcPr>
          <w:p w14:paraId="31C78CAF"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Gliomas</w:t>
            </w:r>
          </w:p>
        </w:tc>
        <w:tc>
          <w:tcPr>
            <w:tcW w:w="850" w:type="dxa"/>
          </w:tcPr>
          <w:p w14:paraId="4F6CE5E6"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Tissue/</w:t>
            </w:r>
          </w:p>
          <w:p w14:paraId="1FBC779B"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cancer cells</w:t>
            </w:r>
          </w:p>
        </w:tc>
        <w:tc>
          <w:tcPr>
            <w:tcW w:w="1276" w:type="dxa"/>
          </w:tcPr>
          <w:p w14:paraId="1C4540FD"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Single-cell RNA-seq/</w:t>
            </w:r>
            <w:r w:rsidRPr="00FB58F1">
              <w:rPr>
                <w:rFonts w:ascii="Times New Roman" w:hAnsi="Times New Roman" w:cs="Times New Roman" w:hint="eastAsia"/>
                <w:sz w:val="18"/>
                <w:szCs w:val="18"/>
              </w:rPr>
              <w:t>Co-Culture</w:t>
            </w:r>
          </w:p>
        </w:tc>
        <w:tc>
          <w:tcPr>
            <w:tcW w:w="1134" w:type="dxa"/>
          </w:tcPr>
          <w:p w14:paraId="27DAEEEC"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Negative</w:t>
            </w:r>
          </w:p>
        </w:tc>
        <w:tc>
          <w:tcPr>
            <w:tcW w:w="2268" w:type="dxa"/>
          </w:tcPr>
          <w:p w14:paraId="150C9261"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KLRB1 inhibits the T cell- mediated immune response.</w:t>
            </w:r>
          </w:p>
        </w:tc>
        <w:tc>
          <w:tcPr>
            <w:tcW w:w="1355" w:type="dxa"/>
          </w:tcPr>
          <w:p w14:paraId="1E584106"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sz w:val="18"/>
                <w:szCs w:val="18"/>
              </w:rPr>
              <w:t>Mathewson ND, et al</w:t>
            </w:r>
            <w:r w:rsidRPr="00FB58F1">
              <w:rPr>
                <w:rFonts w:ascii="Times New Roman" w:hAnsi="Times New Roman" w:cs="Times New Roman"/>
                <w:sz w:val="18"/>
                <w:szCs w:val="18"/>
                <w:vertAlign w:val="superscript"/>
              </w:rPr>
              <w:t xml:space="preserve"> [</w:t>
            </w:r>
            <w:r>
              <w:rPr>
                <w:rFonts w:ascii="Times New Roman" w:hAnsi="Times New Roman" w:cs="Times New Roman" w:hint="eastAsia"/>
                <w:sz w:val="18"/>
                <w:szCs w:val="18"/>
                <w:vertAlign w:val="superscript"/>
              </w:rPr>
              <w:t>9</w:t>
            </w:r>
            <w:r w:rsidRPr="00FB58F1">
              <w:rPr>
                <w:rFonts w:ascii="Times New Roman" w:hAnsi="Times New Roman" w:cs="Times New Roman"/>
                <w:sz w:val="18"/>
                <w:szCs w:val="18"/>
                <w:vertAlign w:val="superscript"/>
              </w:rPr>
              <w:t>]</w:t>
            </w:r>
            <w:r w:rsidRPr="00FB58F1">
              <w:rPr>
                <w:rFonts w:ascii="Times New Roman" w:hAnsi="Times New Roman" w:cs="Times New Roman"/>
                <w:sz w:val="18"/>
                <w:szCs w:val="18"/>
              </w:rPr>
              <w:t xml:space="preserve"> and Wang Di, et al</w:t>
            </w:r>
            <w:r w:rsidRPr="00FB58F1">
              <w:rPr>
                <w:rFonts w:ascii="Times New Roman" w:hAnsi="Times New Roman" w:cs="Times New Roman" w:hint="eastAsia"/>
                <w:sz w:val="18"/>
                <w:szCs w:val="18"/>
              </w:rPr>
              <w:t>.</w:t>
            </w:r>
            <w:r w:rsidRPr="00FB58F1">
              <w:rPr>
                <w:rFonts w:ascii="Times New Roman" w:hAnsi="Times New Roman" w:cs="Times New Roman"/>
                <w:sz w:val="18"/>
                <w:szCs w:val="18"/>
              </w:rPr>
              <w:t xml:space="preserve"> </w:t>
            </w:r>
            <w:r w:rsidRPr="00FB58F1">
              <w:rPr>
                <w:rFonts w:ascii="Times New Roman" w:hAnsi="Times New Roman" w:cs="Times New Roman"/>
                <w:sz w:val="18"/>
                <w:szCs w:val="18"/>
                <w:vertAlign w:val="superscript"/>
              </w:rPr>
              <w:t>[</w:t>
            </w:r>
            <w:r>
              <w:rPr>
                <w:rFonts w:ascii="Times New Roman" w:hAnsi="Times New Roman" w:cs="Times New Roman" w:hint="eastAsia"/>
                <w:sz w:val="18"/>
                <w:szCs w:val="18"/>
                <w:vertAlign w:val="superscript"/>
              </w:rPr>
              <w:t>10</w:t>
            </w:r>
            <w:r w:rsidRPr="00FB58F1">
              <w:rPr>
                <w:rFonts w:ascii="Times New Roman" w:hAnsi="Times New Roman" w:cs="Times New Roman"/>
                <w:sz w:val="18"/>
                <w:szCs w:val="18"/>
                <w:vertAlign w:val="superscript"/>
              </w:rPr>
              <w:t>]</w:t>
            </w:r>
          </w:p>
        </w:tc>
      </w:tr>
      <w:tr w:rsidR="00A556AA" w:rsidRPr="00FB58F1" w14:paraId="02446CE2" w14:textId="77777777" w:rsidTr="008B62AF">
        <w:trPr>
          <w:trHeight w:val="1898"/>
        </w:trPr>
        <w:tc>
          <w:tcPr>
            <w:tcW w:w="1413" w:type="dxa"/>
          </w:tcPr>
          <w:p w14:paraId="6DFABDDD"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Hematological malignancies</w:t>
            </w:r>
          </w:p>
        </w:tc>
        <w:tc>
          <w:tcPr>
            <w:tcW w:w="850" w:type="dxa"/>
          </w:tcPr>
          <w:p w14:paraId="4752C5C4"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tumor cells and T-cells</w:t>
            </w:r>
          </w:p>
        </w:tc>
        <w:tc>
          <w:tcPr>
            <w:tcW w:w="1276" w:type="dxa"/>
          </w:tcPr>
          <w:p w14:paraId="4D79BB0E"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 xml:space="preserve">CD161 </w:t>
            </w:r>
            <w:proofErr w:type="spellStart"/>
            <w:r w:rsidRPr="00FB58F1">
              <w:rPr>
                <w:rFonts w:ascii="Times New Roman" w:hAnsi="Times New Roman" w:cs="Times New Roman" w:hint="eastAsia"/>
                <w:sz w:val="18"/>
                <w:szCs w:val="18"/>
              </w:rPr>
              <w:t>mAb</w:t>
            </w:r>
            <w:proofErr w:type="spellEnd"/>
          </w:p>
        </w:tc>
        <w:tc>
          <w:tcPr>
            <w:tcW w:w="1134" w:type="dxa"/>
          </w:tcPr>
          <w:p w14:paraId="5209F388"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Negative</w:t>
            </w:r>
          </w:p>
        </w:tc>
        <w:tc>
          <w:tcPr>
            <w:tcW w:w="2268" w:type="dxa"/>
          </w:tcPr>
          <w:p w14:paraId="62D09460"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 xml:space="preserve">A high-affinity CD161 </w:t>
            </w:r>
            <w:proofErr w:type="spellStart"/>
            <w:r w:rsidRPr="00FB58F1">
              <w:rPr>
                <w:rFonts w:ascii="Times New Roman" w:hAnsi="Times New Roman" w:cs="Times New Roman" w:hint="eastAsia"/>
                <w:sz w:val="18"/>
                <w:szCs w:val="18"/>
              </w:rPr>
              <w:t>mAb</w:t>
            </w:r>
            <w:proofErr w:type="spellEnd"/>
            <w:r w:rsidRPr="00FB58F1">
              <w:rPr>
                <w:rFonts w:ascii="Times New Roman" w:hAnsi="Times New Roman" w:cs="Times New Roman" w:hint="eastAsia"/>
                <w:sz w:val="18"/>
                <w:szCs w:val="18"/>
              </w:rPr>
              <w:t xml:space="preserve"> enhanced key aspects of T-cell function, including cytotoxicity, cytokine production, and proliferation in hematological malignancies.</w:t>
            </w:r>
          </w:p>
        </w:tc>
        <w:tc>
          <w:tcPr>
            <w:tcW w:w="1355" w:type="dxa"/>
          </w:tcPr>
          <w:p w14:paraId="76D91D42"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Alvarez Calderon F, et al.</w:t>
            </w:r>
            <w:r w:rsidRPr="00FB58F1">
              <w:rPr>
                <w:rFonts w:ascii="Times New Roman" w:hAnsi="Times New Roman" w:cs="Times New Roman" w:hint="eastAsia"/>
                <w:sz w:val="18"/>
                <w:szCs w:val="18"/>
                <w:vertAlign w:val="superscript"/>
              </w:rPr>
              <w:t>[</w:t>
            </w:r>
            <w:r>
              <w:rPr>
                <w:rFonts w:ascii="Times New Roman" w:hAnsi="Times New Roman" w:cs="Times New Roman" w:hint="eastAsia"/>
                <w:sz w:val="18"/>
                <w:szCs w:val="18"/>
                <w:vertAlign w:val="superscript"/>
              </w:rPr>
              <w:t>11</w:t>
            </w:r>
            <w:r w:rsidRPr="00FB58F1">
              <w:rPr>
                <w:rFonts w:ascii="Times New Roman" w:hAnsi="Times New Roman" w:cs="Times New Roman" w:hint="eastAsia"/>
                <w:sz w:val="18"/>
                <w:szCs w:val="18"/>
                <w:vertAlign w:val="superscript"/>
              </w:rPr>
              <w:t>]</w:t>
            </w:r>
          </w:p>
        </w:tc>
      </w:tr>
      <w:tr w:rsidR="00A556AA" w:rsidRPr="00FB58F1" w14:paraId="5DFC66AA" w14:textId="77777777" w:rsidTr="00E156A9">
        <w:trPr>
          <w:trHeight w:val="308"/>
        </w:trPr>
        <w:tc>
          <w:tcPr>
            <w:tcW w:w="1413" w:type="dxa"/>
          </w:tcPr>
          <w:p w14:paraId="1611CFFA"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Breast cancer</w:t>
            </w:r>
          </w:p>
        </w:tc>
        <w:tc>
          <w:tcPr>
            <w:tcW w:w="850" w:type="dxa"/>
          </w:tcPr>
          <w:p w14:paraId="4464744D"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Tissue</w:t>
            </w:r>
          </w:p>
        </w:tc>
        <w:tc>
          <w:tcPr>
            <w:tcW w:w="1276" w:type="dxa"/>
          </w:tcPr>
          <w:p w14:paraId="5CCE8D94"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Single-cell RNA-seq</w:t>
            </w:r>
          </w:p>
        </w:tc>
        <w:tc>
          <w:tcPr>
            <w:tcW w:w="1134" w:type="dxa"/>
          </w:tcPr>
          <w:p w14:paraId="7B1A5E46"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Negative</w:t>
            </w:r>
          </w:p>
        </w:tc>
        <w:tc>
          <w:tcPr>
            <w:tcW w:w="2268" w:type="dxa"/>
          </w:tcPr>
          <w:p w14:paraId="3D9F98C5"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t xml:space="preserve">CD161 compromises T-cell cytotoxicity, inhibiting calcium influx in CTLs, leading to chemoresistance </w:t>
            </w:r>
            <w:r w:rsidRPr="00FB58F1">
              <w:rPr>
                <w:rFonts w:ascii="Times New Roman" w:hAnsi="Times New Roman" w:cs="Times New Roman" w:hint="eastAsia"/>
                <w:sz w:val="18"/>
                <w:szCs w:val="18"/>
              </w:rPr>
              <w:lastRenderedPageBreak/>
              <w:t>and poor outcomes.</w:t>
            </w:r>
          </w:p>
        </w:tc>
        <w:tc>
          <w:tcPr>
            <w:tcW w:w="1355" w:type="dxa"/>
          </w:tcPr>
          <w:p w14:paraId="2EB4826D" w14:textId="77777777" w:rsidR="00A556AA" w:rsidRPr="00FB58F1" w:rsidRDefault="00A556AA" w:rsidP="00E156A9">
            <w:pPr>
              <w:rPr>
                <w:rFonts w:ascii="Times New Roman" w:hAnsi="Times New Roman" w:cs="Times New Roman"/>
                <w:sz w:val="18"/>
                <w:szCs w:val="18"/>
              </w:rPr>
            </w:pPr>
            <w:r w:rsidRPr="00FB58F1">
              <w:rPr>
                <w:rFonts w:ascii="Times New Roman" w:hAnsi="Times New Roman" w:cs="Times New Roman" w:hint="eastAsia"/>
                <w:sz w:val="18"/>
                <w:szCs w:val="18"/>
              </w:rPr>
              <w:lastRenderedPageBreak/>
              <w:t>Lao L, et al.</w:t>
            </w:r>
            <w:r w:rsidRPr="00FB58F1">
              <w:rPr>
                <w:rFonts w:ascii="Times New Roman" w:hAnsi="Times New Roman" w:cs="Times New Roman" w:hint="eastAsia"/>
                <w:sz w:val="18"/>
                <w:szCs w:val="18"/>
                <w:vertAlign w:val="superscript"/>
              </w:rPr>
              <w:t>[1</w:t>
            </w:r>
            <w:r>
              <w:rPr>
                <w:rFonts w:ascii="Times New Roman" w:hAnsi="Times New Roman" w:cs="Times New Roman" w:hint="eastAsia"/>
                <w:sz w:val="18"/>
                <w:szCs w:val="18"/>
                <w:vertAlign w:val="superscript"/>
              </w:rPr>
              <w:t>2</w:t>
            </w:r>
            <w:r w:rsidRPr="00FB58F1">
              <w:rPr>
                <w:rFonts w:ascii="Times New Roman" w:hAnsi="Times New Roman" w:cs="Times New Roman" w:hint="eastAsia"/>
                <w:sz w:val="18"/>
                <w:szCs w:val="18"/>
                <w:vertAlign w:val="superscript"/>
              </w:rPr>
              <w:t>]</w:t>
            </w:r>
          </w:p>
        </w:tc>
      </w:tr>
    </w:tbl>
    <w:bookmarkEnd w:id="0"/>
    <w:p w14:paraId="3CAA42C8" w14:textId="620B02D8" w:rsidR="00337D85" w:rsidRPr="00337D85" w:rsidRDefault="00337D85" w:rsidP="00337D85">
      <w:pPr>
        <w:rPr>
          <w:rFonts w:ascii="Times New Roman" w:hAnsi="Times New Roman" w:cs="Times New Roman"/>
          <w:b/>
          <w:bCs/>
        </w:rPr>
      </w:pPr>
      <w:r w:rsidRPr="00337D85">
        <w:rPr>
          <w:rFonts w:ascii="Times New Roman" w:hAnsi="Times New Roman" w:cs="Times New Roman" w:hint="eastAsia"/>
          <w:b/>
          <w:bCs/>
        </w:rPr>
        <w:t>Reference:</w:t>
      </w:r>
    </w:p>
    <w:p w14:paraId="6B9DF56D" w14:textId="4EF5898A" w:rsidR="00337D85" w:rsidRPr="00337D85" w:rsidRDefault="00337D85" w:rsidP="00337D85">
      <w:pPr>
        <w:rPr>
          <w:rFonts w:ascii="Times New Roman" w:hAnsi="Times New Roman" w:cs="Times New Roman"/>
        </w:rPr>
      </w:pPr>
      <w:r w:rsidRPr="00337D85">
        <w:rPr>
          <w:rFonts w:ascii="Times New Roman" w:hAnsi="Times New Roman" w:cs="Times New Roman"/>
        </w:rPr>
        <w:t xml:space="preserve">1. Huang G, Xiao S, Jiang Z, et al. Machine learning immune-related gene based on KLRB1 model for predicting the prognosis and immune cell infiltration of breast cancer. Front Endocrinol (Lausanne). 2023 Jun 7;14:1185799. </w:t>
      </w:r>
      <w:proofErr w:type="spellStart"/>
      <w:r w:rsidRPr="00337D85">
        <w:rPr>
          <w:rFonts w:ascii="Times New Roman" w:hAnsi="Times New Roman" w:cs="Times New Roman"/>
        </w:rPr>
        <w:t>doi</w:t>
      </w:r>
      <w:proofErr w:type="spellEnd"/>
      <w:r w:rsidRPr="00337D85">
        <w:rPr>
          <w:rFonts w:ascii="Times New Roman" w:hAnsi="Times New Roman" w:cs="Times New Roman"/>
        </w:rPr>
        <w:t>: 10.3389/fendo.2023.1185799.</w:t>
      </w:r>
    </w:p>
    <w:p w14:paraId="25DD4B1D" w14:textId="77777777" w:rsidR="00337D85" w:rsidRPr="00337D85" w:rsidRDefault="00337D85" w:rsidP="00337D85">
      <w:pPr>
        <w:rPr>
          <w:rFonts w:ascii="Times New Roman" w:hAnsi="Times New Roman" w:cs="Times New Roman"/>
        </w:rPr>
      </w:pPr>
      <w:r w:rsidRPr="00337D85">
        <w:rPr>
          <w:rFonts w:ascii="Times New Roman" w:hAnsi="Times New Roman" w:cs="Times New Roman"/>
        </w:rPr>
        <w:t xml:space="preserve">2. He JR, Li D, Zhang QX, et al. Inhibiting KLRB1 expression is associated with impairing cancer immunity and leading to cancer progression and poor prognosis in breast invasive carcinoma patients. Aging (Albany NY). 2023 Nov 20;15(22):13265-13286. </w:t>
      </w:r>
      <w:proofErr w:type="spellStart"/>
      <w:r w:rsidRPr="00337D85">
        <w:rPr>
          <w:rFonts w:ascii="Times New Roman" w:hAnsi="Times New Roman" w:cs="Times New Roman"/>
        </w:rPr>
        <w:t>doi</w:t>
      </w:r>
      <w:proofErr w:type="spellEnd"/>
      <w:r w:rsidRPr="00337D85">
        <w:rPr>
          <w:rFonts w:ascii="Times New Roman" w:hAnsi="Times New Roman" w:cs="Times New Roman"/>
        </w:rPr>
        <w:t>: 10.18632/aging.205239.</w:t>
      </w:r>
    </w:p>
    <w:p w14:paraId="35975C65" w14:textId="77777777" w:rsidR="00337D85" w:rsidRPr="00337D85" w:rsidRDefault="00337D85" w:rsidP="00337D85">
      <w:pPr>
        <w:rPr>
          <w:rFonts w:ascii="Times New Roman" w:hAnsi="Times New Roman" w:cs="Times New Roman"/>
        </w:rPr>
      </w:pPr>
      <w:r w:rsidRPr="00337D85">
        <w:rPr>
          <w:rFonts w:ascii="Times New Roman" w:hAnsi="Times New Roman" w:cs="Times New Roman"/>
        </w:rPr>
        <w:t xml:space="preserve">3. Hu X, Dong Y, Xie S, et al. Immune checkpoint CD161/LLT1-associated immunological landscape and diagnostic value in oral squamous cell carcinoma. J </w:t>
      </w:r>
      <w:proofErr w:type="spellStart"/>
      <w:r w:rsidRPr="00337D85">
        <w:rPr>
          <w:rFonts w:ascii="Times New Roman" w:hAnsi="Times New Roman" w:cs="Times New Roman"/>
        </w:rPr>
        <w:t>Pathol</w:t>
      </w:r>
      <w:proofErr w:type="spellEnd"/>
      <w:r w:rsidRPr="00337D85">
        <w:rPr>
          <w:rFonts w:ascii="Times New Roman" w:hAnsi="Times New Roman" w:cs="Times New Roman"/>
        </w:rPr>
        <w:t xml:space="preserve"> Clin Res. 2024 Mar;10(2):e353. </w:t>
      </w:r>
      <w:proofErr w:type="spellStart"/>
      <w:r w:rsidRPr="00337D85">
        <w:rPr>
          <w:rFonts w:ascii="Times New Roman" w:hAnsi="Times New Roman" w:cs="Times New Roman"/>
        </w:rPr>
        <w:t>doi</w:t>
      </w:r>
      <w:proofErr w:type="spellEnd"/>
      <w:r w:rsidRPr="00337D85">
        <w:rPr>
          <w:rFonts w:ascii="Times New Roman" w:hAnsi="Times New Roman" w:cs="Times New Roman"/>
        </w:rPr>
        <w:t>: 10.1002/cjp2.353.</w:t>
      </w:r>
    </w:p>
    <w:p w14:paraId="0AC065C3" w14:textId="77777777" w:rsidR="00337D85" w:rsidRPr="00337D85" w:rsidRDefault="00337D85" w:rsidP="00337D85">
      <w:pPr>
        <w:rPr>
          <w:rFonts w:ascii="Times New Roman" w:hAnsi="Times New Roman" w:cs="Times New Roman"/>
        </w:rPr>
      </w:pPr>
      <w:r w:rsidRPr="00337D85">
        <w:rPr>
          <w:rFonts w:ascii="Times New Roman" w:hAnsi="Times New Roman" w:cs="Times New Roman"/>
        </w:rPr>
        <w:t xml:space="preserve">4. Wei Y, Xu T, Li C, et al. CD161 Characterizes an Inflamed Subset of Cytotoxic T Lymphocytes Associated with Prolonged Survival in Human Papillomavirus-Driven Oropharyngeal Cancer. Cancer Immunol Res. 2023 Mar 1;11(3):306-319. </w:t>
      </w:r>
      <w:proofErr w:type="spellStart"/>
      <w:r w:rsidRPr="00337D85">
        <w:rPr>
          <w:rFonts w:ascii="Times New Roman" w:hAnsi="Times New Roman" w:cs="Times New Roman"/>
        </w:rPr>
        <w:t>doi</w:t>
      </w:r>
      <w:proofErr w:type="spellEnd"/>
      <w:r w:rsidRPr="00337D85">
        <w:rPr>
          <w:rFonts w:ascii="Times New Roman" w:hAnsi="Times New Roman" w:cs="Times New Roman"/>
        </w:rPr>
        <w:t>: 10.1158/2326-6066.</w:t>
      </w:r>
    </w:p>
    <w:p w14:paraId="120C9FDE" w14:textId="77777777" w:rsidR="00337D85" w:rsidRPr="00337D85" w:rsidRDefault="00337D85" w:rsidP="00337D85">
      <w:pPr>
        <w:rPr>
          <w:rFonts w:ascii="Times New Roman" w:hAnsi="Times New Roman" w:cs="Times New Roman"/>
        </w:rPr>
      </w:pPr>
      <w:r w:rsidRPr="00337D85">
        <w:rPr>
          <w:rFonts w:ascii="Times New Roman" w:hAnsi="Times New Roman" w:cs="Times New Roman"/>
        </w:rPr>
        <w:t xml:space="preserve">5. Cha J, Kim DH, Kim G, et al. Single-cell analysis reveals cellular and molecular factors counteracting HPV-positive oropharyngeal cancer immunotherapy outcomes. J </w:t>
      </w:r>
      <w:proofErr w:type="spellStart"/>
      <w:r w:rsidRPr="00337D85">
        <w:rPr>
          <w:rFonts w:ascii="Times New Roman" w:hAnsi="Times New Roman" w:cs="Times New Roman"/>
        </w:rPr>
        <w:t>Immunother</w:t>
      </w:r>
      <w:proofErr w:type="spellEnd"/>
      <w:r w:rsidRPr="00337D85">
        <w:rPr>
          <w:rFonts w:ascii="Times New Roman" w:hAnsi="Times New Roman" w:cs="Times New Roman"/>
        </w:rPr>
        <w:t xml:space="preserve"> Cancer. 2024 Jun 10;12(6):e008667. </w:t>
      </w:r>
      <w:proofErr w:type="spellStart"/>
      <w:r w:rsidRPr="00337D85">
        <w:rPr>
          <w:rFonts w:ascii="Times New Roman" w:hAnsi="Times New Roman" w:cs="Times New Roman"/>
        </w:rPr>
        <w:t>doi</w:t>
      </w:r>
      <w:proofErr w:type="spellEnd"/>
      <w:r w:rsidRPr="00337D85">
        <w:rPr>
          <w:rFonts w:ascii="Times New Roman" w:hAnsi="Times New Roman" w:cs="Times New Roman"/>
        </w:rPr>
        <w:t>: 10.1136/jitc-2023-008667.</w:t>
      </w:r>
    </w:p>
    <w:p w14:paraId="095DB9B4" w14:textId="77777777" w:rsidR="00337D85" w:rsidRPr="00337D85" w:rsidRDefault="00337D85" w:rsidP="00337D85">
      <w:pPr>
        <w:rPr>
          <w:rFonts w:ascii="Times New Roman" w:hAnsi="Times New Roman" w:cs="Times New Roman"/>
        </w:rPr>
      </w:pPr>
      <w:r w:rsidRPr="00337D85">
        <w:rPr>
          <w:rFonts w:ascii="Times New Roman" w:hAnsi="Times New Roman" w:cs="Times New Roman"/>
        </w:rPr>
        <w:t xml:space="preserve">6.Chen Q, Yin H, Jiang Z, et al. Poor clinical outcomes and </w:t>
      </w:r>
      <w:proofErr w:type="spellStart"/>
      <w:r w:rsidRPr="00337D85">
        <w:rPr>
          <w:rFonts w:ascii="Times New Roman" w:hAnsi="Times New Roman" w:cs="Times New Roman"/>
        </w:rPr>
        <w:t>immunoevasive</w:t>
      </w:r>
      <w:proofErr w:type="spellEnd"/>
      <w:r w:rsidRPr="00337D85">
        <w:rPr>
          <w:rFonts w:ascii="Times New Roman" w:hAnsi="Times New Roman" w:cs="Times New Roman"/>
        </w:rPr>
        <w:t xml:space="preserve"> contexture in CD161+CD8+ T cells barren human pancreatic cancer. J </w:t>
      </w:r>
      <w:proofErr w:type="spellStart"/>
      <w:r w:rsidRPr="00337D85">
        <w:rPr>
          <w:rFonts w:ascii="Times New Roman" w:hAnsi="Times New Roman" w:cs="Times New Roman"/>
        </w:rPr>
        <w:t>Immunother</w:t>
      </w:r>
      <w:proofErr w:type="spellEnd"/>
      <w:r w:rsidRPr="00337D85">
        <w:rPr>
          <w:rFonts w:ascii="Times New Roman" w:hAnsi="Times New Roman" w:cs="Times New Roman"/>
        </w:rPr>
        <w:t xml:space="preserve"> Cancer. 2024 Mar 26;12(3):e008694. </w:t>
      </w:r>
      <w:proofErr w:type="spellStart"/>
      <w:r w:rsidRPr="00337D85">
        <w:rPr>
          <w:rFonts w:ascii="Times New Roman" w:hAnsi="Times New Roman" w:cs="Times New Roman"/>
        </w:rPr>
        <w:t>doi</w:t>
      </w:r>
      <w:proofErr w:type="spellEnd"/>
      <w:r w:rsidRPr="00337D85">
        <w:rPr>
          <w:rFonts w:ascii="Times New Roman" w:hAnsi="Times New Roman" w:cs="Times New Roman"/>
        </w:rPr>
        <w:t>: 10.1136/jitc-2023-008694.</w:t>
      </w:r>
    </w:p>
    <w:p w14:paraId="6BA9EEC0" w14:textId="77777777" w:rsidR="00337D85" w:rsidRPr="00337D85" w:rsidRDefault="00337D85" w:rsidP="00337D85">
      <w:pPr>
        <w:rPr>
          <w:rFonts w:ascii="Times New Roman" w:hAnsi="Times New Roman" w:cs="Times New Roman"/>
        </w:rPr>
      </w:pPr>
      <w:r w:rsidRPr="00337D85">
        <w:rPr>
          <w:rFonts w:ascii="Times New Roman" w:hAnsi="Times New Roman" w:cs="Times New Roman"/>
        </w:rPr>
        <w:t xml:space="preserve">7. Xu S, Xu Y, Chai W, et al. KLRB1 expression is associated with lung adenocarcinoma prognosis and immune infiltration and regulates lung adenocarcinoma cell proliferation and metastasis through the MAPK/ERK pathway. J </w:t>
      </w:r>
      <w:proofErr w:type="spellStart"/>
      <w:r w:rsidRPr="00337D85">
        <w:rPr>
          <w:rFonts w:ascii="Times New Roman" w:hAnsi="Times New Roman" w:cs="Times New Roman"/>
        </w:rPr>
        <w:t>Thorac</w:t>
      </w:r>
      <w:proofErr w:type="spellEnd"/>
      <w:r w:rsidRPr="00337D85">
        <w:rPr>
          <w:rFonts w:ascii="Times New Roman" w:hAnsi="Times New Roman" w:cs="Times New Roman"/>
        </w:rPr>
        <w:t xml:space="preserve"> Dis. 2024 Jun 30;16(6):3764-3781. </w:t>
      </w:r>
      <w:proofErr w:type="spellStart"/>
      <w:r w:rsidRPr="00337D85">
        <w:rPr>
          <w:rFonts w:ascii="Times New Roman" w:hAnsi="Times New Roman" w:cs="Times New Roman"/>
        </w:rPr>
        <w:t>doi</w:t>
      </w:r>
      <w:proofErr w:type="spellEnd"/>
      <w:r w:rsidRPr="00337D85">
        <w:rPr>
          <w:rFonts w:ascii="Times New Roman" w:hAnsi="Times New Roman" w:cs="Times New Roman"/>
        </w:rPr>
        <w:t>: 10.21037/jtd-24-8.</w:t>
      </w:r>
    </w:p>
    <w:p w14:paraId="71393D13" w14:textId="77777777" w:rsidR="00337D85" w:rsidRPr="00337D85" w:rsidRDefault="00337D85" w:rsidP="00337D85">
      <w:pPr>
        <w:rPr>
          <w:rFonts w:ascii="Times New Roman" w:hAnsi="Times New Roman" w:cs="Times New Roman"/>
        </w:rPr>
      </w:pPr>
      <w:r w:rsidRPr="00337D85">
        <w:rPr>
          <w:rFonts w:ascii="Times New Roman" w:hAnsi="Times New Roman" w:cs="Times New Roman"/>
        </w:rPr>
        <w:t xml:space="preserve">8. Chen JL, Wu CY, Luo XY, et al. Down-regulation of KLRB1 is associated with increased cell growth, metastasis, poor prognosis, as well as a dysfunctional immune microenvironment in LUAD. Sci Rep. 2024 May 23;14(1):11782. </w:t>
      </w:r>
      <w:proofErr w:type="spellStart"/>
      <w:r w:rsidRPr="00337D85">
        <w:rPr>
          <w:rFonts w:ascii="Times New Roman" w:hAnsi="Times New Roman" w:cs="Times New Roman"/>
        </w:rPr>
        <w:t>doi</w:t>
      </w:r>
      <w:proofErr w:type="spellEnd"/>
      <w:r w:rsidRPr="00337D85">
        <w:rPr>
          <w:rFonts w:ascii="Times New Roman" w:hAnsi="Times New Roman" w:cs="Times New Roman"/>
        </w:rPr>
        <w:t>: 10.1038/s41598-024-60414-x.</w:t>
      </w:r>
    </w:p>
    <w:p w14:paraId="3BE8EF86" w14:textId="77777777" w:rsidR="00337D85" w:rsidRPr="00337D85" w:rsidRDefault="00337D85" w:rsidP="00337D85">
      <w:pPr>
        <w:rPr>
          <w:rFonts w:ascii="Times New Roman" w:hAnsi="Times New Roman" w:cs="Times New Roman"/>
        </w:rPr>
      </w:pPr>
      <w:r w:rsidRPr="00337D85">
        <w:rPr>
          <w:rFonts w:ascii="Times New Roman" w:hAnsi="Times New Roman" w:cs="Times New Roman"/>
        </w:rPr>
        <w:t xml:space="preserve">9.Mathewson ND, </w:t>
      </w:r>
      <w:proofErr w:type="spellStart"/>
      <w:r w:rsidRPr="00337D85">
        <w:rPr>
          <w:rFonts w:ascii="Times New Roman" w:hAnsi="Times New Roman" w:cs="Times New Roman"/>
        </w:rPr>
        <w:t>Ashenberg</w:t>
      </w:r>
      <w:proofErr w:type="spellEnd"/>
      <w:r w:rsidRPr="00337D85">
        <w:rPr>
          <w:rFonts w:ascii="Times New Roman" w:hAnsi="Times New Roman" w:cs="Times New Roman"/>
        </w:rPr>
        <w:t xml:space="preserve"> O, Tirosh I, et al. Inhibitory CD161 receptor identified in glioma-infiltrating T cells by single-cell analysis. Cell. 2021 Mar 4;184(5):1281-1298.e26. </w:t>
      </w:r>
      <w:proofErr w:type="spellStart"/>
      <w:r w:rsidRPr="00337D85">
        <w:rPr>
          <w:rFonts w:ascii="Times New Roman" w:hAnsi="Times New Roman" w:cs="Times New Roman"/>
        </w:rPr>
        <w:t>doi</w:t>
      </w:r>
      <w:proofErr w:type="spellEnd"/>
      <w:r w:rsidRPr="00337D85">
        <w:rPr>
          <w:rFonts w:ascii="Times New Roman" w:hAnsi="Times New Roman" w:cs="Times New Roman"/>
        </w:rPr>
        <w:t>: 10.1016/j.cell.2021.01.022.</w:t>
      </w:r>
    </w:p>
    <w:p w14:paraId="7239B7A0" w14:textId="77777777" w:rsidR="00337D85" w:rsidRPr="00337D85" w:rsidRDefault="00337D85" w:rsidP="00337D85">
      <w:pPr>
        <w:rPr>
          <w:rFonts w:ascii="Times New Roman" w:hAnsi="Times New Roman" w:cs="Times New Roman"/>
        </w:rPr>
      </w:pPr>
      <w:r w:rsidRPr="00337D85">
        <w:rPr>
          <w:rFonts w:ascii="Times New Roman" w:hAnsi="Times New Roman" w:cs="Times New Roman"/>
        </w:rPr>
        <w:t xml:space="preserve">10. Di W, Fan W, Wu F, et al. Clinical characterization and immunosuppressive regulation of CD161 (KLRB1) in glioma through 916 samples. Cancer Sci. 2022 Feb;113(2):756-769. </w:t>
      </w:r>
      <w:proofErr w:type="spellStart"/>
      <w:r w:rsidRPr="00337D85">
        <w:rPr>
          <w:rFonts w:ascii="Times New Roman" w:hAnsi="Times New Roman" w:cs="Times New Roman"/>
        </w:rPr>
        <w:t>doi</w:t>
      </w:r>
      <w:proofErr w:type="spellEnd"/>
      <w:r w:rsidRPr="00337D85">
        <w:rPr>
          <w:rFonts w:ascii="Times New Roman" w:hAnsi="Times New Roman" w:cs="Times New Roman"/>
        </w:rPr>
        <w:t>: 10.1111/cas.15236.</w:t>
      </w:r>
    </w:p>
    <w:p w14:paraId="2B466E10" w14:textId="77777777" w:rsidR="00337D85" w:rsidRPr="00337D85" w:rsidRDefault="00337D85" w:rsidP="00337D85">
      <w:pPr>
        <w:rPr>
          <w:rFonts w:ascii="Times New Roman" w:hAnsi="Times New Roman" w:cs="Times New Roman"/>
        </w:rPr>
      </w:pPr>
      <w:r w:rsidRPr="00337D85">
        <w:rPr>
          <w:rFonts w:ascii="Times New Roman" w:hAnsi="Times New Roman" w:cs="Times New Roman"/>
        </w:rPr>
        <w:t xml:space="preserve">11. Alvarez Calderon F, Kang BH, </w:t>
      </w:r>
      <w:proofErr w:type="spellStart"/>
      <w:r w:rsidRPr="00337D85">
        <w:rPr>
          <w:rFonts w:ascii="Times New Roman" w:hAnsi="Times New Roman" w:cs="Times New Roman"/>
        </w:rPr>
        <w:t>Kyrysyuk</w:t>
      </w:r>
      <w:proofErr w:type="spellEnd"/>
      <w:r w:rsidRPr="00337D85">
        <w:rPr>
          <w:rFonts w:ascii="Times New Roman" w:hAnsi="Times New Roman" w:cs="Times New Roman"/>
        </w:rPr>
        <w:t xml:space="preserve"> O, et al. Targeting of the CD161 inhibitory receptor enhances T-cell-mediated immunity against hematological malignancies. Blood. 2024 Mar 21;143(12):1124-1138. </w:t>
      </w:r>
      <w:proofErr w:type="spellStart"/>
      <w:r w:rsidRPr="00337D85">
        <w:rPr>
          <w:rFonts w:ascii="Times New Roman" w:hAnsi="Times New Roman" w:cs="Times New Roman"/>
        </w:rPr>
        <w:t>doi</w:t>
      </w:r>
      <w:proofErr w:type="spellEnd"/>
      <w:r w:rsidRPr="00337D85">
        <w:rPr>
          <w:rFonts w:ascii="Times New Roman" w:hAnsi="Times New Roman" w:cs="Times New Roman"/>
        </w:rPr>
        <w:t>: 10.1182/blood.2023022882.</w:t>
      </w:r>
    </w:p>
    <w:p w14:paraId="61D2831F" w14:textId="47F915E2" w:rsidR="00C54FC1" w:rsidRPr="00337D85" w:rsidRDefault="00337D85" w:rsidP="00337D85">
      <w:pPr>
        <w:rPr>
          <w:rFonts w:ascii="Times New Roman" w:hAnsi="Times New Roman" w:cs="Times New Roman"/>
        </w:rPr>
      </w:pPr>
      <w:r w:rsidRPr="00337D85">
        <w:rPr>
          <w:rFonts w:ascii="Times New Roman" w:hAnsi="Times New Roman" w:cs="Times New Roman"/>
        </w:rPr>
        <w:t xml:space="preserve">12. Lao L, Zeng W, Huang P, Chen H, Jia Z, Wang P, Huang D, Chen J, Nie Y, Yang L, Wu W, Liu J. CD8+ T cell-Dependent Remodeling of the Tumor Microenvironment Overcomes Chemoresistance. Cancer Immunol Res. 2023 Mar 1;11(3):320-338. </w:t>
      </w:r>
      <w:proofErr w:type="spellStart"/>
      <w:r w:rsidRPr="00337D85">
        <w:rPr>
          <w:rFonts w:ascii="Times New Roman" w:hAnsi="Times New Roman" w:cs="Times New Roman"/>
        </w:rPr>
        <w:t>doi</w:t>
      </w:r>
      <w:proofErr w:type="spellEnd"/>
      <w:r w:rsidRPr="00337D85">
        <w:rPr>
          <w:rFonts w:ascii="Times New Roman" w:hAnsi="Times New Roman" w:cs="Times New Roman"/>
        </w:rPr>
        <w:t>: 10.1158/2326-6066.CIR-22-0356.</w:t>
      </w:r>
    </w:p>
    <w:sectPr w:rsidR="00C54FC1" w:rsidRPr="00337D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CD577" w14:textId="77777777" w:rsidR="00FC02A6" w:rsidRDefault="00FC02A6" w:rsidP="00FC02A6">
      <w:pPr>
        <w:rPr>
          <w:rFonts w:hint="eastAsia"/>
        </w:rPr>
      </w:pPr>
      <w:r>
        <w:separator/>
      </w:r>
    </w:p>
  </w:endnote>
  <w:endnote w:type="continuationSeparator" w:id="0">
    <w:p w14:paraId="57E86D64" w14:textId="77777777" w:rsidR="00FC02A6" w:rsidRDefault="00FC02A6" w:rsidP="00FC02A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783A5" w14:textId="77777777" w:rsidR="00FC02A6" w:rsidRDefault="00FC02A6" w:rsidP="00FC02A6">
      <w:pPr>
        <w:rPr>
          <w:rFonts w:hint="eastAsia"/>
        </w:rPr>
      </w:pPr>
      <w:r>
        <w:separator/>
      </w:r>
    </w:p>
  </w:footnote>
  <w:footnote w:type="continuationSeparator" w:id="0">
    <w:p w14:paraId="58B58EFF" w14:textId="77777777" w:rsidR="00FC02A6" w:rsidRDefault="00FC02A6" w:rsidP="00FC02A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C1"/>
    <w:rsid w:val="001025B6"/>
    <w:rsid w:val="00337D85"/>
    <w:rsid w:val="0043597C"/>
    <w:rsid w:val="00633430"/>
    <w:rsid w:val="00846D13"/>
    <w:rsid w:val="008B62AF"/>
    <w:rsid w:val="00A556AA"/>
    <w:rsid w:val="00B03319"/>
    <w:rsid w:val="00C54FC1"/>
    <w:rsid w:val="00CA428F"/>
    <w:rsid w:val="00FC0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C9A60"/>
  <w15:chartTrackingRefBased/>
  <w15:docId w15:val="{9B7F0F5B-C3C9-454E-9EF9-70E8E4C2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2A6"/>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2A6"/>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FC02A6"/>
    <w:rPr>
      <w:sz w:val="18"/>
      <w:szCs w:val="18"/>
    </w:rPr>
  </w:style>
  <w:style w:type="paragraph" w:styleId="a5">
    <w:name w:val="footer"/>
    <w:basedOn w:val="a"/>
    <w:link w:val="a6"/>
    <w:uiPriority w:val="99"/>
    <w:unhideWhenUsed/>
    <w:rsid w:val="00FC02A6"/>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FC02A6"/>
    <w:rPr>
      <w:sz w:val="18"/>
      <w:szCs w:val="18"/>
    </w:rPr>
  </w:style>
  <w:style w:type="table" w:customStyle="1" w:styleId="1">
    <w:name w:val="网格型1"/>
    <w:basedOn w:val="a1"/>
    <w:next w:val="a7"/>
    <w:uiPriority w:val="39"/>
    <w:rsid w:val="00A5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A5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金凤 王</dc:creator>
  <cp:keywords/>
  <dc:description/>
  <cp:lastModifiedBy>金凤 王</cp:lastModifiedBy>
  <cp:revision>8</cp:revision>
  <dcterms:created xsi:type="dcterms:W3CDTF">2024-11-27T01:54:00Z</dcterms:created>
  <dcterms:modified xsi:type="dcterms:W3CDTF">2024-11-27T01:59:00Z</dcterms:modified>
</cp:coreProperties>
</file>