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DF47" w14:textId="77777777" w:rsidR="00B63DD6" w:rsidRDefault="00000000">
      <w:pPr>
        <w:rPr>
          <w:rFonts w:eastAsia="宋体"/>
        </w:rPr>
      </w:pPr>
      <w:r>
        <w:rPr>
          <w:rFonts w:hint="eastAsia"/>
          <w:b/>
          <w:bCs/>
        </w:rPr>
        <w:t>Supplementary Table S3</w:t>
      </w:r>
      <w:r>
        <w:t xml:space="preserve">. </w:t>
      </w:r>
      <w:bookmarkStart w:id="0" w:name="_Hlk169860635"/>
      <w:r>
        <w:t>Summary of measurement properti</w:t>
      </w:r>
      <w:r>
        <w:rPr>
          <w:rFonts w:eastAsia="宋体"/>
        </w:rPr>
        <w:t>es for each PROM</w:t>
      </w:r>
      <w:bookmarkEnd w:id="0"/>
      <w:r>
        <w:rPr>
          <w:rFonts w:eastAsia="宋体" w:hint="eastAsia"/>
        </w:rPr>
        <w:t>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179"/>
        <w:gridCol w:w="531"/>
        <w:gridCol w:w="1288"/>
        <w:gridCol w:w="531"/>
        <w:gridCol w:w="1491"/>
        <w:gridCol w:w="531"/>
        <w:gridCol w:w="1351"/>
        <w:gridCol w:w="531"/>
        <w:gridCol w:w="1562"/>
        <w:gridCol w:w="531"/>
        <w:gridCol w:w="1776"/>
      </w:tblGrid>
      <w:tr w:rsidR="00B63DD6" w14:paraId="12084A88" w14:textId="77777777">
        <w:trPr>
          <w:cantSplit/>
          <w:tblHeader/>
        </w:trPr>
        <w:tc>
          <w:tcPr>
            <w:tcW w:w="656" w:type="pct"/>
            <w:tcBorders>
              <w:top w:val="single" w:sz="12" w:space="0" w:color="auto"/>
            </w:tcBorders>
          </w:tcPr>
          <w:p w14:paraId="26BD60A4" w14:textId="77777777" w:rsidR="00B63DD6" w:rsidRDefault="00000000">
            <w:r>
              <w:t>PROM</w:t>
            </w:r>
          </w:p>
        </w:tc>
        <w:tc>
          <w:tcPr>
            <w:tcW w:w="456" w:type="pct"/>
            <w:tcBorders>
              <w:top w:val="single" w:sz="12" w:space="0" w:color="auto"/>
            </w:tcBorders>
          </w:tcPr>
          <w:p w14:paraId="4A312FBF" w14:textId="77777777" w:rsidR="00B63DD6" w:rsidRDefault="00000000">
            <w:r>
              <w:t>Content validity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</w:tcBorders>
          </w:tcPr>
          <w:p w14:paraId="5C0186C1" w14:textId="77777777" w:rsidR="00B63DD6" w:rsidRDefault="00000000">
            <w:r>
              <w:t>Structural validity</w:t>
            </w:r>
          </w:p>
        </w:tc>
        <w:tc>
          <w:tcPr>
            <w:tcW w:w="776" w:type="pct"/>
            <w:gridSpan w:val="2"/>
            <w:tcBorders>
              <w:top w:val="single" w:sz="12" w:space="0" w:color="auto"/>
            </w:tcBorders>
          </w:tcPr>
          <w:p w14:paraId="419B882F" w14:textId="77777777" w:rsidR="00B63DD6" w:rsidRDefault="00000000">
            <w:r>
              <w:t>Internal consistency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</w:tcPr>
          <w:p w14:paraId="06C44666" w14:textId="77777777" w:rsidR="00B63DD6" w:rsidRDefault="00000000">
            <w:r>
              <w:t>Reliability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</w:tcBorders>
          </w:tcPr>
          <w:p w14:paraId="32CD69EF" w14:textId="77777777" w:rsidR="00B63DD6" w:rsidRDefault="00000000">
            <w:r>
              <w:t>Criterion validity</w:t>
            </w:r>
          </w:p>
        </w:tc>
        <w:tc>
          <w:tcPr>
            <w:tcW w:w="885" w:type="pct"/>
            <w:gridSpan w:val="2"/>
            <w:tcBorders>
              <w:top w:val="single" w:sz="12" w:space="0" w:color="auto"/>
            </w:tcBorders>
          </w:tcPr>
          <w:p w14:paraId="0D65B61E" w14:textId="77777777" w:rsidR="00B63DD6" w:rsidRDefault="00000000">
            <w:r>
              <w:t>Hypotheses testing</w:t>
            </w:r>
          </w:p>
        </w:tc>
      </w:tr>
      <w:tr w:rsidR="00B63DD6" w14:paraId="1C614EB1" w14:textId="77777777">
        <w:trPr>
          <w:cantSplit/>
          <w:tblHeader/>
        </w:trPr>
        <w:tc>
          <w:tcPr>
            <w:tcW w:w="656" w:type="pct"/>
            <w:tcBorders>
              <w:bottom w:val="single" w:sz="6" w:space="0" w:color="auto"/>
            </w:tcBorders>
          </w:tcPr>
          <w:p w14:paraId="63200EA2" w14:textId="77777777" w:rsidR="00B63DD6" w:rsidRDefault="00B63DD6"/>
        </w:tc>
        <w:tc>
          <w:tcPr>
            <w:tcW w:w="456" w:type="pct"/>
            <w:tcBorders>
              <w:bottom w:val="single" w:sz="6" w:space="0" w:color="auto"/>
            </w:tcBorders>
          </w:tcPr>
          <w:p w14:paraId="5FDE44C7" w14:textId="77777777" w:rsidR="00B63DD6" w:rsidRDefault="00B63DD6"/>
        </w:tc>
        <w:tc>
          <w:tcPr>
            <w:tcW w:w="200" w:type="pct"/>
            <w:tcBorders>
              <w:bottom w:val="single" w:sz="6" w:space="0" w:color="auto"/>
            </w:tcBorders>
          </w:tcPr>
          <w:p w14:paraId="6D015DA8" w14:textId="77777777" w:rsidR="00B63DD6" w:rsidRDefault="00000000">
            <w:pPr>
              <w:pBdr>
                <w:top w:val="single" w:sz="6" w:space="1" w:color="auto"/>
              </w:pBdr>
            </w:pPr>
            <w:r>
              <w:t>n</w:t>
            </w:r>
          </w:p>
        </w:tc>
        <w:tc>
          <w:tcPr>
            <w:tcW w:w="498" w:type="pct"/>
            <w:tcBorders>
              <w:bottom w:val="single" w:sz="6" w:space="0" w:color="auto"/>
            </w:tcBorders>
          </w:tcPr>
          <w:p w14:paraId="6872EE4A" w14:textId="77777777" w:rsidR="00B63DD6" w:rsidRDefault="00000000">
            <w:pPr>
              <w:pBdr>
                <w:top w:val="single" w:sz="6" w:space="1" w:color="auto"/>
              </w:pBdr>
            </w:pPr>
            <w:r>
              <w:t>Result</w:t>
            </w:r>
          </w:p>
        </w:tc>
        <w:tc>
          <w:tcPr>
            <w:tcW w:w="200" w:type="pct"/>
            <w:tcBorders>
              <w:bottom w:val="single" w:sz="6" w:space="0" w:color="auto"/>
            </w:tcBorders>
          </w:tcPr>
          <w:p w14:paraId="1C2C7B41" w14:textId="77777777" w:rsidR="00B63DD6" w:rsidRDefault="00000000">
            <w:pPr>
              <w:pBdr>
                <w:top w:val="single" w:sz="6" w:space="1" w:color="auto"/>
              </w:pBdr>
            </w:pPr>
            <w:r>
              <w:t>n</w:t>
            </w:r>
          </w:p>
        </w:tc>
        <w:tc>
          <w:tcPr>
            <w:tcW w:w="576" w:type="pct"/>
            <w:tcBorders>
              <w:bottom w:val="single" w:sz="6" w:space="0" w:color="auto"/>
            </w:tcBorders>
          </w:tcPr>
          <w:p w14:paraId="71813571" w14:textId="77777777" w:rsidR="00B63DD6" w:rsidRDefault="00000000">
            <w:pPr>
              <w:pBdr>
                <w:top w:val="single" w:sz="6" w:space="1" w:color="auto"/>
              </w:pBdr>
            </w:pPr>
            <w:r>
              <w:t>Result</w:t>
            </w:r>
          </w:p>
        </w:tc>
        <w:tc>
          <w:tcPr>
            <w:tcW w:w="200" w:type="pct"/>
            <w:tcBorders>
              <w:bottom w:val="single" w:sz="6" w:space="0" w:color="auto"/>
            </w:tcBorders>
          </w:tcPr>
          <w:p w14:paraId="04EC1F2C" w14:textId="77777777" w:rsidR="00B63DD6" w:rsidRDefault="00000000">
            <w:pPr>
              <w:pBdr>
                <w:top w:val="single" w:sz="6" w:space="1" w:color="auto"/>
              </w:pBdr>
            </w:pPr>
            <w:r>
              <w:t>n</w:t>
            </w:r>
          </w:p>
        </w:tc>
        <w:tc>
          <w:tcPr>
            <w:tcW w:w="521" w:type="pct"/>
            <w:tcBorders>
              <w:bottom w:val="single" w:sz="6" w:space="0" w:color="auto"/>
            </w:tcBorders>
          </w:tcPr>
          <w:p w14:paraId="71749CD8" w14:textId="77777777" w:rsidR="00B63DD6" w:rsidRDefault="00000000">
            <w:pPr>
              <w:pBdr>
                <w:top w:val="single" w:sz="6" w:space="1" w:color="auto"/>
              </w:pBdr>
            </w:pPr>
            <w:r>
              <w:t>Result</w:t>
            </w:r>
          </w:p>
        </w:tc>
        <w:tc>
          <w:tcPr>
            <w:tcW w:w="200" w:type="pct"/>
            <w:tcBorders>
              <w:bottom w:val="single" w:sz="6" w:space="0" w:color="auto"/>
            </w:tcBorders>
          </w:tcPr>
          <w:p w14:paraId="21B1FDB6" w14:textId="77777777" w:rsidR="00B63DD6" w:rsidRDefault="00000000">
            <w:pPr>
              <w:pBdr>
                <w:top w:val="single" w:sz="6" w:space="1" w:color="auto"/>
              </w:pBdr>
            </w:pPr>
            <w:r>
              <w:t>n</w:t>
            </w:r>
          </w:p>
        </w:tc>
        <w:tc>
          <w:tcPr>
            <w:tcW w:w="602" w:type="pct"/>
            <w:tcBorders>
              <w:bottom w:val="single" w:sz="6" w:space="0" w:color="auto"/>
            </w:tcBorders>
          </w:tcPr>
          <w:p w14:paraId="445EF0AE" w14:textId="77777777" w:rsidR="00B63DD6" w:rsidRDefault="00000000">
            <w:pPr>
              <w:pBdr>
                <w:top w:val="single" w:sz="6" w:space="1" w:color="auto"/>
              </w:pBdr>
            </w:pPr>
            <w:r>
              <w:t>Result</w:t>
            </w:r>
          </w:p>
        </w:tc>
        <w:tc>
          <w:tcPr>
            <w:tcW w:w="201" w:type="pct"/>
            <w:tcBorders>
              <w:bottom w:val="single" w:sz="6" w:space="0" w:color="auto"/>
            </w:tcBorders>
          </w:tcPr>
          <w:p w14:paraId="09441A95" w14:textId="77777777" w:rsidR="00B63DD6" w:rsidRDefault="00000000">
            <w:pPr>
              <w:pBdr>
                <w:top w:val="single" w:sz="6" w:space="1" w:color="auto"/>
              </w:pBdr>
            </w:pPr>
            <w:r>
              <w:t>n</w:t>
            </w:r>
          </w:p>
        </w:tc>
        <w:tc>
          <w:tcPr>
            <w:tcW w:w="684" w:type="pct"/>
            <w:tcBorders>
              <w:bottom w:val="single" w:sz="6" w:space="0" w:color="auto"/>
            </w:tcBorders>
          </w:tcPr>
          <w:p w14:paraId="14BC71AA" w14:textId="77777777" w:rsidR="00B63DD6" w:rsidRDefault="00000000">
            <w:pPr>
              <w:pBdr>
                <w:top w:val="single" w:sz="6" w:space="1" w:color="auto"/>
              </w:pBdr>
            </w:pPr>
            <w:r>
              <w:t>Result</w:t>
            </w:r>
          </w:p>
        </w:tc>
      </w:tr>
      <w:tr w:rsidR="00B63DD6" w14:paraId="408F69B4" w14:textId="77777777">
        <w:trPr>
          <w:cantSplit/>
        </w:trPr>
        <w:tc>
          <w:tcPr>
            <w:tcW w:w="656" w:type="pct"/>
            <w:tcBorders>
              <w:top w:val="single" w:sz="6" w:space="0" w:color="auto"/>
            </w:tcBorders>
          </w:tcPr>
          <w:p w14:paraId="5C149E29" w14:textId="1464B108" w:rsidR="00B63DD6" w:rsidRDefault="00000000">
            <w:pPr>
              <w:rPr>
                <w:rFonts w:eastAsia="宋体"/>
              </w:rPr>
            </w:pPr>
            <w:r>
              <w:t xml:space="preserve">Self-assessment </w:t>
            </w:r>
            <w:r>
              <w:rPr>
                <w:rFonts w:hint="eastAsia"/>
              </w:rPr>
              <w:t>A</w:t>
            </w:r>
            <w:r>
              <w:t xml:space="preserve">dherence </w:t>
            </w:r>
            <w:r>
              <w:rPr>
                <w:rFonts w:hint="eastAsia"/>
              </w:rPr>
              <w:t>Q</w:t>
            </w:r>
            <w:r>
              <w:t>uestionnaire Daouphars et al</w:t>
            </w:r>
            <w:r w:rsidR="005372CF"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2013</w:t>
            </w:r>
            <w:r>
              <w:rPr>
                <w:rFonts w:hint="eastAsia"/>
              </w:rPr>
              <w:t>)</w:t>
            </w:r>
          </w:p>
        </w:tc>
        <w:tc>
          <w:tcPr>
            <w:tcW w:w="456" w:type="pct"/>
            <w:tcBorders>
              <w:top w:val="single" w:sz="6" w:space="0" w:color="auto"/>
            </w:tcBorders>
          </w:tcPr>
          <w:p w14:paraId="1E047E23" w14:textId="77777777" w:rsidR="00B63DD6" w:rsidRDefault="00B63DD6"/>
        </w:tc>
        <w:tc>
          <w:tcPr>
            <w:tcW w:w="200" w:type="pct"/>
            <w:tcBorders>
              <w:top w:val="single" w:sz="6" w:space="0" w:color="auto"/>
            </w:tcBorders>
          </w:tcPr>
          <w:p w14:paraId="2D67C621" w14:textId="77777777" w:rsidR="00B63DD6" w:rsidRDefault="00B63DD6"/>
        </w:tc>
        <w:tc>
          <w:tcPr>
            <w:tcW w:w="498" w:type="pct"/>
            <w:tcBorders>
              <w:top w:val="single" w:sz="6" w:space="0" w:color="auto"/>
            </w:tcBorders>
          </w:tcPr>
          <w:p w14:paraId="0128A96C" w14:textId="77777777" w:rsidR="00B63DD6" w:rsidRDefault="00B63DD6"/>
        </w:tc>
        <w:tc>
          <w:tcPr>
            <w:tcW w:w="200" w:type="pct"/>
            <w:tcBorders>
              <w:top w:val="single" w:sz="6" w:space="0" w:color="auto"/>
            </w:tcBorders>
          </w:tcPr>
          <w:p w14:paraId="0FF84803" w14:textId="77777777" w:rsidR="00B63DD6" w:rsidRDefault="00000000">
            <w:r>
              <w:t>46</w:t>
            </w:r>
          </w:p>
        </w:tc>
        <w:tc>
          <w:tcPr>
            <w:tcW w:w="576" w:type="pct"/>
            <w:tcBorders>
              <w:top w:val="single" w:sz="6" w:space="0" w:color="auto"/>
            </w:tcBorders>
          </w:tcPr>
          <w:p w14:paraId="42EF6246" w14:textId="77777777" w:rsidR="00B63DD6" w:rsidRDefault="00000000">
            <w:r>
              <w:t xml:space="preserve">Cronbach’s alpha for overall tool: 0.55 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14:paraId="7499EBD5" w14:textId="77777777" w:rsidR="00B63DD6" w:rsidRDefault="00B63DD6"/>
        </w:tc>
        <w:tc>
          <w:tcPr>
            <w:tcW w:w="521" w:type="pct"/>
            <w:tcBorders>
              <w:top w:val="single" w:sz="6" w:space="0" w:color="auto"/>
            </w:tcBorders>
          </w:tcPr>
          <w:p w14:paraId="4FF94F27" w14:textId="77777777" w:rsidR="00B63DD6" w:rsidRDefault="00B63DD6"/>
        </w:tc>
        <w:tc>
          <w:tcPr>
            <w:tcW w:w="200" w:type="pct"/>
            <w:tcBorders>
              <w:top w:val="single" w:sz="6" w:space="0" w:color="auto"/>
            </w:tcBorders>
          </w:tcPr>
          <w:p w14:paraId="2A5E5FEA" w14:textId="77777777" w:rsidR="00B63DD6" w:rsidRDefault="00000000">
            <w:r>
              <w:t>39</w:t>
            </w:r>
          </w:p>
        </w:tc>
        <w:tc>
          <w:tcPr>
            <w:tcW w:w="602" w:type="pct"/>
            <w:tcBorders>
              <w:top w:val="single" w:sz="6" w:space="0" w:color="auto"/>
            </w:tcBorders>
          </w:tcPr>
          <w:p w14:paraId="01925832" w14:textId="77777777" w:rsidR="00B63DD6" w:rsidRDefault="00000000">
            <w:r>
              <w:t xml:space="preserve">Medication possession ratio ≥ 90% was considered adherent: the specificity was 0.97 when the cut-off was 8 points </w:t>
            </w:r>
          </w:p>
        </w:tc>
        <w:tc>
          <w:tcPr>
            <w:tcW w:w="201" w:type="pct"/>
            <w:tcBorders>
              <w:top w:val="single" w:sz="6" w:space="0" w:color="auto"/>
            </w:tcBorders>
          </w:tcPr>
          <w:p w14:paraId="664E34E1" w14:textId="77777777" w:rsidR="00B63DD6" w:rsidRDefault="00B63DD6"/>
        </w:tc>
        <w:tc>
          <w:tcPr>
            <w:tcW w:w="684" w:type="pct"/>
            <w:tcBorders>
              <w:top w:val="single" w:sz="6" w:space="0" w:color="auto"/>
            </w:tcBorders>
          </w:tcPr>
          <w:p w14:paraId="614F76DA" w14:textId="77777777" w:rsidR="00B63DD6" w:rsidRDefault="00B63DD6"/>
        </w:tc>
      </w:tr>
      <w:tr w:rsidR="00B63DD6" w14:paraId="4B67BA22" w14:textId="77777777">
        <w:trPr>
          <w:cantSplit/>
        </w:trPr>
        <w:tc>
          <w:tcPr>
            <w:tcW w:w="656" w:type="pct"/>
            <w:tcBorders>
              <w:top w:val="single" w:sz="6" w:space="0" w:color="auto"/>
            </w:tcBorders>
          </w:tcPr>
          <w:p w14:paraId="1C816195" w14:textId="77777777" w:rsidR="00B63DD6" w:rsidRDefault="00000000">
            <w:pPr>
              <w:rPr>
                <w:b/>
                <w:bCs/>
              </w:rPr>
            </w:pPr>
            <w:r>
              <w:t>Turkish-Version Oral</w:t>
            </w:r>
            <w:r>
              <w:rPr>
                <w:rFonts w:hint="eastAsia"/>
              </w:rPr>
              <w:t xml:space="preserve"> </w:t>
            </w:r>
            <w:r>
              <w:t>Chemotherapy Adherence Scale (T-OCAS)</w:t>
            </w:r>
          </w:p>
          <w:p w14:paraId="264C4AC7" w14:textId="77777777" w:rsidR="00B63DD6" w:rsidRDefault="00000000">
            <w:r>
              <w:t>Bagcivan &amp; Akbayrak</w:t>
            </w:r>
            <w:r>
              <w:rPr>
                <w:rFonts w:hint="eastAsia"/>
              </w:rPr>
              <w:t xml:space="preserve"> </w:t>
            </w:r>
            <w:r>
              <w:t>(2015)</w:t>
            </w:r>
          </w:p>
        </w:tc>
        <w:tc>
          <w:tcPr>
            <w:tcW w:w="456" w:type="pct"/>
            <w:tcBorders>
              <w:top w:val="single" w:sz="6" w:space="0" w:color="auto"/>
            </w:tcBorders>
          </w:tcPr>
          <w:p w14:paraId="4622F2E1" w14:textId="77777777" w:rsidR="00B63DD6" w:rsidRDefault="00000000">
            <w:r>
              <w:t>Face validity with 30 patients; Content validity with 17 experts: 0.90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14:paraId="68883AF1" w14:textId="77777777" w:rsidR="00B63DD6" w:rsidRDefault="00000000">
            <w:r>
              <w:t>306</w:t>
            </w:r>
          </w:p>
        </w:tc>
        <w:tc>
          <w:tcPr>
            <w:tcW w:w="498" w:type="pct"/>
            <w:tcBorders>
              <w:top w:val="single" w:sz="6" w:space="0" w:color="auto"/>
            </w:tcBorders>
          </w:tcPr>
          <w:p w14:paraId="4A8040BA" w14:textId="77777777" w:rsidR="00B63DD6" w:rsidRDefault="00000000">
            <w:r>
              <w:t>EFA: 4</w:t>
            </w:r>
            <w:r>
              <w:rPr>
                <w:rFonts w:hint="eastAsia"/>
              </w:rPr>
              <w:t>3</w:t>
            </w:r>
            <w:r>
              <w:t xml:space="preserve">% of the variance was explained by 3 factors 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14:paraId="396E9909" w14:textId="77777777" w:rsidR="00B63DD6" w:rsidRDefault="00000000">
            <w:r>
              <w:t>306</w:t>
            </w:r>
          </w:p>
        </w:tc>
        <w:tc>
          <w:tcPr>
            <w:tcW w:w="576" w:type="pct"/>
            <w:tcBorders>
              <w:top w:val="single" w:sz="6" w:space="0" w:color="auto"/>
            </w:tcBorders>
          </w:tcPr>
          <w:p w14:paraId="291D4726" w14:textId="77777777" w:rsidR="00B63DD6" w:rsidRDefault="00000000">
            <w:r>
              <w:t xml:space="preserve">Cronbach’s alpha for overall tool: 0.71 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14:paraId="2046CB7D" w14:textId="77777777" w:rsidR="00B63DD6" w:rsidRDefault="00000000">
            <w:r>
              <w:t>102</w:t>
            </w:r>
          </w:p>
        </w:tc>
        <w:tc>
          <w:tcPr>
            <w:tcW w:w="521" w:type="pct"/>
            <w:tcBorders>
              <w:top w:val="single" w:sz="6" w:space="0" w:color="auto"/>
            </w:tcBorders>
          </w:tcPr>
          <w:p w14:paraId="4BDD6287" w14:textId="77777777" w:rsidR="00B63DD6" w:rsidRDefault="00000000">
            <w:r>
              <w:t>Retested after 2-4 weeks: The Pearson correlation coefficient was 0.97</w:t>
            </w:r>
          </w:p>
        </w:tc>
        <w:tc>
          <w:tcPr>
            <w:tcW w:w="200" w:type="pct"/>
            <w:tcBorders>
              <w:top w:val="single" w:sz="6" w:space="0" w:color="auto"/>
            </w:tcBorders>
          </w:tcPr>
          <w:p w14:paraId="70EFB4B4" w14:textId="77777777" w:rsidR="00B63DD6" w:rsidRDefault="00000000">
            <w:r>
              <w:t>100</w:t>
            </w:r>
          </w:p>
        </w:tc>
        <w:tc>
          <w:tcPr>
            <w:tcW w:w="602" w:type="pct"/>
            <w:tcBorders>
              <w:top w:val="single" w:sz="6" w:space="0" w:color="auto"/>
            </w:tcBorders>
          </w:tcPr>
          <w:p w14:paraId="7539B66C" w14:textId="77777777" w:rsidR="00B63DD6" w:rsidRDefault="00000000">
            <w:r>
              <w:t>Medication Adherence Self-Efficacy Scale r=0.32</w:t>
            </w:r>
          </w:p>
        </w:tc>
        <w:tc>
          <w:tcPr>
            <w:tcW w:w="201" w:type="pct"/>
            <w:tcBorders>
              <w:top w:val="single" w:sz="6" w:space="0" w:color="auto"/>
            </w:tcBorders>
          </w:tcPr>
          <w:p w14:paraId="095F5862" w14:textId="77777777" w:rsidR="00B63DD6" w:rsidRDefault="00B63DD6"/>
        </w:tc>
        <w:tc>
          <w:tcPr>
            <w:tcW w:w="684" w:type="pct"/>
            <w:tcBorders>
              <w:top w:val="single" w:sz="6" w:space="0" w:color="auto"/>
            </w:tcBorders>
          </w:tcPr>
          <w:p w14:paraId="30BAE30B" w14:textId="77777777" w:rsidR="00B63DD6" w:rsidRDefault="00B63DD6"/>
        </w:tc>
      </w:tr>
      <w:tr w:rsidR="00B63DD6" w14:paraId="18BE86DA" w14:textId="77777777">
        <w:trPr>
          <w:cantSplit/>
        </w:trPr>
        <w:tc>
          <w:tcPr>
            <w:tcW w:w="656" w:type="pct"/>
            <w:tcBorders>
              <w:bottom w:val="single" w:sz="12" w:space="0" w:color="auto"/>
            </w:tcBorders>
          </w:tcPr>
          <w:p w14:paraId="58D6F66E" w14:textId="77777777" w:rsidR="00B63DD6" w:rsidRDefault="00000000">
            <w:pPr>
              <w:rPr>
                <w:b/>
                <w:bCs/>
              </w:rPr>
            </w:pPr>
            <w:r>
              <w:lastRenderedPageBreak/>
              <w:t>Measuring Adherence and Management of Side Effects in Patients Treated with Capecitabine</w:t>
            </w:r>
          </w:p>
          <w:p w14:paraId="49B8C436" w14:textId="35053D19" w:rsidR="00B63DD6" w:rsidRDefault="00000000">
            <w:r>
              <w:t>Baudot et al</w:t>
            </w:r>
            <w:r w:rsidR="005372CF">
              <w:rPr>
                <w:rFonts w:hint="eastAsia"/>
              </w:rPr>
              <w:t>.</w:t>
            </w:r>
            <w:r>
              <w:t xml:space="preserve"> (2016)</w:t>
            </w:r>
          </w:p>
        </w:tc>
        <w:tc>
          <w:tcPr>
            <w:tcW w:w="456" w:type="pct"/>
            <w:tcBorders>
              <w:bottom w:val="single" w:sz="12" w:space="0" w:color="auto"/>
            </w:tcBorders>
          </w:tcPr>
          <w:p w14:paraId="504C14D2" w14:textId="77777777" w:rsidR="00B63DD6" w:rsidRDefault="00000000">
            <w:r>
              <w:t>Face validity with 15 patients; Content validity with 2 experts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11C7A7E4" w14:textId="77777777" w:rsidR="00B63DD6" w:rsidRDefault="00000000">
            <w:r>
              <w:t>67</w:t>
            </w:r>
          </w:p>
        </w:tc>
        <w:tc>
          <w:tcPr>
            <w:tcW w:w="498" w:type="pct"/>
            <w:tcBorders>
              <w:bottom w:val="single" w:sz="12" w:space="0" w:color="auto"/>
            </w:tcBorders>
          </w:tcPr>
          <w:p w14:paraId="33808303" w14:textId="77777777" w:rsidR="00B63DD6" w:rsidRDefault="00000000">
            <w:r>
              <w:t>The correlation coefficient between the items does not exceed 0.61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642ED1DF" w14:textId="77777777" w:rsidR="00B63DD6" w:rsidRDefault="00000000">
            <w:r>
              <w:t>67</w:t>
            </w:r>
          </w:p>
        </w:tc>
        <w:tc>
          <w:tcPr>
            <w:tcW w:w="576" w:type="pct"/>
            <w:tcBorders>
              <w:bottom w:val="single" w:sz="12" w:space="0" w:color="auto"/>
            </w:tcBorders>
          </w:tcPr>
          <w:p w14:paraId="7336324C" w14:textId="77777777" w:rsidR="00B63DD6" w:rsidRDefault="00000000">
            <w:r>
              <w:t>The correlation coefficient between the items: 0.02-0.61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01348918" w14:textId="77777777" w:rsidR="00B63DD6" w:rsidRDefault="00B63DD6"/>
        </w:tc>
        <w:tc>
          <w:tcPr>
            <w:tcW w:w="521" w:type="pct"/>
            <w:tcBorders>
              <w:bottom w:val="single" w:sz="12" w:space="0" w:color="auto"/>
            </w:tcBorders>
          </w:tcPr>
          <w:p w14:paraId="577C1E61" w14:textId="77777777" w:rsidR="00B63DD6" w:rsidRDefault="00B63DD6"/>
        </w:tc>
        <w:tc>
          <w:tcPr>
            <w:tcW w:w="200" w:type="pct"/>
            <w:tcBorders>
              <w:bottom w:val="single" w:sz="12" w:space="0" w:color="auto"/>
            </w:tcBorders>
          </w:tcPr>
          <w:p w14:paraId="4FA66613" w14:textId="77777777" w:rsidR="00B63DD6" w:rsidRDefault="00B63DD6"/>
        </w:tc>
        <w:tc>
          <w:tcPr>
            <w:tcW w:w="602" w:type="pct"/>
            <w:tcBorders>
              <w:bottom w:val="single" w:sz="12" w:space="0" w:color="auto"/>
            </w:tcBorders>
          </w:tcPr>
          <w:p w14:paraId="3DA6CF5A" w14:textId="77777777" w:rsidR="00B63DD6" w:rsidRDefault="00B63DD6"/>
        </w:tc>
        <w:tc>
          <w:tcPr>
            <w:tcW w:w="201" w:type="pct"/>
            <w:tcBorders>
              <w:bottom w:val="single" w:sz="12" w:space="0" w:color="auto"/>
            </w:tcBorders>
          </w:tcPr>
          <w:p w14:paraId="436D917A" w14:textId="77777777" w:rsidR="00B63DD6" w:rsidRDefault="00000000">
            <w:r>
              <w:t>67</w:t>
            </w:r>
          </w:p>
        </w:tc>
        <w:tc>
          <w:tcPr>
            <w:tcW w:w="684" w:type="pct"/>
            <w:tcBorders>
              <w:bottom w:val="single" w:sz="12" w:space="0" w:color="auto"/>
            </w:tcBorders>
          </w:tcPr>
          <w:p w14:paraId="5D72D0BB" w14:textId="77777777" w:rsidR="00B63DD6" w:rsidRDefault="00000000">
            <w:r>
              <w:t xml:space="preserve">A hypothesis was confirmed: no difference in the scores between breast and colon cancer patients </w:t>
            </w:r>
          </w:p>
        </w:tc>
      </w:tr>
      <w:tr w:rsidR="00B63DD6" w14:paraId="7DEB7EAF" w14:textId="77777777">
        <w:trPr>
          <w:cantSplit/>
        </w:trPr>
        <w:tc>
          <w:tcPr>
            <w:tcW w:w="656" w:type="pct"/>
          </w:tcPr>
          <w:p w14:paraId="4D912171" w14:textId="77777777" w:rsidR="00B63DD6" w:rsidRDefault="00000000">
            <w:r>
              <w:t>Chinese-Version Oral Chemotherapy Adherence Scale (C-OCAS)</w:t>
            </w:r>
          </w:p>
          <w:p w14:paraId="53BCDA0B" w14:textId="1BF26AE7" w:rsidR="00B63DD6" w:rsidRDefault="005372CF">
            <w:pPr>
              <w:rPr>
                <w:rFonts w:eastAsia="宋体"/>
              </w:rPr>
            </w:pPr>
            <w:r w:rsidRPr="005372CF">
              <w:t>Li, Sun &amp; Dong (2018)</w:t>
            </w:r>
          </w:p>
        </w:tc>
        <w:tc>
          <w:tcPr>
            <w:tcW w:w="456" w:type="pct"/>
          </w:tcPr>
          <w:p w14:paraId="0F05CAB7" w14:textId="77777777" w:rsidR="00B63DD6" w:rsidRDefault="00000000">
            <w:r>
              <w:t>Face validity with 30 patients; Content validity with 5 experts: 0.93</w:t>
            </w:r>
          </w:p>
        </w:tc>
        <w:tc>
          <w:tcPr>
            <w:tcW w:w="200" w:type="pct"/>
          </w:tcPr>
          <w:p w14:paraId="6C3E857A" w14:textId="77777777" w:rsidR="00B63DD6" w:rsidRDefault="00000000">
            <w:r>
              <w:t>201</w:t>
            </w:r>
          </w:p>
        </w:tc>
        <w:tc>
          <w:tcPr>
            <w:tcW w:w="498" w:type="pct"/>
          </w:tcPr>
          <w:p w14:paraId="35937F99" w14:textId="77777777" w:rsidR="00B63DD6" w:rsidRDefault="00000000">
            <w:r>
              <w:t>EFA: 65% of the variance was explained by 3 factors</w:t>
            </w:r>
          </w:p>
        </w:tc>
        <w:tc>
          <w:tcPr>
            <w:tcW w:w="200" w:type="pct"/>
          </w:tcPr>
          <w:p w14:paraId="7692E82C" w14:textId="77777777" w:rsidR="00B63DD6" w:rsidRDefault="00000000">
            <w:r>
              <w:t>201</w:t>
            </w:r>
          </w:p>
        </w:tc>
        <w:tc>
          <w:tcPr>
            <w:tcW w:w="576" w:type="pct"/>
          </w:tcPr>
          <w:p w14:paraId="7CE1C6C8" w14:textId="77777777" w:rsidR="00B63DD6" w:rsidRDefault="00000000">
            <w:r>
              <w:t xml:space="preserve">Cronbach’s alpha for each subscale: 0.72-0.84 </w:t>
            </w:r>
          </w:p>
        </w:tc>
        <w:tc>
          <w:tcPr>
            <w:tcW w:w="200" w:type="pct"/>
          </w:tcPr>
          <w:p w14:paraId="7C93EEF3" w14:textId="77777777" w:rsidR="00B63DD6" w:rsidRDefault="00000000">
            <w:r>
              <w:t>30</w:t>
            </w:r>
          </w:p>
        </w:tc>
        <w:tc>
          <w:tcPr>
            <w:tcW w:w="521" w:type="pct"/>
          </w:tcPr>
          <w:p w14:paraId="5242C9B3" w14:textId="77777777" w:rsidR="00B63DD6" w:rsidRDefault="00000000">
            <w:r>
              <w:t>Retested after 2 weeks: The Pearson correlation coefficient was 0.74</w:t>
            </w:r>
          </w:p>
        </w:tc>
        <w:tc>
          <w:tcPr>
            <w:tcW w:w="200" w:type="pct"/>
          </w:tcPr>
          <w:p w14:paraId="6740C7BE" w14:textId="77777777" w:rsidR="00B63DD6" w:rsidRDefault="00B63DD6"/>
        </w:tc>
        <w:tc>
          <w:tcPr>
            <w:tcW w:w="602" w:type="pct"/>
          </w:tcPr>
          <w:p w14:paraId="3B3BBD8F" w14:textId="77777777" w:rsidR="00B63DD6" w:rsidRDefault="00B63DD6"/>
        </w:tc>
        <w:tc>
          <w:tcPr>
            <w:tcW w:w="201" w:type="pct"/>
          </w:tcPr>
          <w:p w14:paraId="7DE3E240" w14:textId="77777777" w:rsidR="00B63DD6" w:rsidRDefault="00B63DD6"/>
        </w:tc>
        <w:tc>
          <w:tcPr>
            <w:tcW w:w="684" w:type="pct"/>
          </w:tcPr>
          <w:p w14:paraId="2A6BA025" w14:textId="77777777" w:rsidR="00B63DD6" w:rsidRDefault="00B63DD6"/>
        </w:tc>
      </w:tr>
      <w:tr w:rsidR="00B63DD6" w14:paraId="6A56DE2B" w14:textId="77777777">
        <w:trPr>
          <w:cantSplit/>
        </w:trPr>
        <w:tc>
          <w:tcPr>
            <w:tcW w:w="656" w:type="pct"/>
            <w:tcBorders>
              <w:bottom w:val="single" w:sz="12" w:space="0" w:color="auto"/>
            </w:tcBorders>
          </w:tcPr>
          <w:p w14:paraId="4E67F835" w14:textId="77777777" w:rsidR="00B63DD6" w:rsidRDefault="00000000">
            <w:r>
              <w:t>Morisky Medication Adherence Scale-8 (MMAS-8)</w:t>
            </w:r>
          </w:p>
          <w:p w14:paraId="05A9F42E" w14:textId="635BD4F3" w:rsidR="00B63DD6" w:rsidRDefault="00000000">
            <w:pPr>
              <w:rPr>
                <w:rFonts w:eastAsia="宋体"/>
              </w:rPr>
            </w:pPr>
            <w:r>
              <w:t>Qin et al</w:t>
            </w:r>
            <w:r w:rsidR="005372CF">
              <w:rPr>
                <w:rFonts w:hint="eastAsia"/>
              </w:rPr>
              <w:t xml:space="preserve">. </w:t>
            </w:r>
            <w:r>
              <w:t>(20</w:t>
            </w:r>
            <w:r>
              <w:rPr>
                <w:rFonts w:hint="eastAsia"/>
              </w:rPr>
              <w:t>2</w:t>
            </w:r>
            <w:r>
              <w:t>0)</w:t>
            </w:r>
          </w:p>
        </w:tc>
        <w:tc>
          <w:tcPr>
            <w:tcW w:w="456" w:type="pct"/>
            <w:tcBorders>
              <w:bottom w:val="single" w:sz="12" w:space="0" w:color="auto"/>
            </w:tcBorders>
          </w:tcPr>
          <w:p w14:paraId="640943E7" w14:textId="77777777" w:rsidR="00B63DD6" w:rsidRDefault="00B63DD6"/>
        </w:tc>
        <w:tc>
          <w:tcPr>
            <w:tcW w:w="200" w:type="pct"/>
            <w:tcBorders>
              <w:bottom w:val="single" w:sz="12" w:space="0" w:color="auto"/>
            </w:tcBorders>
          </w:tcPr>
          <w:p w14:paraId="527EE1CA" w14:textId="77777777" w:rsidR="00B63DD6" w:rsidRDefault="00000000">
            <w:r>
              <w:t>75</w:t>
            </w:r>
          </w:p>
        </w:tc>
        <w:tc>
          <w:tcPr>
            <w:tcW w:w="498" w:type="pct"/>
            <w:tcBorders>
              <w:bottom w:val="single" w:sz="12" w:space="0" w:color="auto"/>
            </w:tcBorders>
          </w:tcPr>
          <w:p w14:paraId="68A8D94C" w14:textId="77777777" w:rsidR="00B63DD6" w:rsidRDefault="00000000">
            <w:r>
              <w:t>EFA: 76% of the variance was explained by 3 factors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30A52D6D" w14:textId="77777777" w:rsidR="00B63DD6" w:rsidRDefault="00000000">
            <w:r>
              <w:t>75</w:t>
            </w:r>
          </w:p>
        </w:tc>
        <w:tc>
          <w:tcPr>
            <w:tcW w:w="576" w:type="pct"/>
            <w:tcBorders>
              <w:bottom w:val="single" w:sz="12" w:space="0" w:color="auto"/>
            </w:tcBorders>
          </w:tcPr>
          <w:p w14:paraId="4BCC68E4" w14:textId="77777777" w:rsidR="00B63DD6" w:rsidRDefault="00000000">
            <w:r>
              <w:t xml:space="preserve">Cronbach’s alpha for overall tool: 0.79 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7BE0D8CD" w14:textId="77777777" w:rsidR="00B63DD6" w:rsidRDefault="00000000">
            <w:r>
              <w:t>22</w:t>
            </w:r>
          </w:p>
        </w:tc>
        <w:tc>
          <w:tcPr>
            <w:tcW w:w="521" w:type="pct"/>
            <w:tcBorders>
              <w:bottom w:val="single" w:sz="12" w:space="0" w:color="auto"/>
            </w:tcBorders>
          </w:tcPr>
          <w:p w14:paraId="7BEA38D7" w14:textId="77777777" w:rsidR="00B63DD6" w:rsidRDefault="00000000">
            <w:r>
              <w:t>Retested after 1 week: The Spearman coefficient for each entry was 0.51-0.80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6393806C" w14:textId="77777777" w:rsidR="00B63DD6" w:rsidRDefault="00B63DD6"/>
        </w:tc>
        <w:tc>
          <w:tcPr>
            <w:tcW w:w="602" w:type="pct"/>
            <w:tcBorders>
              <w:bottom w:val="single" w:sz="12" w:space="0" w:color="auto"/>
            </w:tcBorders>
          </w:tcPr>
          <w:p w14:paraId="2CB293DD" w14:textId="77777777" w:rsidR="00B63DD6" w:rsidRDefault="00B63DD6"/>
        </w:tc>
        <w:tc>
          <w:tcPr>
            <w:tcW w:w="201" w:type="pct"/>
            <w:tcBorders>
              <w:bottom w:val="single" w:sz="12" w:space="0" w:color="auto"/>
            </w:tcBorders>
          </w:tcPr>
          <w:p w14:paraId="59DF5CF3" w14:textId="77777777" w:rsidR="00B63DD6" w:rsidRDefault="00B63DD6"/>
        </w:tc>
        <w:tc>
          <w:tcPr>
            <w:tcW w:w="684" w:type="pct"/>
            <w:tcBorders>
              <w:bottom w:val="single" w:sz="12" w:space="0" w:color="auto"/>
            </w:tcBorders>
          </w:tcPr>
          <w:p w14:paraId="68FDC40C" w14:textId="77777777" w:rsidR="00B63DD6" w:rsidRDefault="00B63DD6"/>
        </w:tc>
      </w:tr>
      <w:tr w:rsidR="00B63DD6" w14:paraId="3594E37D" w14:textId="77777777">
        <w:trPr>
          <w:cantSplit/>
          <w:trHeight w:val="1886"/>
        </w:trPr>
        <w:tc>
          <w:tcPr>
            <w:tcW w:w="656" w:type="pct"/>
            <w:tcBorders>
              <w:top w:val="single" w:sz="12" w:space="0" w:color="auto"/>
            </w:tcBorders>
          </w:tcPr>
          <w:p w14:paraId="21960159" w14:textId="77777777" w:rsidR="00B63DD6" w:rsidRDefault="00000000">
            <w:r>
              <w:lastRenderedPageBreak/>
              <w:t>Treatment Adherence Measure (TAM)</w:t>
            </w:r>
          </w:p>
          <w:p w14:paraId="12BE7220" w14:textId="4975587F" w:rsidR="00B63DD6" w:rsidRDefault="00000000">
            <w:pPr>
              <w:rPr>
                <w:rFonts w:eastAsia="宋体"/>
              </w:rPr>
            </w:pPr>
            <w:r>
              <w:t>Silveira et al</w:t>
            </w:r>
            <w:r w:rsidR="005372CF">
              <w:rPr>
                <w:rFonts w:hint="eastAsia"/>
              </w:rPr>
              <w:t>.</w:t>
            </w:r>
            <w:r>
              <w:t xml:space="preserve"> (2021)</w:t>
            </w:r>
          </w:p>
        </w:tc>
        <w:tc>
          <w:tcPr>
            <w:tcW w:w="456" w:type="pct"/>
            <w:tcBorders>
              <w:top w:val="single" w:sz="12" w:space="0" w:color="auto"/>
            </w:tcBorders>
          </w:tcPr>
          <w:p w14:paraId="2F2CF158" w14:textId="77777777" w:rsidR="00B63DD6" w:rsidRDefault="00B63DD6"/>
        </w:tc>
        <w:tc>
          <w:tcPr>
            <w:tcW w:w="200" w:type="pct"/>
            <w:tcBorders>
              <w:top w:val="single" w:sz="12" w:space="0" w:color="auto"/>
            </w:tcBorders>
          </w:tcPr>
          <w:p w14:paraId="6A338DE4" w14:textId="77777777" w:rsidR="00B63DD6" w:rsidRDefault="00B63DD6"/>
        </w:tc>
        <w:tc>
          <w:tcPr>
            <w:tcW w:w="498" w:type="pct"/>
            <w:tcBorders>
              <w:top w:val="single" w:sz="12" w:space="0" w:color="auto"/>
            </w:tcBorders>
          </w:tcPr>
          <w:p w14:paraId="56D74443" w14:textId="77777777" w:rsidR="00B63DD6" w:rsidRDefault="00B63DD6"/>
        </w:tc>
        <w:tc>
          <w:tcPr>
            <w:tcW w:w="200" w:type="pct"/>
            <w:tcBorders>
              <w:top w:val="single" w:sz="12" w:space="0" w:color="auto"/>
            </w:tcBorders>
          </w:tcPr>
          <w:p w14:paraId="1B628F6A" w14:textId="77777777" w:rsidR="00B63DD6" w:rsidRDefault="00000000">
            <w:r>
              <w:t>84</w:t>
            </w:r>
          </w:p>
        </w:tc>
        <w:tc>
          <w:tcPr>
            <w:tcW w:w="576" w:type="pct"/>
            <w:tcBorders>
              <w:top w:val="single" w:sz="12" w:space="0" w:color="auto"/>
            </w:tcBorders>
          </w:tcPr>
          <w:p w14:paraId="2F249D84" w14:textId="77777777" w:rsidR="00B63DD6" w:rsidRDefault="00000000">
            <w:r>
              <w:t xml:space="preserve">Cronbach’s alpha for overall tool: 0.41 </w:t>
            </w:r>
          </w:p>
        </w:tc>
        <w:tc>
          <w:tcPr>
            <w:tcW w:w="200" w:type="pct"/>
            <w:tcBorders>
              <w:top w:val="single" w:sz="12" w:space="0" w:color="auto"/>
            </w:tcBorders>
          </w:tcPr>
          <w:p w14:paraId="2ABB99C9" w14:textId="77777777" w:rsidR="00B63DD6" w:rsidRDefault="00B63DD6"/>
        </w:tc>
        <w:tc>
          <w:tcPr>
            <w:tcW w:w="521" w:type="pct"/>
            <w:tcBorders>
              <w:top w:val="single" w:sz="12" w:space="0" w:color="auto"/>
            </w:tcBorders>
          </w:tcPr>
          <w:p w14:paraId="7A077CC6" w14:textId="77777777" w:rsidR="00B63DD6" w:rsidRDefault="00B63DD6"/>
        </w:tc>
        <w:tc>
          <w:tcPr>
            <w:tcW w:w="200" w:type="pct"/>
            <w:tcBorders>
              <w:top w:val="single" w:sz="12" w:space="0" w:color="auto"/>
            </w:tcBorders>
          </w:tcPr>
          <w:p w14:paraId="0C4AA015" w14:textId="77777777" w:rsidR="00B63DD6" w:rsidRDefault="00B63DD6"/>
        </w:tc>
        <w:tc>
          <w:tcPr>
            <w:tcW w:w="602" w:type="pct"/>
            <w:tcBorders>
              <w:top w:val="single" w:sz="12" w:space="0" w:color="auto"/>
            </w:tcBorders>
          </w:tcPr>
          <w:p w14:paraId="25EC0BB0" w14:textId="77777777" w:rsidR="00B63DD6" w:rsidRDefault="00B63DD6"/>
        </w:tc>
        <w:tc>
          <w:tcPr>
            <w:tcW w:w="201" w:type="pct"/>
            <w:tcBorders>
              <w:top w:val="single" w:sz="12" w:space="0" w:color="auto"/>
            </w:tcBorders>
          </w:tcPr>
          <w:p w14:paraId="6B893268" w14:textId="77777777" w:rsidR="00B63DD6" w:rsidRDefault="00000000">
            <w:r>
              <w:t>84</w:t>
            </w:r>
          </w:p>
        </w:tc>
        <w:tc>
          <w:tcPr>
            <w:tcW w:w="684" w:type="pct"/>
            <w:tcBorders>
              <w:top w:val="single" w:sz="12" w:space="0" w:color="auto"/>
            </w:tcBorders>
          </w:tcPr>
          <w:p w14:paraId="095FA6F6" w14:textId="77777777" w:rsidR="00B63DD6" w:rsidRDefault="00000000">
            <w:r>
              <w:t>A hypothesis was not confirmed: correlation 0.25 with a health-related quality of life scale; A hypothesis was confirmed: no correlation with a side effects scale</w:t>
            </w:r>
          </w:p>
        </w:tc>
      </w:tr>
      <w:tr w:rsidR="00B63DD6" w14:paraId="1F30C408" w14:textId="77777777">
        <w:trPr>
          <w:cantSplit/>
        </w:trPr>
        <w:tc>
          <w:tcPr>
            <w:tcW w:w="656" w:type="pct"/>
            <w:tcBorders>
              <w:bottom w:val="single" w:sz="12" w:space="0" w:color="auto"/>
            </w:tcBorders>
          </w:tcPr>
          <w:p w14:paraId="2BE80E20" w14:textId="77777777" w:rsidR="00B63DD6" w:rsidRDefault="00000000">
            <w:r>
              <w:t>Adherence – Breast Endocrine Therapy Questionnaire (A-BET)</w:t>
            </w:r>
          </w:p>
          <w:p w14:paraId="0072A1B1" w14:textId="2A46C679" w:rsidR="00B63DD6" w:rsidRDefault="00000000">
            <w:pPr>
              <w:rPr>
                <w:rFonts w:eastAsia="宋体"/>
              </w:rPr>
            </w:pPr>
            <w:r>
              <w:rPr>
                <w:rFonts w:eastAsia="宋体"/>
              </w:rPr>
              <w:t>Gambalunga et al</w:t>
            </w:r>
            <w:r w:rsidR="005372CF">
              <w:rPr>
                <w:rFonts w:eastAsia="宋体" w:hint="eastAsia"/>
              </w:rPr>
              <w:t>.</w:t>
            </w:r>
            <w:r>
              <w:rPr>
                <w:rFonts w:eastAsia="宋体"/>
              </w:rPr>
              <w:t xml:space="preserve"> (2022)</w:t>
            </w:r>
          </w:p>
        </w:tc>
        <w:tc>
          <w:tcPr>
            <w:tcW w:w="456" w:type="pct"/>
            <w:tcBorders>
              <w:bottom w:val="single" w:sz="12" w:space="0" w:color="auto"/>
            </w:tcBorders>
          </w:tcPr>
          <w:p w14:paraId="48B1C264" w14:textId="77777777" w:rsidR="00B63DD6" w:rsidRDefault="00000000">
            <w:r>
              <w:t>Content validity index with patients: 1.00; Content validity with 12 experts: 1.00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667B4DEB" w14:textId="77777777" w:rsidR="00B63DD6" w:rsidRDefault="00B63DD6"/>
        </w:tc>
        <w:tc>
          <w:tcPr>
            <w:tcW w:w="498" w:type="pct"/>
            <w:tcBorders>
              <w:bottom w:val="single" w:sz="12" w:space="0" w:color="auto"/>
            </w:tcBorders>
          </w:tcPr>
          <w:p w14:paraId="236922A4" w14:textId="77777777" w:rsidR="00B63DD6" w:rsidRDefault="00B63DD6"/>
        </w:tc>
        <w:tc>
          <w:tcPr>
            <w:tcW w:w="200" w:type="pct"/>
            <w:tcBorders>
              <w:bottom w:val="single" w:sz="12" w:space="0" w:color="auto"/>
            </w:tcBorders>
          </w:tcPr>
          <w:p w14:paraId="1362A122" w14:textId="77777777" w:rsidR="00B63DD6" w:rsidRDefault="00000000">
            <w:r>
              <w:t>82</w:t>
            </w:r>
          </w:p>
        </w:tc>
        <w:tc>
          <w:tcPr>
            <w:tcW w:w="576" w:type="pct"/>
            <w:tcBorders>
              <w:bottom w:val="single" w:sz="12" w:space="0" w:color="auto"/>
            </w:tcBorders>
          </w:tcPr>
          <w:p w14:paraId="49CC47A1" w14:textId="77777777" w:rsidR="00B63DD6" w:rsidRDefault="00000000">
            <w:r>
              <w:t xml:space="preserve">Cronbach’s alpha for overall tool: </w:t>
            </w:r>
            <w:r>
              <w:rPr>
                <w:shd w:val="clear" w:color="auto" w:fill="FFFFFF"/>
              </w:rPr>
              <w:t>Not specific report, but said unacceptable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3CE4C0C2" w14:textId="77777777" w:rsidR="00B63DD6" w:rsidRDefault="00000000">
            <w:r>
              <w:t>40</w:t>
            </w:r>
          </w:p>
        </w:tc>
        <w:tc>
          <w:tcPr>
            <w:tcW w:w="521" w:type="pct"/>
            <w:tcBorders>
              <w:bottom w:val="single" w:sz="12" w:space="0" w:color="auto"/>
            </w:tcBorders>
          </w:tcPr>
          <w:p w14:paraId="2EC3A114" w14:textId="77777777" w:rsidR="00B63DD6" w:rsidRDefault="00000000">
            <w:r>
              <w:t>Retested after 7-10 days: The Spearman coefficient for each entry was 0.80-1.00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14:paraId="22074480" w14:textId="77777777" w:rsidR="00B63DD6" w:rsidRDefault="00B63DD6"/>
        </w:tc>
        <w:tc>
          <w:tcPr>
            <w:tcW w:w="602" w:type="pct"/>
            <w:tcBorders>
              <w:bottom w:val="single" w:sz="12" w:space="0" w:color="auto"/>
            </w:tcBorders>
          </w:tcPr>
          <w:p w14:paraId="0BDB99E0" w14:textId="77777777" w:rsidR="00B63DD6" w:rsidRDefault="00B63DD6"/>
        </w:tc>
        <w:tc>
          <w:tcPr>
            <w:tcW w:w="201" w:type="pct"/>
            <w:tcBorders>
              <w:bottom w:val="single" w:sz="12" w:space="0" w:color="auto"/>
            </w:tcBorders>
          </w:tcPr>
          <w:p w14:paraId="02AAE2C5" w14:textId="77777777" w:rsidR="00B63DD6" w:rsidRDefault="00B63DD6"/>
        </w:tc>
        <w:tc>
          <w:tcPr>
            <w:tcW w:w="684" w:type="pct"/>
            <w:tcBorders>
              <w:bottom w:val="single" w:sz="12" w:space="0" w:color="auto"/>
            </w:tcBorders>
          </w:tcPr>
          <w:p w14:paraId="70CA627A" w14:textId="77777777" w:rsidR="00B63DD6" w:rsidRDefault="00B63DD6"/>
        </w:tc>
      </w:tr>
      <w:tr w:rsidR="00B63DD6" w14:paraId="45AFB76A" w14:textId="77777777">
        <w:trPr>
          <w:cantSplit/>
        </w:trPr>
        <w:tc>
          <w:tcPr>
            <w:tcW w:w="656" w:type="pct"/>
            <w:tcBorders>
              <w:top w:val="single" w:sz="12" w:space="0" w:color="auto"/>
              <w:bottom w:val="single" w:sz="12" w:space="0" w:color="auto"/>
            </w:tcBorders>
          </w:tcPr>
          <w:p w14:paraId="2CDD2C11" w14:textId="77777777" w:rsidR="00B63DD6" w:rsidRDefault="00000000">
            <w:r>
              <w:lastRenderedPageBreak/>
              <w:t>Experience with and</w:t>
            </w:r>
          </w:p>
          <w:p w14:paraId="3BF054C1" w14:textId="77777777" w:rsidR="00B63DD6" w:rsidRDefault="00000000">
            <w:r>
              <w:t>Adherence to Oral Antineoplastic Agents Scale (EXPAD-ANEO)</w:t>
            </w:r>
          </w:p>
          <w:p w14:paraId="0DF03C05" w14:textId="39AA9193" w:rsidR="00B63DD6" w:rsidRDefault="00000000">
            <w:pPr>
              <w:rPr>
                <w:rFonts w:eastAsia="宋体"/>
              </w:rPr>
            </w:pPr>
            <w:r>
              <w:t>Talens et al</w:t>
            </w:r>
            <w:r w:rsidR="005372CF">
              <w:rPr>
                <w:rFonts w:hint="eastAsia"/>
              </w:rPr>
              <w:t>.</w:t>
            </w:r>
            <w:r>
              <w:t xml:space="preserve"> (2023)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</w:tcBorders>
          </w:tcPr>
          <w:p w14:paraId="543B3F5E" w14:textId="77777777" w:rsidR="00B63DD6" w:rsidRDefault="00000000">
            <w:r>
              <w:t>Face validity with 22 patients; Content validity with 8 experts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</w:tcPr>
          <w:p w14:paraId="7FFAD1C9" w14:textId="77777777" w:rsidR="00B63DD6" w:rsidRDefault="00000000">
            <w:r>
              <w:t>268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</w:tcPr>
          <w:p w14:paraId="544F07A6" w14:textId="77777777" w:rsidR="00B63DD6" w:rsidRDefault="00000000">
            <w:r>
              <w:t>CFA: 2 factors; CFI=0.99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</w:tcPr>
          <w:p w14:paraId="76E5606A" w14:textId="77777777" w:rsidR="00B63DD6" w:rsidRDefault="00000000">
            <w:r>
              <w:t>268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</w:tcPr>
          <w:p w14:paraId="58B0BF0A" w14:textId="77777777" w:rsidR="00B63DD6" w:rsidRDefault="00000000">
            <w:r>
              <w:rPr>
                <w:color w:val="000000"/>
              </w:rPr>
              <w:t xml:space="preserve">Omega </w:t>
            </w:r>
            <w:r>
              <w:t xml:space="preserve">for each subscale: 0.60-0.70 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</w:tcPr>
          <w:p w14:paraId="0F9DB847" w14:textId="77777777" w:rsidR="00B63DD6" w:rsidRDefault="00B63DD6"/>
        </w:tc>
        <w:tc>
          <w:tcPr>
            <w:tcW w:w="521" w:type="pct"/>
            <w:tcBorders>
              <w:top w:val="single" w:sz="12" w:space="0" w:color="auto"/>
              <w:bottom w:val="single" w:sz="12" w:space="0" w:color="auto"/>
            </w:tcBorders>
          </w:tcPr>
          <w:p w14:paraId="30B346DF" w14:textId="77777777" w:rsidR="00B63DD6" w:rsidRDefault="00000000">
            <w:r>
              <w:t>NR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</w:tcPr>
          <w:p w14:paraId="68B2B300" w14:textId="77777777" w:rsidR="00B63DD6" w:rsidRDefault="00000000">
            <w:r>
              <w:t>268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14:paraId="2A89E69C" w14:textId="77777777" w:rsidR="00B63DD6" w:rsidRDefault="00000000">
            <w:r>
              <w:t xml:space="preserve">A pill count of 90% or more was considered adherent: the specificity was 0.8 when the cut-off was 1 point 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</w:tcPr>
          <w:p w14:paraId="0760BFD3" w14:textId="77777777" w:rsidR="00B63DD6" w:rsidRDefault="00000000">
            <w:r>
              <w:t>268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12" w:space="0" w:color="auto"/>
            </w:tcBorders>
          </w:tcPr>
          <w:p w14:paraId="25ABAA44" w14:textId="77777777" w:rsidR="00B63DD6" w:rsidRDefault="00000000">
            <w:r>
              <w:t xml:space="preserve">A hypothesis was confirmed: a significant </w:t>
            </w:r>
            <w:proofErr w:type="gramStart"/>
            <w:r>
              <w:t>association  with</w:t>
            </w:r>
            <w:proofErr w:type="gramEnd"/>
            <w:r>
              <w:t xml:space="preserve"> a medication adherence  scale; A hypothesis was confirmed: no correlation with a health literacy scale</w:t>
            </w:r>
          </w:p>
        </w:tc>
      </w:tr>
    </w:tbl>
    <w:p w14:paraId="011C26A4" w14:textId="77777777" w:rsidR="00B63DD6" w:rsidRDefault="00000000">
      <w:r>
        <w:rPr>
          <w:rFonts w:hint="eastAsia"/>
        </w:rPr>
        <w:t xml:space="preserve"> </w:t>
      </w:r>
      <w:r>
        <w:t>Note: Empty cell means no reported testing</w:t>
      </w:r>
      <w:r>
        <w:rPr>
          <w:rFonts w:hint="eastAsia"/>
        </w:rPr>
        <w:t>;</w:t>
      </w:r>
      <w:r>
        <w:t xml:space="preserve"> </w:t>
      </w:r>
      <w:r>
        <w:rPr>
          <w:rFonts w:hint="eastAsia"/>
        </w:rPr>
        <w:t>n, s</w:t>
      </w:r>
      <w:r>
        <w:t>ample size</w:t>
      </w:r>
      <w:r>
        <w:rPr>
          <w:rFonts w:hint="eastAsia"/>
        </w:rPr>
        <w:t>;</w:t>
      </w:r>
      <w:r>
        <w:t xml:space="preserve"> EFA</w:t>
      </w:r>
      <w:r>
        <w:rPr>
          <w:rFonts w:hint="eastAsia"/>
        </w:rPr>
        <w:t xml:space="preserve">, </w:t>
      </w:r>
      <w:r>
        <w:t>exploratory factor</w:t>
      </w:r>
      <w:r>
        <w:rPr>
          <w:rFonts w:hint="eastAsia"/>
        </w:rPr>
        <w:t xml:space="preserve"> </w:t>
      </w:r>
      <w:r>
        <w:t>analysis</w:t>
      </w:r>
      <w:r>
        <w:rPr>
          <w:rFonts w:hint="eastAsia"/>
        </w:rPr>
        <w:t xml:space="preserve">; </w:t>
      </w:r>
      <w:r>
        <w:t>CFA</w:t>
      </w:r>
      <w:r>
        <w:rPr>
          <w:rFonts w:hint="eastAsia"/>
        </w:rPr>
        <w:t xml:space="preserve">, </w:t>
      </w:r>
      <w:r>
        <w:t>confirmatory factor analysis; CFI</w:t>
      </w:r>
      <w:r>
        <w:rPr>
          <w:rFonts w:hint="eastAsia"/>
        </w:rPr>
        <w:t xml:space="preserve">, </w:t>
      </w:r>
      <w:r>
        <w:t>comparative fit ind</w:t>
      </w:r>
      <w:r>
        <w:rPr>
          <w:rFonts w:hint="eastAsia"/>
        </w:rPr>
        <w:t>ex.</w:t>
      </w:r>
    </w:p>
    <w:p w14:paraId="30031FD8" w14:textId="77777777" w:rsidR="00B63DD6" w:rsidRDefault="00B63DD6"/>
    <w:p w14:paraId="02E97924" w14:textId="77777777" w:rsidR="00B63DD6" w:rsidRDefault="00B63DD6"/>
    <w:sectPr w:rsidR="00B63DD6">
      <w:pgSz w:w="15840" w:h="12240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F840" w14:textId="77777777" w:rsidR="00127962" w:rsidRDefault="00127962" w:rsidP="005372CF">
      <w:r>
        <w:separator/>
      </w:r>
    </w:p>
  </w:endnote>
  <w:endnote w:type="continuationSeparator" w:id="0">
    <w:p w14:paraId="6D959509" w14:textId="77777777" w:rsidR="00127962" w:rsidRDefault="00127962" w:rsidP="0053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43A7" w14:textId="77777777" w:rsidR="00127962" w:rsidRDefault="00127962" w:rsidP="005372CF">
      <w:r>
        <w:separator/>
      </w:r>
    </w:p>
  </w:footnote>
  <w:footnote w:type="continuationSeparator" w:id="0">
    <w:p w14:paraId="21700AA2" w14:textId="77777777" w:rsidR="00127962" w:rsidRDefault="00127962" w:rsidP="0053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0MTczMTlmZGQwMDlkNjE0Y2E2NDViNmNjNWY1ZmYifQ=="/>
  </w:docVars>
  <w:rsids>
    <w:rsidRoot w:val="00D10F94"/>
    <w:rsid w:val="00005C75"/>
    <w:rsid w:val="000375C9"/>
    <w:rsid w:val="00054701"/>
    <w:rsid w:val="00056AAC"/>
    <w:rsid w:val="00087201"/>
    <w:rsid w:val="000A2F60"/>
    <w:rsid w:val="000C079E"/>
    <w:rsid w:val="000E56A9"/>
    <w:rsid w:val="000F398F"/>
    <w:rsid w:val="0011120A"/>
    <w:rsid w:val="00113A8E"/>
    <w:rsid w:val="00124011"/>
    <w:rsid w:val="00127962"/>
    <w:rsid w:val="0016211D"/>
    <w:rsid w:val="00166E0C"/>
    <w:rsid w:val="00170751"/>
    <w:rsid w:val="001A1B60"/>
    <w:rsid w:val="001D2AFD"/>
    <w:rsid w:val="001D5955"/>
    <w:rsid w:val="001E7AA8"/>
    <w:rsid w:val="001F02A9"/>
    <w:rsid w:val="0021309A"/>
    <w:rsid w:val="00217875"/>
    <w:rsid w:val="00237978"/>
    <w:rsid w:val="00245F36"/>
    <w:rsid w:val="002912BF"/>
    <w:rsid w:val="002B5F5D"/>
    <w:rsid w:val="002D4575"/>
    <w:rsid w:val="00306AD1"/>
    <w:rsid w:val="0031520D"/>
    <w:rsid w:val="00346D21"/>
    <w:rsid w:val="00374FB4"/>
    <w:rsid w:val="003F010C"/>
    <w:rsid w:val="003F5AB0"/>
    <w:rsid w:val="004109B7"/>
    <w:rsid w:val="004329F9"/>
    <w:rsid w:val="0044532F"/>
    <w:rsid w:val="00471743"/>
    <w:rsid w:val="004728EE"/>
    <w:rsid w:val="00484B62"/>
    <w:rsid w:val="00484F65"/>
    <w:rsid w:val="00490915"/>
    <w:rsid w:val="00497A6C"/>
    <w:rsid w:val="00497BFE"/>
    <w:rsid w:val="0051434F"/>
    <w:rsid w:val="00516A2C"/>
    <w:rsid w:val="0051702E"/>
    <w:rsid w:val="00520DE9"/>
    <w:rsid w:val="005336C8"/>
    <w:rsid w:val="005372CF"/>
    <w:rsid w:val="005469F0"/>
    <w:rsid w:val="00574A15"/>
    <w:rsid w:val="00594BBC"/>
    <w:rsid w:val="005A7B4B"/>
    <w:rsid w:val="005B6558"/>
    <w:rsid w:val="005E0808"/>
    <w:rsid w:val="005F77AF"/>
    <w:rsid w:val="00607C7F"/>
    <w:rsid w:val="00614A3A"/>
    <w:rsid w:val="006158EA"/>
    <w:rsid w:val="00622A7C"/>
    <w:rsid w:val="0063417F"/>
    <w:rsid w:val="00635198"/>
    <w:rsid w:val="00652213"/>
    <w:rsid w:val="0065245B"/>
    <w:rsid w:val="00662836"/>
    <w:rsid w:val="00685BF1"/>
    <w:rsid w:val="006A6C6B"/>
    <w:rsid w:val="00727D6B"/>
    <w:rsid w:val="00732AF3"/>
    <w:rsid w:val="00742CEE"/>
    <w:rsid w:val="00750488"/>
    <w:rsid w:val="0076086D"/>
    <w:rsid w:val="00782BD6"/>
    <w:rsid w:val="007962F3"/>
    <w:rsid w:val="007A3683"/>
    <w:rsid w:val="007B0AB9"/>
    <w:rsid w:val="007B664B"/>
    <w:rsid w:val="007D3F9B"/>
    <w:rsid w:val="007D4859"/>
    <w:rsid w:val="007E7A11"/>
    <w:rsid w:val="008110FB"/>
    <w:rsid w:val="00820D8E"/>
    <w:rsid w:val="0083201D"/>
    <w:rsid w:val="00861F3A"/>
    <w:rsid w:val="0087599D"/>
    <w:rsid w:val="00884B0B"/>
    <w:rsid w:val="008D6E91"/>
    <w:rsid w:val="00985627"/>
    <w:rsid w:val="009C6A60"/>
    <w:rsid w:val="009D292A"/>
    <w:rsid w:val="00A500A3"/>
    <w:rsid w:val="00A6110C"/>
    <w:rsid w:val="00A74BB1"/>
    <w:rsid w:val="00AA5BC3"/>
    <w:rsid w:val="00AB0D54"/>
    <w:rsid w:val="00AD789E"/>
    <w:rsid w:val="00B43168"/>
    <w:rsid w:val="00B44FBF"/>
    <w:rsid w:val="00B63DD6"/>
    <w:rsid w:val="00B9590A"/>
    <w:rsid w:val="00BA5954"/>
    <w:rsid w:val="00BD2C2A"/>
    <w:rsid w:val="00BD70CC"/>
    <w:rsid w:val="00BF3FFE"/>
    <w:rsid w:val="00C05035"/>
    <w:rsid w:val="00C06796"/>
    <w:rsid w:val="00C2041D"/>
    <w:rsid w:val="00C21009"/>
    <w:rsid w:val="00C309C0"/>
    <w:rsid w:val="00C50115"/>
    <w:rsid w:val="00C8354E"/>
    <w:rsid w:val="00C85430"/>
    <w:rsid w:val="00C87E9B"/>
    <w:rsid w:val="00C92135"/>
    <w:rsid w:val="00CB5589"/>
    <w:rsid w:val="00D10F94"/>
    <w:rsid w:val="00D5308F"/>
    <w:rsid w:val="00D567FE"/>
    <w:rsid w:val="00DA761F"/>
    <w:rsid w:val="00DB2B05"/>
    <w:rsid w:val="00DB36F6"/>
    <w:rsid w:val="00DC0223"/>
    <w:rsid w:val="00DD132F"/>
    <w:rsid w:val="00DE2407"/>
    <w:rsid w:val="00E37DAF"/>
    <w:rsid w:val="00E41E98"/>
    <w:rsid w:val="00E62500"/>
    <w:rsid w:val="00E70104"/>
    <w:rsid w:val="00EB43E3"/>
    <w:rsid w:val="00ED1DFD"/>
    <w:rsid w:val="00ED3361"/>
    <w:rsid w:val="00ED385E"/>
    <w:rsid w:val="00EF313E"/>
    <w:rsid w:val="00EF6FEC"/>
    <w:rsid w:val="00F021CA"/>
    <w:rsid w:val="00F2346F"/>
    <w:rsid w:val="00F23813"/>
    <w:rsid w:val="00F32CA9"/>
    <w:rsid w:val="00F405DC"/>
    <w:rsid w:val="00F67892"/>
    <w:rsid w:val="00F87FB4"/>
    <w:rsid w:val="00F941A0"/>
    <w:rsid w:val="00FD1400"/>
    <w:rsid w:val="0405569A"/>
    <w:rsid w:val="06B348B9"/>
    <w:rsid w:val="110F7B9B"/>
    <w:rsid w:val="2D9C6C45"/>
    <w:rsid w:val="5D307683"/>
    <w:rsid w:val="637A0EB2"/>
    <w:rsid w:val="723839D1"/>
    <w:rsid w:val="73D634A1"/>
    <w:rsid w:val="7E6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71D2A"/>
  <w15:docId w15:val="{2D3C805D-13A2-4C30-B123-5235D6E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1AA5-F73B-4118-9A7E-87558806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473</Words>
  <Characters>2668</Characters>
  <Application>Microsoft Office Word</Application>
  <DocSecurity>0</DocSecurity>
  <Lines>333</Lines>
  <Paragraphs>104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康慧 黄</dc:creator>
  <cp:lastModifiedBy>康慧 黄</cp:lastModifiedBy>
  <cp:revision>56</cp:revision>
  <dcterms:created xsi:type="dcterms:W3CDTF">2024-04-09T06:57:00Z</dcterms:created>
  <dcterms:modified xsi:type="dcterms:W3CDTF">2025-01-13T05:48:00Z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6e0aeff7849ec3409d7434dcd6c9faf9747b92fa5971726b5d495373fbff5c74</vt:lpwstr>
  </property>
  <property fmtid="{D5CDD505-2E9C-101B-9397-08002B2CF9AE}" pid="3" name="KSOProductBuildVer">
    <vt:lpwstr>2052-12.1.0.19302</vt:lpwstr>
  </property>
  <property fmtid="{D5CDD505-2E9C-101B-9397-08002B2CF9AE}" pid="4" name="ICV">
    <vt:lpwstr>E93365D0C27644D49D2EE8AC1C642F4F_12</vt:lpwstr>
  </property>
</Properties>
</file>