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38B3" w14:textId="77777777" w:rsidR="00DC2277" w:rsidRPr="00DC2277" w:rsidRDefault="00DC2277" w:rsidP="00DC2277">
      <w:pPr>
        <w:spacing w:line="480" w:lineRule="auto"/>
        <w:rPr>
          <w:rFonts w:ascii="Times New Roman" w:eastAsia="Calibri" w:hAnsi="Times New Roman" w:cs="Times New Roman"/>
          <w:sz w:val="24"/>
          <w:szCs w:val="24"/>
        </w:rPr>
      </w:pPr>
      <w:bookmarkStart w:id="0" w:name="_Hlk175979237"/>
      <w:r w:rsidRPr="00DC2277">
        <w:rPr>
          <w:rFonts w:ascii="Times New Roman" w:eastAsia="Calibri" w:hAnsi="Times New Roman" w:cs="Times New Roman"/>
          <w:b/>
          <w:bCs/>
          <w:sz w:val="24"/>
          <w:szCs w:val="24"/>
        </w:rPr>
        <w:t>Supplementary</w:t>
      </w:r>
      <w:bookmarkEnd w:id="0"/>
      <w:r w:rsidRPr="00DC2277">
        <w:rPr>
          <w:rFonts w:ascii="Times New Roman" w:eastAsia="Calibri" w:hAnsi="Times New Roman" w:cs="Times New Roman"/>
          <w:b/>
          <w:bCs/>
          <w:sz w:val="24"/>
          <w:szCs w:val="24"/>
        </w:rPr>
        <w:t xml:space="preserve"> Table 1</w:t>
      </w:r>
      <w:r w:rsidRPr="00DC2277">
        <w:rPr>
          <w:rFonts w:ascii="Times New Roman" w:eastAsia="Calibri" w:hAnsi="Times New Roman" w:cs="Times New Roman"/>
          <w:sz w:val="24"/>
          <w:szCs w:val="24"/>
        </w:rPr>
        <w:t>: Comparison of the response of PUFA’s and their endocannabinoid related metabolites with the positive control of HEK-293 TRPV1 and TRPA1 expressing cells.</w:t>
      </w:r>
    </w:p>
    <w:tbl>
      <w:tblPr>
        <w:tblStyle w:val="TableGrid1"/>
        <w:tblW w:w="9168" w:type="dxa"/>
        <w:tblBorders>
          <w:left w:val="none" w:sz="0" w:space="0" w:color="auto"/>
          <w:right w:val="none" w:sz="0" w:space="0" w:color="auto"/>
          <w:insideV w:val="none" w:sz="0" w:space="0" w:color="auto"/>
        </w:tblBorders>
        <w:tblLook w:val="04A0" w:firstRow="1" w:lastRow="0" w:firstColumn="1" w:lastColumn="0" w:noHBand="0" w:noVBand="1"/>
      </w:tblPr>
      <w:tblGrid>
        <w:gridCol w:w="1725"/>
        <w:gridCol w:w="1886"/>
        <w:gridCol w:w="1853"/>
        <w:gridCol w:w="2222"/>
        <w:gridCol w:w="1482"/>
      </w:tblGrid>
      <w:tr w:rsidR="00DC2277" w:rsidRPr="00DC2277" w14:paraId="32C6652C" w14:textId="77777777" w:rsidTr="007419FB">
        <w:trPr>
          <w:trHeight w:val="348"/>
        </w:trPr>
        <w:tc>
          <w:tcPr>
            <w:tcW w:w="1725" w:type="dxa"/>
            <w:vMerge w:val="restart"/>
          </w:tcPr>
          <w:p w14:paraId="1F7F0B3D"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Drug</w:t>
            </w:r>
          </w:p>
        </w:tc>
        <w:tc>
          <w:tcPr>
            <w:tcW w:w="3739" w:type="dxa"/>
            <w:gridSpan w:val="2"/>
          </w:tcPr>
          <w:p w14:paraId="67DEDF53"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TRPV1</w:t>
            </w:r>
          </w:p>
        </w:tc>
        <w:tc>
          <w:tcPr>
            <w:tcW w:w="3704" w:type="dxa"/>
            <w:gridSpan w:val="2"/>
          </w:tcPr>
          <w:p w14:paraId="6C2A6DE2"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TRPA1</w:t>
            </w:r>
          </w:p>
        </w:tc>
      </w:tr>
      <w:tr w:rsidR="00DC2277" w:rsidRPr="00DC2277" w14:paraId="1494B58E" w14:textId="77777777" w:rsidTr="007419FB">
        <w:trPr>
          <w:trHeight w:val="339"/>
        </w:trPr>
        <w:tc>
          <w:tcPr>
            <w:tcW w:w="1725" w:type="dxa"/>
            <w:vMerge/>
          </w:tcPr>
          <w:p w14:paraId="00241C62" w14:textId="77777777" w:rsidR="00DC2277" w:rsidRPr="00DC2277" w:rsidRDefault="00DC2277" w:rsidP="00DC2277">
            <w:pPr>
              <w:spacing w:line="480" w:lineRule="auto"/>
              <w:jc w:val="center"/>
              <w:rPr>
                <w:rFonts w:ascii="Times New Roman" w:eastAsia="Calibri" w:hAnsi="Times New Roman" w:cs="Times New Roman"/>
                <w:sz w:val="20"/>
                <w:szCs w:val="20"/>
              </w:rPr>
            </w:pPr>
          </w:p>
        </w:tc>
        <w:tc>
          <w:tcPr>
            <w:tcW w:w="1886" w:type="dxa"/>
          </w:tcPr>
          <w:p w14:paraId="04619573"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Mean± SEM (N)</w:t>
            </w:r>
          </w:p>
        </w:tc>
        <w:tc>
          <w:tcPr>
            <w:tcW w:w="1853" w:type="dxa"/>
          </w:tcPr>
          <w:p w14:paraId="2EAF18F3"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P-Value</w:t>
            </w:r>
          </w:p>
        </w:tc>
        <w:tc>
          <w:tcPr>
            <w:tcW w:w="2222" w:type="dxa"/>
          </w:tcPr>
          <w:p w14:paraId="0E5CDEA9"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Mean± SEM (N)</w:t>
            </w:r>
          </w:p>
        </w:tc>
        <w:tc>
          <w:tcPr>
            <w:tcW w:w="1482" w:type="dxa"/>
          </w:tcPr>
          <w:p w14:paraId="1BD6A56B"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P-Value</w:t>
            </w:r>
          </w:p>
        </w:tc>
      </w:tr>
    </w:tbl>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025"/>
        <w:gridCol w:w="1845"/>
        <w:gridCol w:w="2220"/>
        <w:gridCol w:w="1470"/>
      </w:tblGrid>
      <w:tr w:rsidR="00DC2277" w:rsidRPr="00DC2277" w14:paraId="1DD9574D" w14:textId="77777777" w:rsidTr="007419FB">
        <w:trPr>
          <w:trHeight w:val="345"/>
        </w:trPr>
        <w:tc>
          <w:tcPr>
            <w:tcW w:w="1560" w:type="dxa"/>
            <w:tcBorders>
              <w:top w:val="single" w:sz="6" w:space="0" w:color="auto"/>
              <w:left w:val="nil"/>
              <w:bottom w:val="nil"/>
              <w:right w:val="nil"/>
            </w:tcBorders>
            <w:shd w:val="clear" w:color="auto" w:fill="auto"/>
            <w:hideMark/>
          </w:tcPr>
          <w:p w14:paraId="2805C2D8" w14:textId="77777777" w:rsidR="00DC2277" w:rsidRPr="00DC2277" w:rsidRDefault="00DC2277" w:rsidP="00DC2277">
            <w:pPr>
              <w:spacing w:after="0" w:line="480" w:lineRule="auto"/>
              <w:jc w:val="center"/>
              <w:textAlignment w:val="baseline"/>
              <w:rPr>
                <w:rFonts w:ascii="Segoe UI" w:eastAsia="Times New Roman" w:hAnsi="Segoe UI" w:cs="Segoe UI"/>
                <w:kern w:val="0"/>
                <w:sz w:val="18"/>
                <w:szCs w:val="18"/>
                <w:lang w:eastAsia="en-AU"/>
                <w14:ligatures w14:val="none"/>
              </w:rPr>
            </w:pPr>
            <w:r w:rsidRPr="00DC2277">
              <w:rPr>
                <w:rFonts w:ascii="Times New Roman" w:eastAsia="Times New Roman" w:hAnsi="Times New Roman" w:cs="Times New Roman"/>
                <w:kern w:val="0"/>
                <w:sz w:val="20"/>
                <w:szCs w:val="20"/>
                <w:lang w:eastAsia="en-AU"/>
                <w14:ligatures w14:val="none"/>
              </w:rPr>
              <w:t>EPEA</w:t>
            </w:r>
          </w:p>
        </w:tc>
        <w:tc>
          <w:tcPr>
            <w:tcW w:w="2025" w:type="dxa"/>
            <w:tcBorders>
              <w:top w:val="single" w:sz="6" w:space="0" w:color="auto"/>
              <w:left w:val="nil"/>
              <w:bottom w:val="nil"/>
              <w:right w:val="nil"/>
            </w:tcBorders>
            <w:shd w:val="clear" w:color="auto" w:fill="auto"/>
            <w:hideMark/>
          </w:tcPr>
          <w:p w14:paraId="0010A7C9" w14:textId="77777777" w:rsidR="00DC2277" w:rsidRPr="00DC2277" w:rsidRDefault="00DC2277" w:rsidP="00DC2277">
            <w:pPr>
              <w:spacing w:after="0" w:line="480" w:lineRule="auto"/>
              <w:jc w:val="center"/>
              <w:textAlignment w:val="baseline"/>
              <w:rPr>
                <w:rFonts w:ascii="Segoe UI" w:eastAsia="Times New Roman" w:hAnsi="Segoe UI" w:cs="Segoe UI"/>
                <w:kern w:val="0"/>
                <w:sz w:val="18"/>
                <w:szCs w:val="18"/>
                <w:lang w:eastAsia="en-AU"/>
                <w14:ligatures w14:val="none"/>
              </w:rPr>
            </w:pPr>
            <w:r w:rsidRPr="00DC2277">
              <w:rPr>
                <w:rFonts w:ascii="Times New Roman" w:eastAsia="Times New Roman" w:hAnsi="Times New Roman" w:cs="Times New Roman"/>
                <w:kern w:val="0"/>
                <w:sz w:val="20"/>
                <w:szCs w:val="20"/>
                <w:lang w:eastAsia="en-AU"/>
                <w14:ligatures w14:val="none"/>
              </w:rPr>
              <w:t>51± 56</w:t>
            </w:r>
          </w:p>
        </w:tc>
        <w:tc>
          <w:tcPr>
            <w:tcW w:w="1845" w:type="dxa"/>
            <w:tcBorders>
              <w:top w:val="single" w:sz="6" w:space="0" w:color="auto"/>
              <w:left w:val="nil"/>
              <w:bottom w:val="nil"/>
              <w:right w:val="nil"/>
            </w:tcBorders>
            <w:shd w:val="clear" w:color="auto" w:fill="auto"/>
            <w:vAlign w:val="bottom"/>
            <w:hideMark/>
          </w:tcPr>
          <w:p w14:paraId="1A01748B" w14:textId="77777777" w:rsidR="00DC2277" w:rsidRPr="00DC2277" w:rsidRDefault="00DC2277" w:rsidP="00DC2277">
            <w:pPr>
              <w:spacing w:after="0" w:line="480" w:lineRule="auto"/>
              <w:jc w:val="center"/>
              <w:textAlignment w:val="baseline"/>
              <w:rPr>
                <w:rFonts w:ascii="Segoe UI" w:eastAsia="Times New Roman" w:hAnsi="Segoe UI" w:cs="Segoe UI"/>
                <w:b/>
                <w:bCs/>
                <w:kern w:val="0"/>
                <w:sz w:val="18"/>
                <w:szCs w:val="18"/>
                <w:lang w:eastAsia="en-AU"/>
                <w14:ligatures w14:val="none"/>
              </w:rPr>
            </w:pPr>
            <w:r w:rsidRPr="00DC2277">
              <w:rPr>
                <w:rFonts w:ascii="Times New Roman" w:eastAsia="Times New Roman" w:hAnsi="Times New Roman" w:cs="Times New Roman"/>
                <w:b/>
                <w:bCs/>
                <w:kern w:val="0"/>
                <w:sz w:val="20"/>
                <w:szCs w:val="20"/>
                <w:lang w:eastAsia="en-AU"/>
                <w14:ligatures w14:val="none"/>
              </w:rPr>
              <w:t xml:space="preserve">&lt;0.0001 </w:t>
            </w:r>
          </w:p>
        </w:tc>
        <w:tc>
          <w:tcPr>
            <w:tcW w:w="2220" w:type="dxa"/>
            <w:tcBorders>
              <w:top w:val="single" w:sz="6" w:space="0" w:color="auto"/>
              <w:left w:val="nil"/>
              <w:bottom w:val="nil"/>
              <w:right w:val="nil"/>
            </w:tcBorders>
            <w:shd w:val="clear" w:color="auto" w:fill="auto"/>
            <w:hideMark/>
          </w:tcPr>
          <w:p w14:paraId="44E0C244" w14:textId="77777777" w:rsidR="00DC2277" w:rsidRPr="00DC2277" w:rsidRDefault="00DC2277" w:rsidP="00DC2277">
            <w:pPr>
              <w:spacing w:after="0" w:line="480" w:lineRule="auto"/>
              <w:jc w:val="center"/>
              <w:textAlignment w:val="baseline"/>
              <w:rPr>
                <w:rFonts w:ascii="Segoe UI" w:eastAsia="Times New Roman" w:hAnsi="Segoe UI" w:cs="Segoe UI"/>
                <w:kern w:val="0"/>
                <w:sz w:val="18"/>
                <w:szCs w:val="18"/>
                <w:lang w:eastAsia="en-AU"/>
                <w14:ligatures w14:val="none"/>
              </w:rPr>
            </w:pPr>
            <w:r w:rsidRPr="00DC2277">
              <w:rPr>
                <w:rFonts w:ascii="Times New Roman" w:eastAsia="Times New Roman" w:hAnsi="Times New Roman" w:cs="Times New Roman"/>
                <w:kern w:val="0"/>
                <w:sz w:val="20"/>
                <w:szCs w:val="20"/>
                <w:lang w:eastAsia="en-AU"/>
                <w14:ligatures w14:val="none"/>
              </w:rPr>
              <w:t>274± 60</w:t>
            </w:r>
          </w:p>
        </w:tc>
        <w:tc>
          <w:tcPr>
            <w:tcW w:w="1470" w:type="dxa"/>
            <w:tcBorders>
              <w:top w:val="single" w:sz="6" w:space="0" w:color="auto"/>
              <w:left w:val="nil"/>
              <w:bottom w:val="nil"/>
              <w:right w:val="nil"/>
            </w:tcBorders>
            <w:shd w:val="clear" w:color="auto" w:fill="auto"/>
            <w:vAlign w:val="bottom"/>
            <w:hideMark/>
          </w:tcPr>
          <w:p w14:paraId="7D89784F" w14:textId="77777777" w:rsidR="00DC2277" w:rsidRPr="00DC2277" w:rsidRDefault="00DC2277" w:rsidP="00DC2277">
            <w:pPr>
              <w:spacing w:after="0" w:line="480" w:lineRule="auto"/>
              <w:jc w:val="center"/>
              <w:textAlignment w:val="baseline"/>
              <w:rPr>
                <w:rFonts w:ascii="Segoe UI" w:eastAsia="Times New Roman" w:hAnsi="Segoe UI" w:cs="Segoe UI"/>
                <w:b/>
                <w:bCs/>
                <w:kern w:val="0"/>
                <w:sz w:val="18"/>
                <w:szCs w:val="18"/>
                <w:lang w:eastAsia="en-AU"/>
                <w14:ligatures w14:val="none"/>
              </w:rPr>
            </w:pPr>
            <w:r w:rsidRPr="00DC2277">
              <w:rPr>
                <w:rFonts w:ascii="Times New Roman" w:eastAsia="Times New Roman" w:hAnsi="Times New Roman" w:cs="Times New Roman"/>
                <w:b/>
                <w:bCs/>
                <w:kern w:val="0"/>
                <w:sz w:val="20"/>
                <w:szCs w:val="20"/>
                <w:lang w:eastAsia="en-AU"/>
                <w14:ligatures w14:val="none"/>
              </w:rPr>
              <w:t>0.0183</w:t>
            </w:r>
          </w:p>
        </w:tc>
      </w:tr>
    </w:tbl>
    <w:tbl>
      <w:tblPr>
        <w:tblStyle w:val="TableGrid1"/>
        <w:tblW w:w="9168" w:type="dxa"/>
        <w:tblBorders>
          <w:left w:val="none" w:sz="0" w:space="0" w:color="auto"/>
          <w:right w:val="none" w:sz="0" w:space="0" w:color="auto"/>
          <w:insideV w:val="none" w:sz="0" w:space="0" w:color="auto"/>
        </w:tblBorders>
        <w:tblLook w:val="04A0" w:firstRow="1" w:lastRow="0" w:firstColumn="1" w:lastColumn="0" w:noHBand="0" w:noVBand="1"/>
      </w:tblPr>
      <w:tblGrid>
        <w:gridCol w:w="1725"/>
        <w:gridCol w:w="1886"/>
        <w:gridCol w:w="1853"/>
        <w:gridCol w:w="2222"/>
        <w:gridCol w:w="1482"/>
      </w:tblGrid>
      <w:tr w:rsidR="00DC2277" w:rsidRPr="00DC2277" w14:paraId="7FA51C26" w14:textId="77777777" w:rsidTr="007419FB">
        <w:trPr>
          <w:trHeight w:val="348"/>
        </w:trPr>
        <w:tc>
          <w:tcPr>
            <w:tcW w:w="1725" w:type="dxa"/>
            <w:tcBorders>
              <w:top w:val="nil"/>
              <w:bottom w:val="nil"/>
            </w:tcBorders>
          </w:tcPr>
          <w:p w14:paraId="35F6EE54"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DHEA</w:t>
            </w:r>
          </w:p>
        </w:tc>
        <w:tc>
          <w:tcPr>
            <w:tcW w:w="1886" w:type="dxa"/>
            <w:tcBorders>
              <w:top w:val="nil"/>
              <w:bottom w:val="nil"/>
            </w:tcBorders>
          </w:tcPr>
          <w:p w14:paraId="5D21DFAF"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306± 56</w:t>
            </w:r>
          </w:p>
        </w:tc>
        <w:tc>
          <w:tcPr>
            <w:tcW w:w="1853" w:type="dxa"/>
            <w:tcBorders>
              <w:top w:val="nil"/>
              <w:bottom w:val="nil"/>
            </w:tcBorders>
            <w:shd w:val="clear" w:color="auto" w:fill="auto"/>
            <w:vAlign w:val="bottom"/>
          </w:tcPr>
          <w:p w14:paraId="778F2E3D"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0.9985</w:t>
            </w:r>
          </w:p>
        </w:tc>
        <w:tc>
          <w:tcPr>
            <w:tcW w:w="2222" w:type="dxa"/>
            <w:tcBorders>
              <w:top w:val="nil"/>
              <w:bottom w:val="nil"/>
            </w:tcBorders>
          </w:tcPr>
          <w:p w14:paraId="4AEDC90E"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335± 60</w:t>
            </w:r>
          </w:p>
        </w:tc>
        <w:tc>
          <w:tcPr>
            <w:tcW w:w="1482" w:type="dxa"/>
            <w:tcBorders>
              <w:top w:val="nil"/>
              <w:bottom w:val="nil"/>
            </w:tcBorders>
            <w:shd w:val="clear" w:color="auto" w:fill="auto"/>
            <w:vAlign w:val="bottom"/>
          </w:tcPr>
          <w:p w14:paraId="1F46F155"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0.2155</w:t>
            </w:r>
          </w:p>
        </w:tc>
      </w:tr>
      <w:tr w:rsidR="00DC2277" w:rsidRPr="00DC2277" w14:paraId="794E5D2F" w14:textId="77777777" w:rsidTr="007419FB">
        <w:trPr>
          <w:trHeight w:val="336"/>
        </w:trPr>
        <w:tc>
          <w:tcPr>
            <w:tcW w:w="1725" w:type="dxa"/>
            <w:tcBorders>
              <w:top w:val="nil"/>
              <w:bottom w:val="nil"/>
            </w:tcBorders>
          </w:tcPr>
          <w:p w14:paraId="7C35C893"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b/>
                <w:bCs/>
                <w:color w:val="282828"/>
                <w:sz w:val="20"/>
                <w:szCs w:val="20"/>
                <w:lang w:val="en-US"/>
              </w:rPr>
              <w:t>γ</w:t>
            </w:r>
            <w:r w:rsidRPr="00DC2277">
              <w:rPr>
                <w:rFonts w:ascii="Times New Roman" w:eastAsia="Calibri" w:hAnsi="Times New Roman" w:cs="Times New Roman"/>
                <w:b/>
                <w:bCs/>
                <w:sz w:val="20"/>
                <w:szCs w:val="20"/>
              </w:rPr>
              <w:t>-</w:t>
            </w:r>
            <w:r w:rsidRPr="00DC2277">
              <w:rPr>
                <w:rFonts w:ascii="Times New Roman" w:eastAsia="Calibri" w:hAnsi="Times New Roman" w:cs="Times New Roman"/>
                <w:sz w:val="20"/>
                <w:szCs w:val="20"/>
              </w:rPr>
              <w:t>LEA</w:t>
            </w:r>
          </w:p>
        </w:tc>
        <w:tc>
          <w:tcPr>
            <w:tcW w:w="1886" w:type="dxa"/>
            <w:tcBorders>
              <w:top w:val="nil"/>
              <w:bottom w:val="nil"/>
            </w:tcBorders>
          </w:tcPr>
          <w:p w14:paraId="365CA976"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354± 56</w:t>
            </w:r>
          </w:p>
        </w:tc>
        <w:tc>
          <w:tcPr>
            <w:tcW w:w="1853" w:type="dxa"/>
            <w:tcBorders>
              <w:top w:val="nil"/>
              <w:bottom w:val="nil"/>
            </w:tcBorders>
            <w:shd w:val="clear" w:color="auto" w:fill="auto"/>
            <w:vAlign w:val="bottom"/>
          </w:tcPr>
          <w:p w14:paraId="1BDDE9AA"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&gt;0.9999</w:t>
            </w:r>
          </w:p>
        </w:tc>
        <w:tc>
          <w:tcPr>
            <w:tcW w:w="2222" w:type="dxa"/>
            <w:tcBorders>
              <w:top w:val="nil"/>
              <w:bottom w:val="nil"/>
            </w:tcBorders>
          </w:tcPr>
          <w:p w14:paraId="2B59D169"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311 ± 60</w:t>
            </w:r>
          </w:p>
        </w:tc>
        <w:tc>
          <w:tcPr>
            <w:tcW w:w="1482" w:type="dxa"/>
            <w:tcBorders>
              <w:top w:val="nil"/>
              <w:bottom w:val="nil"/>
            </w:tcBorders>
            <w:shd w:val="clear" w:color="auto" w:fill="auto"/>
            <w:vAlign w:val="bottom"/>
          </w:tcPr>
          <w:p w14:paraId="2FC37AE5"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0.0920</w:t>
            </w:r>
          </w:p>
        </w:tc>
      </w:tr>
      <w:tr w:rsidR="00DC2277" w:rsidRPr="00DC2277" w14:paraId="506C739F" w14:textId="77777777" w:rsidTr="007419FB">
        <w:trPr>
          <w:trHeight w:val="348"/>
        </w:trPr>
        <w:tc>
          <w:tcPr>
            <w:tcW w:w="1725" w:type="dxa"/>
            <w:tcBorders>
              <w:top w:val="nil"/>
              <w:bottom w:val="nil"/>
            </w:tcBorders>
          </w:tcPr>
          <w:p w14:paraId="4E59C48B"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AEA</w:t>
            </w:r>
          </w:p>
        </w:tc>
        <w:tc>
          <w:tcPr>
            <w:tcW w:w="1886" w:type="dxa"/>
            <w:tcBorders>
              <w:top w:val="nil"/>
              <w:bottom w:val="nil"/>
            </w:tcBorders>
          </w:tcPr>
          <w:p w14:paraId="64D5D4B2"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229± 56</w:t>
            </w:r>
          </w:p>
        </w:tc>
        <w:tc>
          <w:tcPr>
            <w:tcW w:w="1853" w:type="dxa"/>
            <w:tcBorders>
              <w:top w:val="nil"/>
              <w:bottom w:val="nil"/>
            </w:tcBorders>
            <w:shd w:val="clear" w:color="auto" w:fill="auto"/>
            <w:vAlign w:val="bottom"/>
          </w:tcPr>
          <w:p w14:paraId="7A4DA673"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0.3420</w:t>
            </w:r>
          </w:p>
        </w:tc>
        <w:tc>
          <w:tcPr>
            <w:tcW w:w="2222" w:type="dxa"/>
            <w:tcBorders>
              <w:top w:val="nil"/>
              <w:bottom w:val="nil"/>
            </w:tcBorders>
          </w:tcPr>
          <w:p w14:paraId="0FF7784D"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206 ± 60</w:t>
            </w:r>
          </w:p>
        </w:tc>
        <w:tc>
          <w:tcPr>
            <w:tcW w:w="1482" w:type="dxa"/>
            <w:tcBorders>
              <w:top w:val="nil"/>
              <w:bottom w:val="nil"/>
            </w:tcBorders>
            <w:shd w:val="clear" w:color="auto" w:fill="auto"/>
            <w:vAlign w:val="bottom"/>
          </w:tcPr>
          <w:p w14:paraId="23CED274"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0.0006</w:t>
            </w:r>
          </w:p>
        </w:tc>
      </w:tr>
      <w:tr w:rsidR="00DC2277" w:rsidRPr="00DC2277" w14:paraId="761991CE" w14:textId="77777777" w:rsidTr="007419FB">
        <w:trPr>
          <w:trHeight w:val="336"/>
        </w:trPr>
        <w:tc>
          <w:tcPr>
            <w:tcW w:w="1725" w:type="dxa"/>
            <w:tcBorders>
              <w:top w:val="nil"/>
              <w:bottom w:val="nil"/>
            </w:tcBorders>
          </w:tcPr>
          <w:p w14:paraId="6B9C7F8A"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2-AG</w:t>
            </w:r>
          </w:p>
        </w:tc>
        <w:tc>
          <w:tcPr>
            <w:tcW w:w="1886" w:type="dxa"/>
            <w:tcBorders>
              <w:top w:val="nil"/>
              <w:bottom w:val="nil"/>
            </w:tcBorders>
          </w:tcPr>
          <w:p w14:paraId="6DD5B6BC"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78± 56</w:t>
            </w:r>
          </w:p>
        </w:tc>
        <w:tc>
          <w:tcPr>
            <w:tcW w:w="1853" w:type="dxa"/>
            <w:tcBorders>
              <w:top w:val="nil"/>
              <w:bottom w:val="nil"/>
            </w:tcBorders>
            <w:shd w:val="clear" w:color="auto" w:fill="auto"/>
            <w:vAlign w:val="bottom"/>
          </w:tcPr>
          <w:p w14:paraId="3AD02FD3"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0.0001</w:t>
            </w:r>
          </w:p>
        </w:tc>
        <w:tc>
          <w:tcPr>
            <w:tcW w:w="2222" w:type="dxa"/>
            <w:tcBorders>
              <w:top w:val="nil"/>
              <w:bottom w:val="nil"/>
            </w:tcBorders>
          </w:tcPr>
          <w:p w14:paraId="5FC79049"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109 ± 60</w:t>
            </w:r>
          </w:p>
        </w:tc>
        <w:tc>
          <w:tcPr>
            <w:tcW w:w="1482" w:type="dxa"/>
            <w:tcBorders>
              <w:top w:val="nil"/>
              <w:bottom w:val="nil"/>
            </w:tcBorders>
            <w:shd w:val="clear" w:color="auto" w:fill="auto"/>
            <w:vAlign w:val="bottom"/>
          </w:tcPr>
          <w:p w14:paraId="05F72A2C"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&lt;0.0001</w:t>
            </w:r>
          </w:p>
        </w:tc>
      </w:tr>
      <w:tr w:rsidR="00DC2277" w:rsidRPr="00DC2277" w14:paraId="60462199" w14:textId="77777777" w:rsidTr="007419FB">
        <w:trPr>
          <w:trHeight w:val="348"/>
        </w:trPr>
        <w:tc>
          <w:tcPr>
            <w:tcW w:w="1725" w:type="dxa"/>
            <w:tcBorders>
              <w:top w:val="nil"/>
              <w:bottom w:val="nil"/>
            </w:tcBorders>
          </w:tcPr>
          <w:p w14:paraId="4DFB720A"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2-AG ether</w:t>
            </w:r>
          </w:p>
        </w:tc>
        <w:tc>
          <w:tcPr>
            <w:tcW w:w="1886" w:type="dxa"/>
            <w:tcBorders>
              <w:top w:val="nil"/>
              <w:bottom w:val="nil"/>
            </w:tcBorders>
          </w:tcPr>
          <w:p w14:paraId="4252BA2E"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63± 56</w:t>
            </w:r>
          </w:p>
        </w:tc>
        <w:tc>
          <w:tcPr>
            <w:tcW w:w="1853" w:type="dxa"/>
            <w:tcBorders>
              <w:top w:val="nil"/>
              <w:bottom w:val="nil"/>
            </w:tcBorders>
            <w:shd w:val="clear" w:color="auto" w:fill="auto"/>
            <w:vAlign w:val="bottom"/>
          </w:tcPr>
          <w:p w14:paraId="7ABD5AA9"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&lt;0.0001</w:t>
            </w:r>
          </w:p>
        </w:tc>
        <w:tc>
          <w:tcPr>
            <w:tcW w:w="2222" w:type="dxa"/>
            <w:tcBorders>
              <w:top w:val="nil"/>
              <w:bottom w:val="nil"/>
            </w:tcBorders>
          </w:tcPr>
          <w:p w14:paraId="4D4C116F"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223 ± 60</w:t>
            </w:r>
          </w:p>
        </w:tc>
        <w:tc>
          <w:tcPr>
            <w:tcW w:w="1482" w:type="dxa"/>
            <w:tcBorders>
              <w:top w:val="nil"/>
              <w:bottom w:val="nil"/>
            </w:tcBorders>
            <w:shd w:val="clear" w:color="auto" w:fill="auto"/>
            <w:vAlign w:val="bottom"/>
          </w:tcPr>
          <w:p w14:paraId="7A45BBE4"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0.0015</w:t>
            </w:r>
          </w:p>
        </w:tc>
      </w:tr>
      <w:tr w:rsidR="00DC2277" w:rsidRPr="00DC2277" w14:paraId="03C28309" w14:textId="77777777" w:rsidTr="007419FB">
        <w:trPr>
          <w:trHeight w:val="348"/>
        </w:trPr>
        <w:tc>
          <w:tcPr>
            <w:tcW w:w="1725" w:type="dxa"/>
            <w:tcBorders>
              <w:top w:val="nil"/>
              <w:bottom w:val="nil"/>
            </w:tcBorders>
          </w:tcPr>
          <w:p w14:paraId="7D83C983"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2-LG</w:t>
            </w:r>
          </w:p>
        </w:tc>
        <w:tc>
          <w:tcPr>
            <w:tcW w:w="1886" w:type="dxa"/>
            <w:tcBorders>
              <w:top w:val="nil"/>
              <w:bottom w:val="nil"/>
            </w:tcBorders>
          </w:tcPr>
          <w:p w14:paraId="43D6AC1D"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75± 56</w:t>
            </w:r>
          </w:p>
        </w:tc>
        <w:tc>
          <w:tcPr>
            <w:tcW w:w="1853" w:type="dxa"/>
            <w:tcBorders>
              <w:top w:val="nil"/>
              <w:bottom w:val="nil"/>
            </w:tcBorders>
            <w:shd w:val="clear" w:color="auto" w:fill="auto"/>
            <w:vAlign w:val="bottom"/>
          </w:tcPr>
          <w:p w14:paraId="1D95A263"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0.0001</w:t>
            </w:r>
          </w:p>
        </w:tc>
        <w:tc>
          <w:tcPr>
            <w:tcW w:w="2222" w:type="dxa"/>
            <w:tcBorders>
              <w:top w:val="nil"/>
              <w:bottom w:val="nil"/>
            </w:tcBorders>
          </w:tcPr>
          <w:p w14:paraId="10837F3E"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10± 60</w:t>
            </w:r>
          </w:p>
        </w:tc>
        <w:tc>
          <w:tcPr>
            <w:tcW w:w="1482" w:type="dxa"/>
            <w:tcBorders>
              <w:top w:val="nil"/>
              <w:bottom w:val="nil"/>
            </w:tcBorders>
            <w:shd w:val="clear" w:color="auto" w:fill="auto"/>
            <w:vAlign w:val="bottom"/>
          </w:tcPr>
          <w:p w14:paraId="1FB527BF" w14:textId="77777777" w:rsidR="00DC2277" w:rsidRPr="00DC2277" w:rsidRDefault="00DC2277" w:rsidP="00DC2277">
            <w:pPr>
              <w:spacing w:line="480" w:lineRule="auto"/>
              <w:jc w:val="center"/>
              <w:rPr>
                <w:rFonts w:ascii="Times New Roman" w:eastAsia="Calibri" w:hAnsi="Times New Roman" w:cs="Times New Roman"/>
                <w:b/>
                <w:bCs/>
                <w:sz w:val="20"/>
                <w:szCs w:val="20"/>
              </w:rPr>
            </w:pPr>
            <w:r w:rsidRPr="00DC2277">
              <w:rPr>
                <w:rFonts w:ascii="Times New Roman" w:eastAsia="Calibri" w:hAnsi="Times New Roman" w:cs="Times New Roman"/>
                <w:b/>
                <w:bCs/>
                <w:sz w:val="20"/>
                <w:szCs w:val="20"/>
              </w:rPr>
              <w:t>&lt;0.0001</w:t>
            </w:r>
          </w:p>
        </w:tc>
      </w:tr>
      <w:tr w:rsidR="00DC2277" w:rsidRPr="00DC2277" w14:paraId="3C7DAD7C" w14:textId="77777777" w:rsidTr="007419FB">
        <w:trPr>
          <w:trHeight w:val="336"/>
        </w:trPr>
        <w:tc>
          <w:tcPr>
            <w:tcW w:w="1725" w:type="dxa"/>
            <w:tcBorders>
              <w:top w:val="nil"/>
              <w:bottom w:val="nil"/>
            </w:tcBorders>
          </w:tcPr>
          <w:p w14:paraId="5829B008"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NADA</w:t>
            </w:r>
          </w:p>
        </w:tc>
        <w:tc>
          <w:tcPr>
            <w:tcW w:w="1886" w:type="dxa"/>
            <w:tcBorders>
              <w:top w:val="nil"/>
              <w:bottom w:val="nil"/>
            </w:tcBorders>
          </w:tcPr>
          <w:p w14:paraId="525312D9"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245± 56 (7)</w:t>
            </w:r>
          </w:p>
        </w:tc>
        <w:tc>
          <w:tcPr>
            <w:tcW w:w="1853" w:type="dxa"/>
            <w:tcBorders>
              <w:top w:val="nil"/>
              <w:bottom w:val="nil"/>
            </w:tcBorders>
            <w:shd w:val="clear" w:color="auto" w:fill="auto"/>
            <w:vAlign w:val="bottom"/>
          </w:tcPr>
          <w:p w14:paraId="5806F6E8"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0.4672</w:t>
            </w:r>
          </w:p>
        </w:tc>
        <w:tc>
          <w:tcPr>
            <w:tcW w:w="2222" w:type="dxa"/>
            <w:tcBorders>
              <w:top w:val="nil"/>
              <w:bottom w:val="nil"/>
            </w:tcBorders>
          </w:tcPr>
          <w:p w14:paraId="1E3B0796"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c>
          <w:tcPr>
            <w:tcW w:w="1482" w:type="dxa"/>
            <w:tcBorders>
              <w:top w:val="nil"/>
              <w:bottom w:val="nil"/>
            </w:tcBorders>
          </w:tcPr>
          <w:p w14:paraId="599ECF25"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r>
      <w:tr w:rsidR="00DC2277" w:rsidRPr="00DC2277" w14:paraId="1B703CE2" w14:textId="77777777" w:rsidTr="007419FB">
        <w:trPr>
          <w:trHeight w:val="336"/>
        </w:trPr>
        <w:tc>
          <w:tcPr>
            <w:tcW w:w="1725" w:type="dxa"/>
            <w:tcBorders>
              <w:top w:val="nil"/>
              <w:bottom w:val="nil"/>
            </w:tcBorders>
          </w:tcPr>
          <w:p w14:paraId="3C754F3B"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Capsaicin</w:t>
            </w:r>
          </w:p>
        </w:tc>
        <w:tc>
          <w:tcPr>
            <w:tcW w:w="1886" w:type="dxa"/>
            <w:tcBorders>
              <w:top w:val="nil"/>
              <w:bottom w:val="nil"/>
            </w:tcBorders>
          </w:tcPr>
          <w:p w14:paraId="7B6D5476"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337 ± 56 (21)</w:t>
            </w:r>
          </w:p>
        </w:tc>
        <w:tc>
          <w:tcPr>
            <w:tcW w:w="1853" w:type="dxa"/>
            <w:tcBorders>
              <w:top w:val="nil"/>
              <w:bottom w:val="nil"/>
            </w:tcBorders>
          </w:tcPr>
          <w:p w14:paraId="2C4E1E64"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c>
          <w:tcPr>
            <w:tcW w:w="2222" w:type="dxa"/>
            <w:tcBorders>
              <w:top w:val="nil"/>
              <w:bottom w:val="nil"/>
            </w:tcBorders>
          </w:tcPr>
          <w:p w14:paraId="4BF0AEFB"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c>
          <w:tcPr>
            <w:tcW w:w="1482" w:type="dxa"/>
            <w:tcBorders>
              <w:top w:val="nil"/>
              <w:bottom w:val="nil"/>
            </w:tcBorders>
          </w:tcPr>
          <w:p w14:paraId="6B75A60D"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r>
      <w:tr w:rsidR="00DC2277" w:rsidRPr="00DC2277" w14:paraId="77B669B2" w14:textId="77777777" w:rsidTr="007419FB">
        <w:trPr>
          <w:trHeight w:val="336"/>
        </w:trPr>
        <w:tc>
          <w:tcPr>
            <w:tcW w:w="1725" w:type="dxa"/>
            <w:tcBorders>
              <w:top w:val="nil"/>
            </w:tcBorders>
          </w:tcPr>
          <w:p w14:paraId="3BDC5CD4"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Cinnamaldehyde</w:t>
            </w:r>
          </w:p>
        </w:tc>
        <w:tc>
          <w:tcPr>
            <w:tcW w:w="1886" w:type="dxa"/>
            <w:tcBorders>
              <w:top w:val="nil"/>
            </w:tcBorders>
          </w:tcPr>
          <w:p w14:paraId="0FE209BC"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c>
          <w:tcPr>
            <w:tcW w:w="1853" w:type="dxa"/>
            <w:tcBorders>
              <w:top w:val="nil"/>
            </w:tcBorders>
          </w:tcPr>
          <w:p w14:paraId="6D9C272B"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c>
          <w:tcPr>
            <w:tcW w:w="2222" w:type="dxa"/>
            <w:tcBorders>
              <w:top w:val="nil"/>
            </w:tcBorders>
          </w:tcPr>
          <w:p w14:paraId="1A978D77"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461 ± 60 (14)</w:t>
            </w:r>
          </w:p>
        </w:tc>
        <w:tc>
          <w:tcPr>
            <w:tcW w:w="1482" w:type="dxa"/>
            <w:tcBorders>
              <w:top w:val="nil"/>
            </w:tcBorders>
          </w:tcPr>
          <w:p w14:paraId="431AD6FC" w14:textId="77777777" w:rsidR="00DC2277" w:rsidRPr="00DC2277" w:rsidRDefault="00DC2277" w:rsidP="00DC2277">
            <w:pPr>
              <w:spacing w:line="480" w:lineRule="auto"/>
              <w:jc w:val="center"/>
              <w:rPr>
                <w:rFonts w:ascii="Times New Roman" w:eastAsia="Calibri" w:hAnsi="Times New Roman" w:cs="Times New Roman"/>
                <w:sz w:val="20"/>
                <w:szCs w:val="20"/>
              </w:rPr>
            </w:pPr>
            <w:r w:rsidRPr="00DC2277">
              <w:rPr>
                <w:rFonts w:ascii="Times New Roman" w:eastAsia="Calibri" w:hAnsi="Times New Roman" w:cs="Times New Roman"/>
                <w:sz w:val="20"/>
                <w:szCs w:val="20"/>
              </w:rPr>
              <w:t>-</w:t>
            </w:r>
          </w:p>
        </w:tc>
      </w:tr>
    </w:tbl>
    <w:p w14:paraId="2C01BDF0" w14:textId="77777777" w:rsidR="00DC2277" w:rsidRPr="00DC2277" w:rsidRDefault="00DC2277" w:rsidP="00DC2277">
      <w:pPr>
        <w:spacing w:line="480" w:lineRule="auto"/>
        <w:rPr>
          <w:rFonts w:ascii="Times New Roman" w:eastAsia="Calibri" w:hAnsi="Times New Roman" w:cs="Times New Roman"/>
          <w:sz w:val="24"/>
          <w:szCs w:val="24"/>
        </w:rPr>
      </w:pPr>
      <w:r w:rsidRPr="00DC2277">
        <w:rPr>
          <w:rFonts w:ascii="Times New Roman" w:eastAsia="Calibri" w:hAnsi="Times New Roman" w:cs="Times New Roman"/>
          <w:sz w:val="20"/>
          <w:szCs w:val="20"/>
        </w:rPr>
        <w:t>*</w:t>
      </w:r>
      <w:r w:rsidRPr="00DC2277">
        <w:rPr>
          <w:rFonts w:ascii="Calibri" w:eastAsia="Calibri" w:hAnsi="Calibri" w:cs="Arial"/>
        </w:rPr>
        <w:t xml:space="preserve"> </w:t>
      </w:r>
      <w:r w:rsidRPr="00DC2277">
        <w:rPr>
          <w:rFonts w:ascii="Times New Roman" w:eastAsia="Calibri" w:hAnsi="Times New Roman" w:cs="Times New Roman"/>
          <w:sz w:val="24"/>
          <w:szCs w:val="24"/>
        </w:rPr>
        <w:t>One-way ANOVA with Dunnett’s multiple comparisons was performed to compare the response of endocannabinoids and related metabolites of PUFAs at 30 µM with the highest concentration of capsaicin (10 µM) and cinnamaldehyde (300 µM) on HEK-293 TRPV1 and TRPA1 expressing cells, respectively. Unless specified otherwise, the sample size (N) is 6; a significance level of P&lt;0.05 indicates a statistically significant difference and those values which have significant difference are written in bold format.</w:t>
      </w:r>
    </w:p>
    <w:p w14:paraId="59E065CB" w14:textId="4788021F" w:rsidR="00DC2277" w:rsidRPr="00DC2277" w:rsidRDefault="00DC2277" w:rsidP="00DC2277">
      <w:pPr>
        <w:spacing w:line="480" w:lineRule="auto"/>
        <w:jc w:val="center"/>
        <w:rPr>
          <w:rFonts w:ascii="Times New Roman" w:eastAsia="Calibri" w:hAnsi="Times New Roman" w:cs="Times New Roman"/>
          <w:b/>
          <w:bCs/>
          <w:sz w:val="24"/>
          <w:szCs w:val="24"/>
        </w:rPr>
      </w:pPr>
      <w:bookmarkStart w:id="1" w:name="_Hlk175981812"/>
    </w:p>
    <w:bookmarkEnd w:id="1"/>
    <w:p w14:paraId="0120D8E5" w14:textId="4CDE151D" w:rsidR="00DC2277" w:rsidRPr="00DC2277" w:rsidRDefault="00DC2277" w:rsidP="00DC2277">
      <w:pPr>
        <w:spacing w:line="480" w:lineRule="auto"/>
        <w:jc w:val="center"/>
        <w:rPr>
          <w:rFonts w:ascii="Times New Roman" w:eastAsia="Calibri" w:hAnsi="Times New Roman" w:cs="Times New Roman"/>
          <w:b/>
          <w:bCs/>
          <w:sz w:val="24"/>
          <w:szCs w:val="24"/>
        </w:rPr>
      </w:pPr>
    </w:p>
    <w:p w14:paraId="6FC24D19" w14:textId="77777777" w:rsidR="00782F33" w:rsidRDefault="00782F33"/>
    <w:sectPr w:rsidR="00782F33" w:rsidSect="00DC2277">
      <w:pgSz w:w="11906" w:h="16838"/>
      <w:pgMar w:top="1418" w:right="1440" w:bottom="1440"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77"/>
    <w:rsid w:val="00233019"/>
    <w:rsid w:val="007035D9"/>
    <w:rsid w:val="00782F33"/>
    <w:rsid w:val="007E0529"/>
    <w:rsid w:val="00DC2277"/>
    <w:rsid w:val="00E97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0181"/>
  <w15:chartTrackingRefBased/>
  <w15:docId w15:val="{F8DDFD11-AB33-4DC2-AE3A-0C30D49A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277"/>
    <w:rPr>
      <w:rFonts w:eastAsiaTheme="majorEastAsia" w:cstheme="majorBidi"/>
      <w:color w:val="272727" w:themeColor="text1" w:themeTint="D8"/>
    </w:rPr>
  </w:style>
  <w:style w:type="paragraph" w:styleId="Title">
    <w:name w:val="Title"/>
    <w:basedOn w:val="Normal"/>
    <w:next w:val="Normal"/>
    <w:link w:val="TitleChar"/>
    <w:uiPriority w:val="10"/>
    <w:qFormat/>
    <w:rsid w:val="00DC2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277"/>
    <w:pPr>
      <w:spacing w:before="160"/>
      <w:jc w:val="center"/>
    </w:pPr>
    <w:rPr>
      <w:i/>
      <w:iCs/>
      <w:color w:val="404040" w:themeColor="text1" w:themeTint="BF"/>
    </w:rPr>
  </w:style>
  <w:style w:type="character" w:customStyle="1" w:styleId="QuoteChar">
    <w:name w:val="Quote Char"/>
    <w:basedOn w:val="DefaultParagraphFont"/>
    <w:link w:val="Quote"/>
    <w:uiPriority w:val="29"/>
    <w:rsid w:val="00DC2277"/>
    <w:rPr>
      <w:i/>
      <w:iCs/>
      <w:color w:val="404040" w:themeColor="text1" w:themeTint="BF"/>
    </w:rPr>
  </w:style>
  <w:style w:type="paragraph" w:styleId="ListParagraph">
    <w:name w:val="List Paragraph"/>
    <w:basedOn w:val="Normal"/>
    <w:uiPriority w:val="34"/>
    <w:qFormat/>
    <w:rsid w:val="00DC2277"/>
    <w:pPr>
      <w:ind w:left="720"/>
      <w:contextualSpacing/>
    </w:pPr>
  </w:style>
  <w:style w:type="character" w:styleId="IntenseEmphasis">
    <w:name w:val="Intense Emphasis"/>
    <w:basedOn w:val="DefaultParagraphFont"/>
    <w:uiPriority w:val="21"/>
    <w:qFormat/>
    <w:rsid w:val="00DC2277"/>
    <w:rPr>
      <w:i/>
      <w:iCs/>
      <w:color w:val="0F4761" w:themeColor="accent1" w:themeShade="BF"/>
    </w:rPr>
  </w:style>
  <w:style w:type="paragraph" w:styleId="IntenseQuote">
    <w:name w:val="Intense Quote"/>
    <w:basedOn w:val="Normal"/>
    <w:next w:val="Normal"/>
    <w:link w:val="IntenseQuoteChar"/>
    <w:uiPriority w:val="30"/>
    <w:qFormat/>
    <w:rsid w:val="00DC2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277"/>
    <w:rPr>
      <w:i/>
      <w:iCs/>
      <w:color w:val="0F4761" w:themeColor="accent1" w:themeShade="BF"/>
    </w:rPr>
  </w:style>
  <w:style w:type="character" w:styleId="IntenseReference">
    <w:name w:val="Intense Reference"/>
    <w:basedOn w:val="DefaultParagraphFont"/>
    <w:uiPriority w:val="32"/>
    <w:qFormat/>
    <w:rsid w:val="00DC2277"/>
    <w:rPr>
      <w:b/>
      <w:bCs/>
      <w:smallCaps/>
      <w:color w:val="0F4761" w:themeColor="accent1" w:themeShade="BF"/>
      <w:spacing w:val="5"/>
    </w:rPr>
  </w:style>
  <w:style w:type="table" w:customStyle="1" w:styleId="TableGrid1">
    <w:name w:val="Table Grid1"/>
    <w:basedOn w:val="TableNormal"/>
    <w:next w:val="TableGrid"/>
    <w:uiPriority w:val="39"/>
    <w:rsid w:val="00DC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C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Atnaf Abate</dc:creator>
  <cp:keywords/>
  <dc:description/>
  <cp:lastModifiedBy>Atnaf Abate</cp:lastModifiedBy>
  <cp:revision>2</cp:revision>
  <dcterms:created xsi:type="dcterms:W3CDTF">2024-09-26T01:28:00Z</dcterms:created>
  <dcterms:modified xsi:type="dcterms:W3CDTF">2024-09-26T02:18:00Z</dcterms:modified>
</cp:coreProperties>
</file>