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413B7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The following provides explanations for the categorical variables included in the dataset:</w:t>
      </w:r>
    </w:p>
    <w:p w14:paraId="587AA807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5D6A4345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1. Male</w:t>
      </w:r>
    </w:p>
    <w:p w14:paraId="5807F86F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- 1: Represents male individuals.</w:t>
      </w:r>
    </w:p>
    <w:p w14:paraId="2FADE03C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- 0: Represents female individuals.</w:t>
      </w:r>
    </w:p>
    <w:p w14:paraId="75DC5ED5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14192DB7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2. Diabetes Mellitus</w:t>
      </w:r>
    </w:p>
    <w:p w14:paraId="15879ACC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- 1: Indicates patients with diabetes mellitus.</w:t>
      </w:r>
    </w:p>
    <w:p w14:paraId="393EA666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- 0: Indicates patients without diabetes mellitus.</w:t>
      </w:r>
    </w:p>
    <w:p w14:paraId="33F15746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6BEE8A65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3. Hypertension</w:t>
      </w:r>
    </w:p>
    <w:p w14:paraId="58A4358F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- 1: Indicates patients with hypertension.</w:t>
      </w:r>
    </w:p>
    <w:p w14:paraId="59AE3863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- 0: Indicates patients without hypertension.</w:t>
      </w:r>
    </w:p>
    <w:p w14:paraId="52279213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2DE49B85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4. Cerebral Disease History</w:t>
      </w:r>
    </w:p>
    <w:p w14:paraId="2B1A29D4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- 1: Indicates patients with a history of cerebral disease.</w:t>
      </w:r>
    </w:p>
    <w:p w14:paraId="69D05E43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- 0: Indicates patients without a history of cerebral disease.</w:t>
      </w:r>
    </w:p>
    <w:p w14:paraId="09BADD92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2AC9275F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5. Normal White Blood Cell</w:t>
      </w:r>
    </w:p>
    <w:p w14:paraId="12951299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- 1: Represents patients with a white blood cell count within the normal range (4.0–10.0) x 10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vertAlign w:val="baseline"/>
          <w:lang w:eastAsia="en-US"/>
          <w14:textFill>
            <w14:solidFill>
              <w14:schemeClr w14:val="tx1"/>
            </w14:solidFill>
          </w14:textFill>
        </w:rPr>
        <w:t>^9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/L.</w:t>
      </w:r>
    </w:p>
    <w:p w14:paraId="20345CBF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- 0: Represents patients with a white blood cell count outside the normal range.</w:t>
      </w:r>
    </w:p>
    <w:p w14:paraId="22B14206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08298C24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6. Anemia</w:t>
      </w:r>
    </w:p>
    <w:p w14:paraId="7567E1F9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- 1: Indicates patients with anemia.</w:t>
      </w:r>
    </w:p>
    <w:p w14:paraId="2FDDAA90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- 0: Indicates patients without anemia.</w:t>
      </w:r>
    </w:p>
    <w:p w14:paraId="6CC1089F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45A26B94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7. Platelet &lt; 100×10^9/L</w:t>
      </w:r>
    </w:p>
    <w:p w14:paraId="0710E04D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- 1: Represents patients with a platelet count below 100×10^9/L.</w:t>
      </w:r>
    </w:p>
    <w:p w14:paraId="32026198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- 0: Represents patients with a platelet count of 100×10^9/L or above.</w:t>
      </w:r>
    </w:p>
    <w:p w14:paraId="46D31679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0F5FF202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8. Elevated INR</w:t>
      </w:r>
    </w:p>
    <w:p w14:paraId="0AC22F5D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- 1: Indicates an INR value greater than 1.5.</w:t>
      </w:r>
    </w:p>
    <w:p w14:paraId="68C272EF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- 0: Indicates an INR value of 1.5 or less.</w:t>
      </w:r>
    </w:p>
    <w:p w14:paraId="3B17078A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7D90C679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9. Hypoproteinaemia</w:t>
      </w:r>
    </w:p>
    <w:p w14:paraId="43508338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- 1: Represents patients with albumin levels below 35g/L.</w:t>
      </w:r>
    </w:p>
    <w:p w14:paraId="33D05BC8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- 0: Represents patients with albumin levels of 35g/L or above.</w:t>
      </w:r>
    </w:p>
    <w:p w14:paraId="441F7704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24327172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10. Elevated Triglyceride</w:t>
      </w:r>
    </w:p>
    <w:p w14:paraId="0FA07351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Indicates patients with triglyceride levels exceeding 2.25mmol/L.</w:t>
      </w:r>
    </w:p>
    <w:p w14:paraId="704DAD47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Indicates patients with triglyceride levels not exceeding 2.25mmol/L.</w:t>
      </w:r>
    </w:p>
    <w:p w14:paraId="4B5AFCEE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495B5C52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11. Elevated Total Cholesterol</w:t>
      </w:r>
    </w:p>
    <w:p w14:paraId="254967CE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Represents patients with total cholesterol levels of 6.22mmol/L or above.</w:t>
      </w:r>
    </w:p>
    <w:p w14:paraId="101C512E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Represents patients with total cholesterol levels below 6.22mmol/L.</w:t>
      </w:r>
    </w:p>
    <w:p w14:paraId="5180299B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1378F4F1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12. Elevated Creatinine</w:t>
      </w:r>
    </w:p>
    <w:p w14:paraId="6A8DBC1B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Indicates patients with creatinine levels above the normal range (males &gt; 132μmol/L, females &gt; 111μmol/L).</w:t>
      </w:r>
    </w:p>
    <w:p w14:paraId="09602006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Indicates patients with creatinine levels within the normal range.</w:t>
      </w:r>
    </w:p>
    <w:p w14:paraId="732D8374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33BA2E4A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13. Left Ventricle Ejection Fractions &lt; 50%</w:t>
      </w:r>
    </w:p>
    <w:p w14:paraId="35D2072F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Represents patients with left ventricle ejection fractions below 50%.</w:t>
      </w:r>
    </w:p>
    <w:p w14:paraId="77611BD6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Represents patients with left ventricle ejection fractions of 50% or above.</w:t>
      </w:r>
    </w:p>
    <w:p w14:paraId="635FF77B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236B54A6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14. Aortic Valve Regurgitation</w:t>
      </w:r>
    </w:p>
    <w:p w14:paraId="1A0AED5F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Indicates patients with preoperative aortic valve regurgitation.</w:t>
      </w:r>
    </w:p>
    <w:p w14:paraId="3287CFCA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Indicates patients without preoperative aortic valve regurgitation.</w:t>
      </w:r>
    </w:p>
    <w:p w14:paraId="683023E0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703D3CFD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15. Transient Ischemic Attack</w:t>
      </w:r>
    </w:p>
    <w:p w14:paraId="66388F4F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Indicates patients with preoperative transient ischemic attack.</w:t>
      </w:r>
    </w:p>
    <w:p w14:paraId="15D77DA9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Indicates patients without preoperative transient ischemic attack.</w:t>
      </w:r>
    </w:p>
    <w:p w14:paraId="43A7485C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3DBBCDC5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Preoperative Aortic Dissection Involvement</w:t>
      </w:r>
    </w:p>
    <w:p w14:paraId="03DFB7B3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Brachiocephalic Trunk,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17.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Left Common Carotid Artery,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18.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Left Subclavian Artery,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19.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Celiac Trunk Artery,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20.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Mesenteric Artery,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21.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Renal Artery,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22.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Lower Extremity Arteries</w:t>
      </w:r>
    </w:p>
    <w:p w14:paraId="377047D0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1:Represents patients with preoperative aortic dissection involving the specified artery.</w:t>
      </w:r>
    </w:p>
    <w:p w14:paraId="2FB1C2D6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0: Represents patients without preoperative aortic dissection involving the specified artery.</w:t>
      </w:r>
    </w:p>
    <w:p w14:paraId="421364F1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0C6B17C3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23. Pericardial Tamponade</w:t>
      </w:r>
    </w:p>
    <w:p w14:paraId="71066108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Indicates patients with preoperative pericardial tamponade.</w:t>
      </w:r>
    </w:p>
    <w:p w14:paraId="3EC894E9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Indicates patients without preoperative pericardial tamponade.</w:t>
      </w:r>
    </w:p>
    <w:p w14:paraId="5D4338A9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69AC3AB8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24. Spontaneous Heartbeat Recovery</w:t>
      </w:r>
    </w:p>
    <w:p w14:paraId="40D413DC">
      <w:pPr>
        <w:spacing w:line="480" w:lineRule="auto"/>
        <w:jc w:val="both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 -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: Represents patients requiring electrical defibrillation for heartbeat recovery.</w:t>
      </w:r>
    </w:p>
    <w:p w14:paraId="7BBAF56F">
      <w:pPr>
        <w:spacing w:line="480" w:lineRule="auto"/>
        <w:ind w:firstLine="480" w:firstLineChars="200"/>
        <w:jc w:val="both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: Represents patients with spontaneous heartbeat recovery during surgery.</w:t>
      </w:r>
    </w:p>
    <w:p w14:paraId="30F33C11">
      <w:pPr>
        <w:spacing w:line="480" w:lineRule="auto"/>
        <w:jc w:val="both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FC80D2B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25. Re-exploration for Bleeding</w:t>
      </w:r>
    </w:p>
    <w:p w14:paraId="2A9E8CF5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Indicates patients who underwent re-exploration for bleeding postoperatively.</w:t>
      </w:r>
    </w:p>
    <w:p w14:paraId="7E4CED54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Indicates patients who did not undergo re-exploration for bleeding postoperatively.</w:t>
      </w:r>
    </w:p>
    <w:p w14:paraId="57FC6CF1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266783AE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Postoperative Complications</w:t>
      </w:r>
    </w:p>
    <w:p w14:paraId="281C0097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Paraplegia,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27.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Stroke,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28.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Renal Failure,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29.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Pulmonary Infection,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30.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Liver Failure,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31.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Septicemia,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32.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Gastrointestinal Bleeding</w:t>
      </w:r>
    </w:p>
    <w:p w14:paraId="21EED5E2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  - 1:Indicates patients who experienced the specified postoperative complication.</w:t>
      </w:r>
    </w:p>
    <w:p w14:paraId="4D8FD841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  - 0: Indicates patients who did not experience the specified postoperative complication.</w:t>
      </w:r>
    </w:p>
    <w:p w14:paraId="134F4938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76C06071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33. Advanced Life Support</w:t>
      </w:r>
    </w:p>
    <w:p w14:paraId="2B640105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Represents patients who required advanced life support postoperatively.</w:t>
      </w:r>
    </w:p>
    <w:p w14:paraId="4D6CB61D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Represents patients who did not require advanced life support postoperatively.</w:t>
      </w:r>
    </w:p>
    <w:p w14:paraId="1C0EFBD1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47BFABAC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34. Death (1 Month, 6 Months, 12 Months, 24 Months)</w:t>
      </w:r>
    </w:p>
    <w:p w14:paraId="362B571D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Indicates patient death within the specified time period.</w:t>
      </w:r>
    </w:p>
    <w:p w14:paraId="5030973E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Indicates patient survival beyond the specified time period.</w:t>
      </w:r>
    </w:p>
    <w:p w14:paraId="7585AB94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</w:p>
    <w:p w14:paraId="05A6DA14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>35. IHMS (Intermittent horizontal mattress suture)</w:t>
      </w:r>
    </w:p>
    <w:p w14:paraId="3D02D74E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- 1: Represents the use of the 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IHMS</w:t>
      </w: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during surgery for proximal aortic anastomosis.</w:t>
      </w:r>
    </w:p>
    <w:p w14:paraId="3E80DBF6">
      <w:pPr>
        <w:spacing w:line="480" w:lineRule="auto"/>
        <w:jc w:val="left"/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Times" w:cs="Times New Roman"/>
          <w:color w:val="000000" w:themeColor="text1"/>
          <w:kern w:val="0"/>
          <w:sz w:val="24"/>
          <w:szCs w:val="24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   - 0: Represents the use of the sandwich method during surgery for proximal aortic anastomosis.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38C2"/>
    <w:rsid w:val="066C1A43"/>
    <w:rsid w:val="0BBE064B"/>
    <w:rsid w:val="10B32141"/>
    <w:rsid w:val="13B61C81"/>
    <w:rsid w:val="31124E12"/>
    <w:rsid w:val="3F2C3542"/>
    <w:rsid w:val="54143DEF"/>
    <w:rsid w:val="54FA02C1"/>
    <w:rsid w:val="5F9A6C99"/>
    <w:rsid w:val="63DA4595"/>
    <w:rsid w:val="69D36269"/>
    <w:rsid w:val="6BA918F3"/>
    <w:rsid w:val="6DA700B4"/>
    <w:rsid w:val="7B8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604</Words>
  <Characters>3656</Characters>
  <Lines>0</Lines>
  <Paragraphs>0</Paragraphs>
  <TotalTime>1</TotalTime>
  <ScaleCrop>false</ScaleCrop>
  <LinksUpToDate>false</LinksUpToDate>
  <CharactersWithSpaces>4361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2025-01-05T06:49:00Z</dcterms:created>
  <dc:creator>lenovo</dc:creator>
  <cp:lastModifiedBy>Jiajun Li</cp:lastModifiedBy>
  <dcterms:modified xsi:type="dcterms:W3CDTF">2025-02-05T14:28:02Z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eyJoZGlkIjoiYzc3YjBjNWI4ZWIzYWE3ZTRiOWJiNjY0ZDA4MzBjNWYiLCJ1c2VySWQiOiIzMDM0ODQ4MjQifQ==</vt:lpwstr>
  </property>
  <property fmtid="{D5CDD505-2E9C-101B-9397-08002B2CF9AE}" pid="4" name="ICV">
    <vt:lpwstr>37E198A808734C1CB9E21A809D67CE09_12</vt:lpwstr>
  </property>
</Properties>
</file>