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1C07" w14:textId="5643ADD8" w:rsidR="009A4104" w:rsidRPr="009A4104" w:rsidRDefault="009A4104" w:rsidP="009A4104">
      <w:pPr>
        <w:widowControl/>
        <w:spacing w:line="360" w:lineRule="auto"/>
        <w:ind w:firstLineChars="100" w:firstLine="210"/>
        <w:jc w:val="left"/>
        <w:rPr>
          <w:rFonts w:ascii="Times New Roman" w:eastAsia="华文新魏" w:hAnsi="Times New Roman" w:cs="Times New Roman"/>
          <w:color w:val="000000" w:themeColor="text1"/>
          <w:szCs w:val="21"/>
        </w:rPr>
      </w:pPr>
      <w:r w:rsidRPr="009A4104"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The rationale for exploring the correlation between 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 xml:space="preserve">Pretreatment NLR and prognosis of </w:t>
      </w:r>
      <w:proofErr w:type="spellStart"/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>gastroenteropancreatic</w:t>
      </w:r>
      <w:proofErr w:type="spellEnd"/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 xml:space="preserve"> neuroendocrine neoplasm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 xml:space="preserve"> (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>GEP-NEN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>)</w:t>
      </w:r>
      <w:r w:rsidRPr="009A4104"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is 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>t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>hat inflammatory response played a decisive role in different stages of tumor development, including initiating, promoting, malignant transformation, invasion, and metastasis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  <w:vertAlign w:val="superscript"/>
        </w:rPr>
        <w:t>1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>. On the one hand, tumors change their microenvironment by secreting a variety of cytokines, chemokines to weaken the systemic immune response and promotes tumorigenesis and progression; on the other hand, systemic and local tissues are also infiltrated by immune cells and cytokine secretion to alter the tumor microenvironment and kill tumor cells.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  <w:vertAlign w:val="superscript"/>
        </w:rPr>
        <w:t>2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 xml:space="preserve"> The NLR, as the ratio of neutrophils to lymphocytes in the peripheral blood, not only reflects the systemic tumor-associated inflammatory response, but may also reflect bone marrow versus lymph, innate versus adaptive immunity, chronic inflammation versus acute immune rejection, tumor and antitumor immune equilibrium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  <w:vertAlign w:val="superscript"/>
        </w:rPr>
        <w:t>3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>.</w:t>
      </w:r>
      <w:r w:rsidRPr="009A4104">
        <w:rPr>
          <w:rFonts w:ascii="Times New Roman" w:hAnsi="Times New Roman" w:cs="Times New Roman"/>
          <w:szCs w:val="21"/>
        </w:rPr>
        <w:t xml:space="preserve"> 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 xml:space="preserve">However, the predictive role of </w:t>
      </w:r>
      <w:r w:rsidRPr="009A4104">
        <w:rPr>
          <w:rFonts w:ascii="Times New Roman" w:eastAsia="华文新魏" w:hAnsi="Times New Roman" w:cs="Times New Roman"/>
          <w:color w:val="000000" w:themeColor="text1"/>
          <w:kern w:val="0"/>
          <w:szCs w:val="21"/>
        </w:rPr>
        <w:t>NLR</w:t>
      </w:r>
      <w:r w:rsidRPr="009A4104">
        <w:rPr>
          <w:rFonts w:ascii="Times New Roman" w:eastAsia="华文新魏" w:hAnsi="Times New Roman" w:cs="Times New Roman"/>
          <w:color w:val="000000" w:themeColor="text1"/>
          <w:szCs w:val="21"/>
        </w:rPr>
        <w:t xml:space="preserve"> in GEP-NEN remains controversial.</w:t>
      </w:r>
    </w:p>
    <w:p w14:paraId="3512D439" w14:textId="2E645CB5" w:rsidR="009A4104" w:rsidRPr="009A4104" w:rsidRDefault="009A4104" w:rsidP="009A4104">
      <w:pPr>
        <w:widowControl/>
        <w:spacing w:line="360" w:lineRule="auto"/>
        <w:jc w:val="left"/>
        <w:rPr>
          <w:rFonts w:ascii="Times New Roman" w:eastAsia="华文新魏" w:hAnsi="Times New Roman" w:cs="Times New Roman"/>
          <w:color w:val="000000" w:themeColor="text1"/>
          <w:szCs w:val="21"/>
        </w:rPr>
      </w:pPr>
    </w:p>
    <w:p w14:paraId="10D8A413" w14:textId="32806584" w:rsidR="009A4104" w:rsidRPr="009A4104" w:rsidRDefault="009A4104" w:rsidP="009A4104">
      <w:pPr>
        <w:pStyle w:val="EndNoteBibliography"/>
        <w:spacing w:after="0" w:line="360" w:lineRule="auto"/>
        <w:ind w:left="340" w:hanging="340"/>
        <w:rPr>
          <w:rFonts w:ascii="Times New Roman" w:hAnsi="Times New Roman"/>
          <w:color w:val="000000" w:themeColor="text1"/>
          <w:sz w:val="21"/>
          <w:szCs w:val="21"/>
        </w:rPr>
      </w:pPr>
      <w:r w:rsidRPr="009A4104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9A4104">
        <w:rPr>
          <w:rFonts w:ascii="Times New Roman" w:hAnsi="Times New Roman"/>
          <w:color w:val="000000" w:themeColor="text1"/>
          <w:sz w:val="21"/>
          <w:szCs w:val="21"/>
        </w:rPr>
        <w:t>.</w:t>
      </w:r>
      <w:r w:rsidRPr="009A4104">
        <w:rPr>
          <w:rFonts w:ascii="Times New Roman" w:hAnsi="Times New Roman"/>
          <w:color w:val="000000" w:themeColor="text1"/>
          <w:sz w:val="21"/>
          <w:szCs w:val="21"/>
        </w:rPr>
        <w:tab/>
        <w:t xml:space="preserve">Grivennikov SI, Greten FR, Karin M. Immunity, inflammation, and cancer. </w:t>
      </w:r>
      <w:r w:rsidRPr="009A4104">
        <w:rPr>
          <w:rFonts w:ascii="Times New Roman" w:hAnsi="Times New Roman"/>
          <w:i/>
          <w:color w:val="000000" w:themeColor="text1"/>
          <w:sz w:val="21"/>
          <w:szCs w:val="21"/>
        </w:rPr>
        <w:t xml:space="preserve">Cell. </w:t>
      </w:r>
      <w:r w:rsidRPr="009A4104">
        <w:rPr>
          <w:rFonts w:ascii="Times New Roman" w:hAnsi="Times New Roman"/>
          <w:color w:val="000000" w:themeColor="text1"/>
          <w:sz w:val="21"/>
          <w:szCs w:val="21"/>
        </w:rPr>
        <w:t>2010;140(6):883-899.</w:t>
      </w:r>
    </w:p>
    <w:p w14:paraId="621B264C" w14:textId="16BFB04A" w:rsidR="009A4104" w:rsidRPr="009A4104" w:rsidRDefault="009A4104" w:rsidP="009A4104">
      <w:pPr>
        <w:pStyle w:val="EndNoteBibliography"/>
        <w:spacing w:after="0" w:line="360" w:lineRule="auto"/>
        <w:ind w:left="340" w:hanging="340"/>
        <w:rPr>
          <w:rFonts w:ascii="Times New Roman" w:hAnsi="Times New Roman"/>
          <w:color w:val="000000" w:themeColor="text1"/>
          <w:sz w:val="21"/>
          <w:szCs w:val="21"/>
        </w:rPr>
      </w:pPr>
      <w:r w:rsidRPr="009A4104">
        <w:rPr>
          <w:rFonts w:ascii="Times New Roman" w:hAnsi="Times New Roman"/>
          <w:color w:val="000000" w:themeColor="text1"/>
          <w:sz w:val="21"/>
          <w:szCs w:val="21"/>
        </w:rPr>
        <w:t>2</w:t>
      </w:r>
      <w:r w:rsidRPr="009A4104">
        <w:rPr>
          <w:rFonts w:ascii="Times New Roman" w:hAnsi="Times New Roman"/>
          <w:color w:val="000000" w:themeColor="text1"/>
          <w:sz w:val="21"/>
          <w:szCs w:val="21"/>
        </w:rPr>
        <w:t>.</w:t>
      </w:r>
      <w:r w:rsidRPr="009A4104">
        <w:rPr>
          <w:rFonts w:ascii="Times New Roman" w:hAnsi="Times New Roman"/>
          <w:color w:val="000000" w:themeColor="text1"/>
          <w:sz w:val="21"/>
          <w:szCs w:val="21"/>
        </w:rPr>
        <w:tab/>
        <w:t xml:space="preserve">Hinshaw DC, Shevde LA. The Tumor Microenvironment Innately Modulates Cancer Progression. </w:t>
      </w:r>
      <w:r w:rsidRPr="009A4104">
        <w:rPr>
          <w:rFonts w:ascii="Times New Roman" w:hAnsi="Times New Roman"/>
          <w:i/>
          <w:color w:val="000000" w:themeColor="text1"/>
          <w:sz w:val="21"/>
          <w:szCs w:val="21"/>
        </w:rPr>
        <w:t xml:space="preserve">Cancer research. </w:t>
      </w:r>
      <w:r w:rsidRPr="009A4104">
        <w:rPr>
          <w:rFonts w:ascii="Times New Roman" w:hAnsi="Times New Roman"/>
          <w:color w:val="000000" w:themeColor="text1"/>
          <w:sz w:val="21"/>
          <w:szCs w:val="21"/>
        </w:rPr>
        <w:t>2019;79(18):4557-4566.</w:t>
      </w:r>
    </w:p>
    <w:p w14:paraId="469910B1" w14:textId="2BCA887F" w:rsidR="009A4104" w:rsidRPr="009A4104" w:rsidRDefault="009A4104" w:rsidP="009A4104">
      <w:pPr>
        <w:pStyle w:val="EndNoteBibliography"/>
        <w:spacing w:after="0" w:line="360" w:lineRule="auto"/>
        <w:ind w:left="340" w:hanging="340"/>
        <w:rPr>
          <w:rFonts w:ascii="Times New Roman" w:hAnsi="Times New Roman"/>
          <w:color w:val="000000" w:themeColor="text1"/>
          <w:sz w:val="21"/>
          <w:szCs w:val="21"/>
        </w:rPr>
      </w:pPr>
      <w:r w:rsidRPr="009A4104">
        <w:rPr>
          <w:rFonts w:ascii="Times New Roman" w:hAnsi="Times New Roman"/>
          <w:color w:val="000000" w:themeColor="text1"/>
          <w:sz w:val="21"/>
          <w:szCs w:val="21"/>
        </w:rPr>
        <w:t>3</w:t>
      </w:r>
      <w:r w:rsidRPr="009A4104">
        <w:rPr>
          <w:rFonts w:ascii="Times New Roman" w:hAnsi="Times New Roman"/>
          <w:color w:val="000000" w:themeColor="text1"/>
          <w:sz w:val="21"/>
          <w:szCs w:val="21"/>
        </w:rPr>
        <w:t>.</w:t>
      </w:r>
      <w:r w:rsidRPr="009A4104">
        <w:rPr>
          <w:rFonts w:ascii="Times New Roman" w:hAnsi="Times New Roman"/>
          <w:color w:val="000000" w:themeColor="text1"/>
          <w:sz w:val="21"/>
          <w:szCs w:val="21"/>
        </w:rPr>
        <w:tab/>
        <w:t xml:space="preserve">Park W, Lopes G. Perspectives: Neutrophil-to-lymphocyte Ratio as a Potential Biomarker in Immune Checkpoint Inhibitor for Non-Small-Cell Lung Cancer. </w:t>
      </w:r>
      <w:r w:rsidRPr="009A4104">
        <w:rPr>
          <w:rFonts w:ascii="Times New Roman" w:hAnsi="Times New Roman"/>
          <w:i/>
          <w:color w:val="000000" w:themeColor="text1"/>
          <w:sz w:val="21"/>
          <w:szCs w:val="21"/>
        </w:rPr>
        <w:t xml:space="preserve">Clinical lung cancer. </w:t>
      </w:r>
      <w:r w:rsidRPr="009A4104">
        <w:rPr>
          <w:rFonts w:ascii="Times New Roman" w:hAnsi="Times New Roman"/>
          <w:color w:val="000000" w:themeColor="text1"/>
          <w:sz w:val="21"/>
          <w:szCs w:val="21"/>
        </w:rPr>
        <w:t>2019;20(3):143-147.</w:t>
      </w:r>
    </w:p>
    <w:p w14:paraId="5B4568F7" w14:textId="77777777" w:rsidR="009A4104" w:rsidRPr="009A4104" w:rsidRDefault="009A4104" w:rsidP="009A4104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</w:pPr>
    </w:p>
    <w:p w14:paraId="5610BCF8" w14:textId="03DBD67D" w:rsidR="009A4104" w:rsidRPr="009A4104" w:rsidRDefault="009A4104" w:rsidP="009A4104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</w:p>
    <w:sectPr w:rsidR="009A4104" w:rsidRPr="009A4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04"/>
    <w:rsid w:val="00010F51"/>
    <w:rsid w:val="00144F9B"/>
    <w:rsid w:val="001625F9"/>
    <w:rsid w:val="00165300"/>
    <w:rsid w:val="00197E0C"/>
    <w:rsid w:val="001A4626"/>
    <w:rsid w:val="001B103A"/>
    <w:rsid w:val="001D0325"/>
    <w:rsid w:val="00263D8A"/>
    <w:rsid w:val="002A66A8"/>
    <w:rsid w:val="002C176A"/>
    <w:rsid w:val="002E1407"/>
    <w:rsid w:val="0031679F"/>
    <w:rsid w:val="0038285E"/>
    <w:rsid w:val="003A2FA3"/>
    <w:rsid w:val="00421AB5"/>
    <w:rsid w:val="00446325"/>
    <w:rsid w:val="00475B1D"/>
    <w:rsid w:val="004C5E5A"/>
    <w:rsid w:val="00521DFE"/>
    <w:rsid w:val="00585D72"/>
    <w:rsid w:val="00593820"/>
    <w:rsid w:val="005A7951"/>
    <w:rsid w:val="005A7AAC"/>
    <w:rsid w:val="005F78BB"/>
    <w:rsid w:val="006173A3"/>
    <w:rsid w:val="00645EB9"/>
    <w:rsid w:val="00654B4B"/>
    <w:rsid w:val="00782DCE"/>
    <w:rsid w:val="008A4F15"/>
    <w:rsid w:val="008C06F5"/>
    <w:rsid w:val="008C61AA"/>
    <w:rsid w:val="0090088E"/>
    <w:rsid w:val="009A4104"/>
    <w:rsid w:val="00A301F2"/>
    <w:rsid w:val="00AC19E4"/>
    <w:rsid w:val="00AD01E1"/>
    <w:rsid w:val="00AE0B3B"/>
    <w:rsid w:val="00B221D5"/>
    <w:rsid w:val="00B62506"/>
    <w:rsid w:val="00C132A5"/>
    <w:rsid w:val="00C516ED"/>
    <w:rsid w:val="00CB0391"/>
    <w:rsid w:val="00D41DF6"/>
    <w:rsid w:val="00D52B52"/>
    <w:rsid w:val="00D75D41"/>
    <w:rsid w:val="00D83EA7"/>
    <w:rsid w:val="00E0578A"/>
    <w:rsid w:val="00E6526F"/>
    <w:rsid w:val="00EB5EB4"/>
    <w:rsid w:val="00ED7592"/>
    <w:rsid w:val="00F26097"/>
    <w:rsid w:val="00F46EE4"/>
    <w:rsid w:val="00F63692"/>
    <w:rsid w:val="00F81093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3993"/>
  <w15:chartTrackingRefBased/>
  <w15:docId w15:val="{909381CE-9C7A-1441-8C7F-8DD34CFA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1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4104"/>
  </w:style>
  <w:style w:type="paragraph" w:customStyle="1" w:styleId="EndNoteBibliography">
    <w:name w:val="EndNote Bibliography"/>
    <w:basedOn w:val="a"/>
    <w:link w:val="EndNoteBibliography0"/>
    <w:rsid w:val="009A4104"/>
    <w:pPr>
      <w:widowControl/>
      <w:spacing w:after="120"/>
      <w:jc w:val="left"/>
    </w:pPr>
    <w:rPr>
      <w:rFonts w:ascii="DengXian" w:eastAsia="DengXian" w:hAnsi="DengXian" w:cs="Times New Roman"/>
      <w:noProof/>
      <w:kern w:val="0"/>
      <w:sz w:val="20"/>
    </w:rPr>
  </w:style>
  <w:style w:type="character" w:customStyle="1" w:styleId="EndNoteBibliography0">
    <w:name w:val="EndNote Bibliography 字符"/>
    <w:basedOn w:val="a0"/>
    <w:link w:val="EndNoteBibliography"/>
    <w:rsid w:val="009A4104"/>
    <w:rPr>
      <w:rFonts w:ascii="DengXian" w:eastAsia="DengXian" w:hAnsi="DengXian" w:cs="Times New Roman"/>
      <w:noProof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Yajie Wang</dc:creator>
  <cp:keywords/>
  <dc:description/>
  <cp:lastModifiedBy>Yajie Wang</cp:lastModifiedBy>
  <cp:revision>1</cp:revision>
  <dcterms:created xsi:type="dcterms:W3CDTF">2024-05-06T23:17:00Z</dcterms:created>
  <dcterms:modified xsi:type="dcterms:W3CDTF">2024-05-06T23:22:00Z</dcterms:modified>
</cp:coreProperties>
</file>