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86B" w:rsidRPr="00473093" w:rsidRDefault="00BD186B" w:rsidP="00BD186B">
      <w:pPr>
        <w:tabs>
          <w:tab w:val="left" w:pos="90"/>
        </w:tabs>
        <w:spacing w:line="480" w:lineRule="auto"/>
        <w:rPr>
          <w:rFonts w:ascii="Times New Roman" w:hAnsi="Times New Roman"/>
          <w:sz w:val="22"/>
          <w:szCs w:val="22"/>
        </w:rPr>
      </w:pPr>
      <w:bookmarkStart w:id="0" w:name="_GoBack"/>
      <w:bookmarkEnd w:id="0"/>
      <w:r w:rsidRPr="00473093">
        <w:rPr>
          <w:rFonts w:ascii="Times New Roman" w:hAnsi="Times New Roman"/>
          <w:sz w:val="22"/>
          <w:szCs w:val="22"/>
        </w:rPr>
        <w:t xml:space="preserve"> </w:t>
      </w:r>
    </w:p>
    <w:tbl>
      <w:tblPr>
        <w:tblpPr w:leftFromText="180" w:rightFromText="180" w:vertAnchor="text" w:horzAnchor="page" w:tblpX="1216" w:tblpY="125"/>
        <w:tblW w:w="9678" w:type="dxa"/>
        <w:tblCellSpacing w:w="0" w:type="dxa"/>
        <w:tblBorders>
          <w:top w:val="outset" w:sz="12" w:space="0" w:color="auto"/>
          <w:bottom w:val="outset" w:sz="12" w:space="0" w:color="auto"/>
          <w:right w:val="outset" w:sz="12"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604"/>
        <w:gridCol w:w="1386"/>
        <w:gridCol w:w="4286"/>
        <w:gridCol w:w="1402"/>
      </w:tblGrid>
      <w:tr w:rsidR="00BD186B" w:rsidRPr="00473093" w:rsidTr="00A468C6">
        <w:trPr>
          <w:tblCellSpacing w:w="0" w:type="dxa"/>
        </w:trPr>
        <w:tc>
          <w:tcPr>
            <w:tcW w:w="2621" w:type="dxa"/>
          </w:tcPr>
          <w:p w:rsidR="00BD186B" w:rsidRPr="00207DB3" w:rsidRDefault="00BD186B" w:rsidP="00A468C6">
            <w:pPr>
              <w:ind w:left="-638" w:hanging="7"/>
              <w:rPr>
                <w:rFonts w:ascii="Arial" w:eastAsia="Times New Roman" w:hAnsi="Arial" w:cs="Arial"/>
                <w:sz w:val="18"/>
                <w:szCs w:val="18"/>
              </w:rPr>
            </w:pPr>
            <w:r w:rsidRPr="00207DB3">
              <w:rPr>
                <w:rFonts w:ascii="Arial" w:eastAsia="Times New Roman" w:hAnsi="Arial" w:cs="Arial"/>
                <w:sz w:val="18"/>
                <w:szCs w:val="18"/>
              </w:rPr>
              <w:t xml:space="preserve">Table </w:t>
            </w:r>
          </w:p>
        </w:tc>
        <w:tc>
          <w:tcPr>
            <w:tcW w:w="1397"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Primer</w:t>
            </w:r>
          </w:p>
        </w:tc>
        <w:tc>
          <w:tcPr>
            <w:tcW w:w="4306"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Sequence (5′→3′)</w:t>
            </w:r>
          </w:p>
        </w:tc>
        <w:tc>
          <w:tcPr>
            <w:tcW w:w="1354" w:type="dxa"/>
          </w:tcPr>
          <w:p w:rsidR="00BD186B" w:rsidRPr="00207DB3" w:rsidRDefault="00BD186B" w:rsidP="00A468C6">
            <w:pPr>
              <w:ind w:left="406"/>
              <w:rPr>
                <w:rFonts w:ascii="Arial" w:eastAsia="Times New Roman" w:hAnsi="Arial" w:cs="Arial"/>
                <w:sz w:val="18"/>
                <w:szCs w:val="18"/>
              </w:rPr>
            </w:pPr>
            <w:r w:rsidRPr="00207DB3">
              <w:rPr>
                <w:rFonts w:ascii="Arial" w:eastAsia="Times New Roman" w:hAnsi="Arial" w:cs="Arial"/>
                <w:sz w:val="18"/>
                <w:szCs w:val="18"/>
              </w:rPr>
              <w:t>References</w:t>
            </w:r>
          </w:p>
        </w:tc>
      </w:tr>
      <w:tr w:rsidR="00BD186B" w:rsidRPr="00473093" w:rsidTr="00A468C6">
        <w:trPr>
          <w:tblCellSpacing w:w="0" w:type="dxa"/>
        </w:trPr>
        <w:tc>
          <w:tcPr>
            <w:tcW w:w="2621"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Total bacteria 16S rRNA gene Universal</w:t>
            </w:r>
          </w:p>
        </w:tc>
        <w:tc>
          <w:tcPr>
            <w:tcW w:w="1397"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F1048</w:t>
            </w:r>
          </w:p>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 xml:space="preserve"> (forward)</w:t>
            </w:r>
          </w:p>
        </w:tc>
        <w:tc>
          <w:tcPr>
            <w:tcW w:w="4306"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GTG (GC)TG CA(CT) GG(CT) TGT CGT CA</w:t>
            </w:r>
          </w:p>
        </w:tc>
        <w:tc>
          <w:tcPr>
            <w:tcW w:w="1354" w:type="dxa"/>
          </w:tcPr>
          <w:p w:rsidR="00BD186B" w:rsidRPr="00207DB3" w:rsidRDefault="00BD186B" w:rsidP="00A468C6">
            <w:pPr>
              <w:ind w:left="406"/>
              <w:rPr>
                <w:rFonts w:ascii="Arial" w:eastAsia="Times New Roman" w:hAnsi="Arial" w:cs="Arial"/>
                <w:sz w:val="18"/>
                <w:szCs w:val="18"/>
              </w:rPr>
            </w:pPr>
            <w:r w:rsidRPr="00207DB3">
              <w:rPr>
                <w:rFonts w:ascii="Arial" w:eastAsia="Times New Roman" w:hAnsi="Arial" w:cs="Arial"/>
                <w:sz w:val="18"/>
                <w:szCs w:val="18"/>
              </w:rPr>
              <w:fldChar w:fldCharType="begin"/>
            </w:r>
            <w:r>
              <w:rPr>
                <w:rFonts w:ascii="Arial" w:eastAsia="Times New Roman" w:hAnsi="Arial" w:cs="Arial"/>
                <w:sz w:val="18"/>
                <w:szCs w:val="18"/>
              </w:rPr>
              <w:instrText xml:space="preserve"> ADDIN ZOTERO_ITEM CSL_CITATION {"citationID":"APQnPGre","properties":{"formattedCitation":"(Carroll et al., 2010)","plainCitation":"(Carroll et al., 2010)","noteIndex":0},"citationItems":[{"id":1635,"uris":["http://zotero.org/users/2248137/items/VS8UVAC7"],"uri":["http://zotero.org/users/2248137/items/VS8UVAC7"],"itemData":{"id":1635,"type":"article-journal","title":"Luminal and mucosal-associated intestinal microbiota in patients with diarrhea-predominant irritable bowel syndrome","container-title":"Gut pathogens","page":"19","volume":"2","issue":"1","abstract":"ABSTRACT: BACKGROUND: Recent studies have suggested a role for an altered intestinal microbiota in the pathophysiology of irritable bowel syndrome (IBS). However, no consensus has been reached regarding the association between specific enteric bacterial groups and IBS. The aim of this study was to investigate the fecal and mucosal-associated microbiota using two independent techniques in intestinal samples from diarrhea-predominant IBS (D-IBS) and healthy controls. METHODS: Fecal and colonic mucosal biopsy samples were obtained from 10 D-IBS patients and 10 healthy controls. Colonic tissue was collected during a un-sedated un-prepped flexible sigmoidoscopy. Fecal and tissue samples were processed immediately upon collection for culture under aerobic and anaerobic conditions or frozen for further molecular analysis. DNA was extracted from all frozen samples and used to enumerate specific bacterial groups using quantitative real-time PCR (qPCR). RESULTS: Culture analysis of intestinal samples demonstrated a significant reduction in the concentration of aerobic bacteria in fecal samples from D-IBS patients when compared to healthy controls (1.4 x 107 vs. 8.4 x 108 CFUs/g feces, P = 0.002). qPCR analysis demonstrated a significant 3.6 fold increase (P = 0.02) in concentrations of fecal Lactobacillus species between D-IBS patients and healthy controls. CONCLUSIONS: Our culture and molecular data indicate that quantitative differences exist in specific bacterial groups in the microbiota between D-IBS and healthy subjects.","note":"JID: 101474263; OID: NLM: PMC3018384; 2010/11/01 [received]; 2010/12/09 [accepted]; 2010/12/09 [aheadofprint]; epublish","language":"eng","author":[{"family":"Carroll","given":"I. M."},{"family":"Chang","given":"Y. H."},{"family":"Park","given":"J."},{"family":"Sartor","given":"R. B."},{"family":"Ringel","given":"Y."}],"issued":{"date-parts":[["2010",12,9]]}}}],"schema":"https://github.com/citation-style-language/schema/raw/master/csl-citation.json"} </w:instrText>
            </w:r>
            <w:r w:rsidRPr="00207DB3">
              <w:rPr>
                <w:rFonts w:ascii="Arial" w:eastAsia="Times New Roman" w:hAnsi="Arial" w:cs="Arial"/>
                <w:sz w:val="18"/>
                <w:szCs w:val="18"/>
              </w:rPr>
              <w:fldChar w:fldCharType="separate"/>
            </w:r>
            <w:r>
              <w:rPr>
                <w:rFonts w:ascii="Arial" w:eastAsia="Times New Roman" w:hAnsi="Arial" w:cs="Arial"/>
                <w:noProof/>
                <w:sz w:val="18"/>
                <w:szCs w:val="18"/>
              </w:rPr>
              <w:t>(Carroll et al., 2010)</w:t>
            </w:r>
            <w:r w:rsidRPr="00207DB3">
              <w:rPr>
                <w:rFonts w:ascii="Arial" w:eastAsia="Times New Roman" w:hAnsi="Arial" w:cs="Arial"/>
                <w:sz w:val="18"/>
                <w:szCs w:val="18"/>
              </w:rPr>
              <w:fldChar w:fldCharType="end"/>
            </w:r>
          </w:p>
        </w:tc>
      </w:tr>
      <w:tr w:rsidR="00BD186B" w:rsidRPr="00473093" w:rsidTr="00A468C6">
        <w:trPr>
          <w:tblCellSpacing w:w="0" w:type="dxa"/>
        </w:trPr>
        <w:tc>
          <w:tcPr>
            <w:tcW w:w="2621" w:type="dxa"/>
          </w:tcPr>
          <w:p w:rsidR="00BD186B" w:rsidRPr="00207DB3" w:rsidRDefault="00BD186B" w:rsidP="00A468C6">
            <w:pPr>
              <w:rPr>
                <w:rFonts w:ascii="Arial" w:eastAsia="Times New Roman" w:hAnsi="Arial" w:cs="Arial"/>
                <w:sz w:val="18"/>
                <w:szCs w:val="18"/>
              </w:rPr>
            </w:pPr>
          </w:p>
        </w:tc>
        <w:tc>
          <w:tcPr>
            <w:tcW w:w="1397"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 xml:space="preserve">R1119 </w:t>
            </w:r>
          </w:p>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 xml:space="preserve"> (reverse)</w:t>
            </w:r>
          </w:p>
        </w:tc>
        <w:tc>
          <w:tcPr>
            <w:tcW w:w="4306"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ACG TC(AG) TCC (AC)CA CCT TCC TC</w:t>
            </w:r>
          </w:p>
        </w:tc>
        <w:tc>
          <w:tcPr>
            <w:tcW w:w="1354" w:type="dxa"/>
          </w:tcPr>
          <w:p w:rsidR="00BD186B" w:rsidRPr="00207DB3" w:rsidRDefault="00BD186B" w:rsidP="00A468C6">
            <w:pPr>
              <w:ind w:left="406"/>
              <w:rPr>
                <w:rFonts w:ascii="Arial" w:eastAsia="Times New Roman" w:hAnsi="Arial" w:cs="Arial"/>
                <w:sz w:val="18"/>
                <w:szCs w:val="18"/>
              </w:rPr>
            </w:pPr>
            <w:r w:rsidRPr="00207DB3">
              <w:rPr>
                <w:rFonts w:ascii="Arial" w:eastAsia="Times New Roman" w:hAnsi="Arial" w:cs="Arial"/>
                <w:sz w:val="18"/>
                <w:szCs w:val="18"/>
              </w:rPr>
              <w:fldChar w:fldCharType="begin"/>
            </w:r>
            <w:r>
              <w:rPr>
                <w:rFonts w:ascii="Arial" w:eastAsia="Times New Roman" w:hAnsi="Arial" w:cs="Arial"/>
                <w:sz w:val="18"/>
                <w:szCs w:val="18"/>
              </w:rPr>
              <w:instrText xml:space="preserve"> ADDIN ZOTERO_ITEM CSL_CITATION {"citationID":"sw7XoLuS","properties":{"formattedCitation":"(Carroll et al., 2010)","plainCitation":"(Carroll et al., 2010)","noteIndex":0},"citationItems":[{"id":1635,"uris":["http://zotero.org/users/2248137/items/VS8UVAC7"],"uri":["http://zotero.org/users/2248137/items/VS8UVAC7"],"itemData":{"id":1635,"type":"article-journal","title":"Luminal and mucosal-associated intestinal microbiota in patients with diarrhea-predominant irritable bowel syndrome","container-title":"Gut pathogens","page":"19","volume":"2","issue":"1","abstract":"ABSTRACT: BACKGROUND: Recent studies have suggested a role for an altered intestinal microbiota in the pathophysiology of irritable bowel syndrome (IBS). However, no consensus has been reached regarding the association between specific enteric bacterial groups and IBS. The aim of this study was to investigate the fecal and mucosal-associated microbiota using two independent techniques in intestinal samples from diarrhea-predominant IBS (D-IBS) and healthy controls. METHODS: Fecal and colonic mucosal biopsy samples were obtained from 10 D-IBS patients and 10 healthy controls. Colonic tissue was collected during a un-sedated un-prepped flexible sigmoidoscopy. Fecal and tissue samples were processed immediately upon collection for culture under aerobic and anaerobic conditions or frozen for further molecular analysis. DNA was extracted from all frozen samples and used to enumerate specific bacterial groups using quantitative real-time PCR (qPCR). RESULTS: Culture analysis of intestinal samples demonstrated a significant reduction in the concentration of aerobic bacteria in fecal samples from D-IBS patients when compared to healthy controls (1.4 x 107 vs. 8.4 x 108 CFUs/g feces, P = 0.002). qPCR analysis demonstrated a significant 3.6 fold increase (P = 0.02) in concentrations of fecal Lactobacillus species between D-IBS patients and healthy controls. CONCLUSIONS: Our culture and molecular data indicate that quantitative differences exist in specific bacterial groups in the microbiota between D-IBS and healthy subjects.","note":"JID: 101474263; OID: NLM: PMC3018384; 2010/11/01 [received]; 2010/12/09 [accepted]; 2010/12/09 [aheadofprint]; epublish","language":"eng","author":[{"family":"Carroll","given":"I. M."},{"family":"Chang","given":"Y. H."},{"family":"Park","given":"J."},{"family":"Sartor","given":"R. B."},{"family":"Ringel","given":"Y."}],"issued":{"date-parts":[["2010",12,9]]}}}],"schema":"https://github.com/citation-style-language/schema/raw/master/csl-citation.json"} </w:instrText>
            </w:r>
            <w:r w:rsidRPr="00207DB3">
              <w:rPr>
                <w:rFonts w:ascii="Arial" w:eastAsia="Times New Roman" w:hAnsi="Arial" w:cs="Arial"/>
                <w:sz w:val="18"/>
                <w:szCs w:val="18"/>
              </w:rPr>
              <w:fldChar w:fldCharType="separate"/>
            </w:r>
            <w:r>
              <w:rPr>
                <w:rFonts w:ascii="Arial" w:eastAsia="Times New Roman" w:hAnsi="Arial" w:cs="Arial"/>
                <w:noProof/>
                <w:sz w:val="18"/>
                <w:szCs w:val="18"/>
              </w:rPr>
              <w:t>(Carroll et al., 2010)</w:t>
            </w:r>
            <w:r w:rsidRPr="00207DB3">
              <w:rPr>
                <w:rFonts w:ascii="Arial" w:eastAsia="Times New Roman" w:hAnsi="Arial" w:cs="Arial"/>
                <w:sz w:val="18"/>
                <w:szCs w:val="18"/>
              </w:rPr>
              <w:fldChar w:fldCharType="end"/>
            </w:r>
          </w:p>
        </w:tc>
      </w:tr>
      <w:tr w:rsidR="00BD186B" w:rsidRPr="00473093" w:rsidTr="00A468C6">
        <w:trPr>
          <w:tblCellSpacing w:w="0" w:type="dxa"/>
        </w:trPr>
        <w:tc>
          <w:tcPr>
            <w:tcW w:w="2621"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Enterobacteria, Escherichia coli (Enterobacteriaceae)</w:t>
            </w:r>
          </w:p>
        </w:tc>
        <w:tc>
          <w:tcPr>
            <w:tcW w:w="1397"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Eco1457</w:t>
            </w:r>
          </w:p>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(forward)</w:t>
            </w:r>
          </w:p>
        </w:tc>
        <w:tc>
          <w:tcPr>
            <w:tcW w:w="4306"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CATTGACGTTACCCGCAGAAGAAGC</w:t>
            </w:r>
          </w:p>
        </w:tc>
        <w:tc>
          <w:tcPr>
            <w:tcW w:w="1354" w:type="dxa"/>
          </w:tcPr>
          <w:p w:rsidR="00BD186B" w:rsidRPr="00207DB3" w:rsidRDefault="00BD186B" w:rsidP="00A468C6">
            <w:pPr>
              <w:ind w:left="406"/>
              <w:rPr>
                <w:rFonts w:ascii="Arial" w:eastAsia="Times New Roman" w:hAnsi="Arial" w:cs="Arial"/>
                <w:sz w:val="18"/>
                <w:szCs w:val="18"/>
              </w:rPr>
            </w:pPr>
            <w:r w:rsidRPr="00207DB3">
              <w:rPr>
                <w:rFonts w:ascii="Arial" w:eastAsia="Times New Roman" w:hAnsi="Arial" w:cs="Arial"/>
                <w:sz w:val="18"/>
                <w:szCs w:val="18"/>
              </w:rPr>
              <w:fldChar w:fldCharType="begin"/>
            </w:r>
            <w:r>
              <w:rPr>
                <w:rFonts w:ascii="Arial" w:eastAsia="Times New Roman" w:hAnsi="Arial" w:cs="Arial"/>
                <w:sz w:val="18"/>
                <w:szCs w:val="18"/>
              </w:rPr>
              <w:instrText xml:space="preserve"> ADDIN ZOTERO_ITEM CSL_CITATION {"citationID":"dRg8YWKg","properties":{"formattedCitation":"(Bartosch et al., 2004)","plainCitation":"(Bartosch et al., 2004)","noteIndex":0},"citationItems":[{"id":595,"uris":["http://zotero.org/users/2248137/items/BS824V25"],"uri":["http://zotero.org/users/2248137/items/BS824V25"],"itemData":{"id":595,"type":"article-journal","title":"Characterization of bacterial communities in feces from healthy elderly volunteers and hospitalized elderly patients by using real-time PCR and effects of antibiotic treatment on the fecal microbiota","container-title":"Applied and Environmental Microbiology","page":"3575-3581","volume":"70","issue":"6","abstract":"Fecal bacteria were studied in healthy elderly volunteers (age, 63 to 90 years; n = 35) living in the local community, elderly hospitalized patients (age, 66 to 103; n = 38), and elderly hospitalized patients receiving antibiotic treatment (age, 65 to 100; n = 21). Group- and species-specific primer sets targeting 16S rRNA genes were used to quantitate intestinal bacteria by using DNA extracted from feces and real-time PCR. The principal difference between healthy elderly volunteers and both patient cohorts was a marked reduction in the Bacteroides-Prevotella group following hospitalization. Reductions in bifidobacteria, Desulfovibrio spp., Clostridium clostridiiforme, and Faecalibacterium prausnitzii were also found in the hospitalized patients. However, total 16S rRNA gene copy numbers (per gram of wet weight of feces) were generally lower in the stool samples of the two groups of hospitalized patients compared to the number in the stool samples of elderly volunteers living in the community, so the relative abundance (percentage of the group- and species-specific rRNA gene copies in relation to total bacterial rRNA gene copies) of bifidobacteria, Desulfovibrio spp., C. clostridiiforme, and F. prausnitzii did not change. Antibiotic treatment resulted in further reductions in the numbers of bacteria and their prevalence and, in some patients, complete elimination of certain bacterial communities. Conversely, the numbers of enterobacteria increased in the hospitalized patients who did not receive antibiotics, and due to profound changes in fecal microbiotas during antibiotic treatment, the opportunistic species Enterococcus faecalis proliferated.","note":"LR: 20130418; JID: 7605801; 0 (Anti-Bacterial Agents); 0 (DNA Primers); 0 (DNA, Bacterial); 0 (DNA, Ribosomal); 0 (RNA, Ribosomal, 16S); OID: NLM: PMC427772; ppublish","language":"eng","author":[{"family":"Bartosch","given":"S."},{"family":"Fite","given":"A."},{"family":"Macfarlane","given":"G. T."},{"family":"McMurdo","given":"M. E."}],"issued":{"date-parts":[["2004",6]]}}}],"schema":"https://github.com/citation-style-language/schema/raw/master/csl-citation.json"} </w:instrText>
            </w:r>
            <w:r w:rsidRPr="00207DB3">
              <w:rPr>
                <w:rFonts w:ascii="Arial" w:eastAsia="Times New Roman" w:hAnsi="Arial" w:cs="Arial"/>
                <w:sz w:val="18"/>
                <w:szCs w:val="18"/>
              </w:rPr>
              <w:fldChar w:fldCharType="separate"/>
            </w:r>
            <w:r>
              <w:rPr>
                <w:rFonts w:ascii="Arial" w:eastAsia="Times New Roman" w:hAnsi="Arial" w:cs="Arial"/>
                <w:noProof/>
                <w:sz w:val="18"/>
                <w:szCs w:val="18"/>
              </w:rPr>
              <w:t>(Bartosch et al., 2004)</w:t>
            </w:r>
            <w:r w:rsidRPr="00207DB3">
              <w:rPr>
                <w:rFonts w:ascii="Arial" w:eastAsia="Times New Roman" w:hAnsi="Arial" w:cs="Arial"/>
                <w:sz w:val="18"/>
                <w:szCs w:val="18"/>
              </w:rPr>
              <w:fldChar w:fldCharType="end"/>
            </w:r>
          </w:p>
        </w:tc>
      </w:tr>
      <w:tr w:rsidR="00BD186B" w:rsidRPr="00473093" w:rsidTr="00A468C6">
        <w:trPr>
          <w:tblCellSpacing w:w="0" w:type="dxa"/>
        </w:trPr>
        <w:tc>
          <w:tcPr>
            <w:tcW w:w="2621" w:type="dxa"/>
          </w:tcPr>
          <w:p w:rsidR="00BD186B" w:rsidRPr="00207DB3" w:rsidRDefault="00BD186B" w:rsidP="00A468C6">
            <w:pPr>
              <w:rPr>
                <w:rFonts w:ascii="Arial" w:eastAsia="Times New Roman" w:hAnsi="Arial" w:cs="Arial"/>
                <w:sz w:val="18"/>
                <w:szCs w:val="18"/>
              </w:rPr>
            </w:pPr>
          </w:p>
        </w:tc>
        <w:tc>
          <w:tcPr>
            <w:tcW w:w="1397"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Eco1652  (reverse)</w:t>
            </w:r>
          </w:p>
        </w:tc>
        <w:tc>
          <w:tcPr>
            <w:tcW w:w="4306" w:type="dxa"/>
          </w:tcPr>
          <w:p w:rsidR="00BD186B" w:rsidRPr="00207DB3" w:rsidRDefault="00BD186B" w:rsidP="00A468C6">
            <w:pPr>
              <w:rPr>
                <w:rFonts w:ascii="Arial" w:eastAsia="Times New Roman" w:hAnsi="Arial" w:cs="Arial"/>
                <w:sz w:val="18"/>
                <w:szCs w:val="18"/>
              </w:rPr>
            </w:pPr>
            <w:r w:rsidRPr="00207DB3">
              <w:rPr>
                <w:rFonts w:ascii="Arial" w:eastAsia="Times New Roman" w:hAnsi="Arial" w:cs="Arial"/>
                <w:sz w:val="18"/>
                <w:szCs w:val="18"/>
              </w:rPr>
              <w:t>CTCTACGAGACTCAAGCTTGC</w:t>
            </w:r>
          </w:p>
        </w:tc>
        <w:tc>
          <w:tcPr>
            <w:tcW w:w="1354" w:type="dxa"/>
          </w:tcPr>
          <w:p w:rsidR="00BD186B" w:rsidRPr="00207DB3" w:rsidRDefault="00BD186B" w:rsidP="00A468C6">
            <w:pPr>
              <w:ind w:left="406"/>
              <w:rPr>
                <w:rFonts w:ascii="Arial" w:eastAsia="Times New Roman" w:hAnsi="Arial" w:cs="Arial"/>
                <w:sz w:val="18"/>
                <w:szCs w:val="18"/>
              </w:rPr>
            </w:pPr>
            <w:r w:rsidRPr="00207DB3">
              <w:rPr>
                <w:rFonts w:ascii="Arial" w:eastAsia="Times New Roman" w:hAnsi="Arial" w:cs="Arial"/>
                <w:sz w:val="18"/>
                <w:szCs w:val="18"/>
              </w:rPr>
              <w:fldChar w:fldCharType="begin"/>
            </w:r>
            <w:r>
              <w:rPr>
                <w:rFonts w:ascii="Arial" w:eastAsia="Times New Roman" w:hAnsi="Arial" w:cs="Arial"/>
                <w:sz w:val="18"/>
                <w:szCs w:val="18"/>
              </w:rPr>
              <w:instrText xml:space="preserve"> ADDIN ZOTERO_ITEM CSL_CITATION {"citationID":"TZ0cs853","properties":{"formattedCitation":"(Bartosch et al., 2004)","plainCitation":"(Bartosch et al., 2004)","noteIndex":0},"citationItems":[{"id":595,"uris":["http://zotero.org/users/2248137/items/BS824V25"],"uri":["http://zotero.org/users/2248137/items/BS824V25"],"itemData":{"id":595,"type":"article-journal","title":"Characterization of bacterial communities in feces from healthy elderly volunteers and hospitalized elderly patients by using real-time PCR and effects of antibiotic treatment on the fecal microbiota","container-title":"Applied and Environmental Microbiology","page":"3575-3581","volume":"70","issue":"6","abstract":"Fecal bacteria were studied in healthy elderly volunteers (age, 63 to 90 years; n = 35) living in the local community, elderly hospitalized patients (age, 66 to 103; n = 38), and elderly hospitalized patients receiving antibiotic treatment (age, 65 to 100; n = 21). Group- and species-specific primer sets targeting 16S rRNA genes were used to quantitate intestinal bacteria by using DNA extracted from feces and real-time PCR. The principal difference between healthy elderly volunteers and both patient cohorts was a marked reduction in the Bacteroides-Prevotella group following hospitalization. Reductions in bifidobacteria, Desulfovibrio spp., Clostridium clostridiiforme, and Faecalibacterium prausnitzii were also found in the hospitalized patients. However, total 16S rRNA gene copy numbers (per gram of wet weight of feces) were generally lower in the stool samples of the two groups of hospitalized patients compared to the number in the stool samples of elderly volunteers living in the community, so the relative abundance (percentage of the group- and species-specific rRNA gene copies in relation to total bacterial rRNA gene copies) of bifidobacteria, Desulfovibrio spp., C. clostridiiforme, and F. prausnitzii did not change. Antibiotic treatment resulted in further reductions in the numbers of bacteria and their prevalence and, in some patients, complete elimination of certain bacterial communities. Conversely, the numbers of enterobacteria increased in the hospitalized patients who did not receive antibiotics, and due to profound changes in fecal microbiotas during antibiotic treatment, the opportunistic species Enterococcus faecalis proliferated.","note":"LR: 20130418; JID: 7605801; 0 (Anti-Bacterial Agents); 0 (DNA Primers); 0 (DNA, Bacterial); 0 (DNA, Ribosomal); 0 (RNA, Ribosomal, 16S); OID: NLM: PMC427772; ppublish","language":"eng","author":[{"family":"Bartosch","given":"S."},{"family":"Fite","given":"A."},{"family":"Macfarlane","given":"G. T."},{"family":"McMurdo","given":"M. E."}],"issued":{"date-parts":[["2004",6]]}}}],"schema":"https://github.com/citation-style-language/schema/raw/master/csl-citation.json"} </w:instrText>
            </w:r>
            <w:r w:rsidRPr="00207DB3">
              <w:rPr>
                <w:rFonts w:ascii="Arial" w:eastAsia="Times New Roman" w:hAnsi="Arial" w:cs="Arial"/>
                <w:sz w:val="18"/>
                <w:szCs w:val="18"/>
              </w:rPr>
              <w:fldChar w:fldCharType="separate"/>
            </w:r>
            <w:r>
              <w:rPr>
                <w:rFonts w:ascii="Arial" w:eastAsia="Times New Roman" w:hAnsi="Arial" w:cs="Arial"/>
                <w:noProof/>
                <w:sz w:val="18"/>
                <w:szCs w:val="18"/>
              </w:rPr>
              <w:t>(Bartosch et al., 2004)</w:t>
            </w:r>
            <w:r w:rsidRPr="00207DB3">
              <w:rPr>
                <w:rFonts w:ascii="Arial" w:eastAsia="Times New Roman" w:hAnsi="Arial" w:cs="Arial"/>
                <w:sz w:val="18"/>
                <w:szCs w:val="18"/>
              </w:rPr>
              <w:fldChar w:fldCharType="end"/>
            </w:r>
          </w:p>
        </w:tc>
      </w:tr>
    </w:tbl>
    <w:p w:rsidR="00BD186B" w:rsidRPr="00473093" w:rsidRDefault="00BD186B" w:rsidP="00BD186B">
      <w:pPr>
        <w:tabs>
          <w:tab w:val="left" w:pos="90"/>
        </w:tabs>
        <w:spacing w:line="480" w:lineRule="auto"/>
        <w:rPr>
          <w:rFonts w:ascii="Times New Roman" w:hAnsi="Times New Roman"/>
          <w:sz w:val="22"/>
          <w:szCs w:val="22"/>
        </w:rPr>
      </w:pPr>
    </w:p>
    <w:p w:rsidR="00AA4719" w:rsidRDefault="002338E2"/>
    <w:sectPr w:rsidR="00AA4719" w:rsidSect="0001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6B"/>
    <w:rsid w:val="000140C5"/>
    <w:rsid w:val="002338E2"/>
    <w:rsid w:val="007919A7"/>
    <w:rsid w:val="00BD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FC6A"/>
  <w15:chartTrackingRefBased/>
  <w15:docId w15:val="{E690EF12-B7AB-BB49-AE13-F98A2CF7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86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Alcock</dc:creator>
  <cp:keywords/>
  <dc:description/>
  <cp:lastModifiedBy>Joe Alcock</cp:lastModifiedBy>
  <cp:revision>2</cp:revision>
  <dcterms:created xsi:type="dcterms:W3CDTF">2019-04-12T06:39:00Z</dcterms:created>
  <dcterms:modified xsi:type="dcterms:W3CDTF">2019-04-12T06:53:00Z</dcterms:modified>
</cp:coreProperties>
</file>