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FDDC1" w14:textId="6A62A75C" w:rsidR="00A42461" w:rsidRPr="00A42461" w:rsidRDefault="00A42461" w:rsidP="00DF5406">
      <w:pPr>
        <w:spacing w:after="0" w:line="360" w:lineRule="auto"/>
        <w:rPr>
          <w:rFonts w:ascii="Arial" w:hAnsi="Arial" w:cs="Arial"/>
          <w:b/>
          <w:bCs/>
        </w:rPr>
      </w:pPr>
      <w:r w:rsidRPr="00A42461">
        <w:rPr>
          <w:rFonts w:ascii="Arial" w:hAnsi="Arial" w:cs="Arial"/>
          <w:b/>
          <w:bCs/>
        </w:rPr>
        <w:t xml:space="preserve">Supplementary </w:t>
      </w:r>
      <w:r w:rsidR="00DF5406">
        <w:rPr>
          <w:rFonts w:ascii="Arial" w:hAnsi="Arial" w:cs="Arial"/>
          <w:b/>
          <w:bCs/>
        </w:rPr>
        <w:t>Figures</w:t>
      </w:r>
    </w:p>
    <w:p w14:paraId="0AA4C927" w14:textId="77777777" w:rsidR="00D10433" w:rsidRPr="009B699A" w:rsidRDefault="00D10433" w:rsidP="00DF5406">
      <w:pPr>
        <w:spacing w:after="0" w:line="360" w:lineRule="auto"/>
        <w:rPr>
          <w:rFonts w:ascii="Arial" w:hAnsi="Arial" w:cs="Arial"/>
          <w:bCs/>
          <w:i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4684"/>
        <w:gridCol w:w="356"/>
        <w:gridCol w:w="4684"/>
      </w:tblGrid>
      <w:tr w:rsidR="00A42461" w:rsidRPr="00B01C17" w14:paraId="1FAB52F8" w14:textId="77777777" w:rsidTr="00BE1AA5">
        <w:trPr>
          <w:jc w:val="center"/>
        </w:trPr>
        <w:tc>
          <w:tcPr>
            <w:tcW w:w="354" w:type="dxa"/>
          </w:tcPr>
          <w:p w14:paraId="30D28939" w14:textId="77777777" w:rsidR="00A42461" w:rsidRPr="00B01C17" w:rsidRDefault="00A42461" w:rsidP="00DF5406">
            <w:pPr>
              <w:spacing w:line="360" w:lineRule="auto"/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</w:pPr>
            <w:r w:rsidRPr="00B01C17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A</w:t>
            </w:r>
          </w:p>
        </w:tc>
        <w:tc>
          <w:tcPr>
            <w:tcW w:w="5046" w:type="dxa"/>
          </w:tcPr>
          <w:p w14:paraId="17E714B8" w14:textId="77777777" w:rsidR="00A42461" w:rsidRPr="00B01C17" w:rsidRDefault="00A42461" w:rsidP="00DF5406">
            <w:pPr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</w:pPr>
            <w:r w:rsidRPr="00B01C17">
              <w:rPr>
                <w:rFonts w:ascii="Arial" w:hAnsi="Arial" w:cs="Arial"/>
                <w:bCs/>
                <w:iCs/>
                <w:noProof/>
              </w:rPr>
              <w:drawing>
                <wp:inline distT="0" distB="0" distL="0" distR="0" wp14:anchorId="6AFB939F" wp14:editId="017F95BC">
                  <wp:extent cx="3216000" cy="2412000"/>
                  <wp:effectExtent l="0" t="0" r="3810" b="7620"/>
                  <wp:docPr id="1891549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49429" name="Picture 189154942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00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1712957D" w14:textId="77777777" w:rsidR="00A42461" w:rsidRPr="00B01C17" w:rsidRDefault="00A42461" w:rsidP="00DF5406">
            <w:pPr>
              <w:spacing w:line="360" w:lineRule="auto"/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</w:pPr>
            <w:r w:rsidRPr="00B01C17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B</w:t>
            </w:r>
          </w:p>
        </w:tc>
        <w:tc>
          <w:tcPr>
            <w:tcW w:w="5046" w:type="dxa"/>
          </w:tcPr>
          <w:p w14:paraId="3EFD8A31" w14:textId="77777777" w:rsidR="00A42461" w:rsidRPr="00B01C17" w:rsidRDefault="00A42461" w:rsidP="00DF5406">
            <w:pPr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</w:pPr>
            <w:r w:rsidRPr="00B01C17">
              <w:rPr>
                <w:rFonts w:ascii="Arial" w:hAnsi="Arial" w:cs="Arial"/>
                <w:bCs/>
                <w:iCs/>
                <w:noProof/>
              </w:rPr>
              <w:drawing>
                <wp:inline distT="0" distB="0" distL="0" distR="0" wp14:anchorId="54B30157" wp14:editId="7040D02F">
                  <wp:extent cx="3216000" cy="2412000"/>
                  <wp:effectExtent l="0" t="0" r="3810" b="7620"/>
                  <wp:docPr id="1952244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24431" name="Picture 19522443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00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AAD6B" w14:textId="3BF2EEFB" w:rsidR="00A42461" w:rsidRDefault="00A42461" w:rsidP="00DF5406">
      <w:pPr>
        <w:pStyle w:val="Caption"/>
        <w:spacing w:after="0" w:line="360" w:lineRule="auto"/>
        <w:jc w:val="both"/>
        <w:rPr>
          <w:rFonts w:ascii="Arial" w:hAnsi="Arial" w:cs="Arial"/>
          <w:bCs/>
          <w:i w:val="0"/>
          <w:iCs w:val="0"/>
          <w:color w:val="auto"/>
          <w:sz w:val="22"/>
          <w:szCs w:val="22"/>
        </w:rPr>
      </w:pPr>
      <w:bookmarkStart w:id="0" w:name="_Toc166099623"/>
      <w:r w:rsidRPr="00DA214B">
        <w:rPr>
          <w:rFonts w:ascii="Arial" w:hAnsi="Arial" w:cs="Arial"/>
          <w:b/>
          <w:bCs/>
          <w:i w:val="0"/>
          <w:iCs w:val="0"/>
          <w:color w:val="auto"/>
        </w:rPr>
        <w:t xml:space="preserve">Figure </w:t>
      </w:r>
      <w:r>
        <w:rPr>
          <w:rFonts w:ascii="Arial" w:hAnsi="Arial" w:cs="Arial"/>
          <w:b/>
          <w:bCs/>
          <w:i w:val="0"/>
          <w:iCs w:val="0"/>
          <w:color w:val="auto"/>
        </w:rPr>
        <w:t>S1</w:t>
      </w:r>
      <w:r w:rsidRPr="00DA214B">
        <w:rPr>
          <w:rFonts w:ascii="Arial" w:hAnsi="Arial" w:cs="Arial"/>
          <w:b/>
          <w:bCs/>
          <w:i w:val="0"/>
          <w:iCs w:val="0"/>
          <w:color w:val="auto"/>
        </w:rPr>
        <w:t>. Rarefaction curves, and correlation between ASVs and total reads.</w:t>
      </w:r>
      <w:r w:rsidRPr="00DA214B">
        <w:rPr>
          <w:rFonts w:ascii="Arial" w:hAnsi="Arial" w:cs="Arial"/>
          <w:bCs/>
          <w:i w:val="0"/>
          <w:iCs w:val="0"/>
          <w:color w:val="auto"/>
        </w:rPr>
        <w:t xml:space="preserve"> </w:t>
      </w:r>
      <w:r w:rsidRPr="00DA214B">
        <w:rPr>
          <w:rFonts w:ascii="Arial" w:hAnsi="Arial" w:cs="Arial"/>
          <w:b/>
          <w:i w:val="0"/>
          <w:iCs w:val="0"/>
          <w:color w:val="auto"/>
        </w:rPr>
        <w:t>(A)</w:t>
      </w:r>
      <w:r w:rsidRPr="00DA214B">
        <w:rPr>
          <w:rFonts w:ascii="Arial" w:hAnsi="Arial" w:cs="Arial"/>
          <w:bCs/>
          <w:i w:val="0"/>
          <w:iCs w:val="0"/>
          <w:color w:val="auto"/>
        </w:rPr>
        <w:t xml:space="preserve"> Curves show the number of observed ASV related to the sequencing depth (sample size). A steep incline and early plateau are reached for all samples indicating enough sequencing effort due to few new sequences being detected with increasing sequencing sample size. </w:t>
      </w:r>
      <w:r w:rsidRPr="00DA214B">
        <w:rPr>
          <w:rFonts w:ascii="Arial" w:hAnsi="Arial" w:cs="Arial"/>
          <w:b/>
          <w:i w:val="0"/>
          <w:iCs w:val="0"/>
          <w:color w:val="auto"/>
        </w:rPr>
        <w:t>(B)</w:t>
      </w:r>
      <w:r w:rsidRPr="00DA214B">
        <w:rPr>
          <w:rFonts w:ascii="Arial" w:hAnsi="Arial" w:cs="Arial"/>
          <w:bCs/>
          <w:i w:val="0"/>
          <w:iCs w:val="0"/>
          <w:color w:val="auto"/>
        </w:rPr>
        <w:t xml:space="preserve"> The correlation between total reads and the observed ASV shows the increase in richness as the number of reads increases as expected.</w:t>
      </w:r>
      <w:bookmarkEnd w:id="0"/>
    </w:p>
    <w:p w14:paraId="612A0AC9" w14:textId="77777777" w:rsidR="00DF5406" w:rsidRDefault="00DF5406" w:rsidP="00DF5406">
      <w:pPr>
        <w:rPr>
          <w:rFonts w:ascii="Arial" w:hAnsi="Arial" w:cs="Arial"/>
        </w:rPr>
      </w:pPr>
    </w:p>
    <w:p w14:paraId="286A48A4" w14:textId="77777777" w:rsidR="00DF5406" w:rsidRPr="00DF5406" w:rsidRDefault="00DF5406" w:rsidP="00DF5406">
      <w:pPr>
        <w:rPr>
          <w:rFonts w:ascii="Arial" w:hAnsi="Arial" w:cs="Arial"/>
        </w:rPr>
      </w:pPr>
    </w:p>
    <w:p w14:paraId="61A3ADB0" w14:textId="0F9451F4" w:rsidR="00DF5406" w:rsidRDefault="00E475A2" w:rsidP="006F21ED">
      <w:pPr>
        <w:spacing w:after="0" w:line="360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iCs/>
          <w:noProof/>
        </w:rPr>
        <w:drawing>
          <wp:inline distT="0" distB="0" distL="0" distR="0" wp14:anchorId="4E652B60" wp14:editId="14D8B7B2">
            <wp:extent cx="6334125" cy="3170581"/>
            <wp:effectExtent l="0" t="0" r="0" b="0"/>
            <wp:docPr id="10135595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59584" name="Picture 10135595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401" cy="317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166099629"/>
      <w:r w:rsidRPr="00DF5406">
        <w:rPr>
          <w:rFonts w:ascii="Arial" w:hAnsi="Arial" w:cs="Arial"/>
          <w:b/>
          <w:bCs/>
          <w:sz w:val="18"/>
          <w:szCs w:val="18"/>
        </w:rPr>
        <w:t xml:space="preserve">Figure </w:t>
      </w:r>
      <w:r w:rsidR="00E37A06">
        <w:rPr>
          <w:rFonts w:ascii="Arial" w:hAnsi="Arial" w:cs="Arial"/>
          <w:b/>
          <w:bCs/>
          <w:sz w:val="18"/>
          <w:szCs w:val="18"/>
        </w:rPr>
        <w:t>S</w:t>
      </w:r>
      <w:r w:rsidRPr="00DF5406">
        <w:rPr>
          <w:rFonts w:ascii="Arial" w:hAnsi="Arial" w:cs="Arial"/>
          <w:b/>
          <w:bCs/>
          <w:sz w:val="18"/>
          <w:szCs w:val="18"/>
        </w:rPr>
        <w:t xml:space="preserve">2. Microbiome composition of coral </w:t>
      </w:r>
      <w:r w:rsidRPr="006F21ED">
        <w:rPr>
          <w:rFonts w:ascii="Arial" w:hAnsi="Arial" w:cs="Arial"/>
          <w:b/>
          <w:bCs/>
          <w:i/>
          <w:iCs/>
          <w:sz w:val="18"/>
          <w:szCs w:val="18"/>
        </w:rPr>
        <w:t>Madracis auretenra</w:t>
      </w:r>
      <w:r w:rsidRPr="00DF5406">
        <w:rPr>
          <w:rFonts w:ascii="Arial" w:hAnsi="Arial" w:cs="Arial"/>
          <w:b/>
          <w:bCs/>
          <w:sz w:val="18"/>
          <w:szCs w:val="18"/>
        </w:rPr>
        <w:t xml:space="preserve"> (mucus and tissue) and seawater at the genus level.</w:t>
      </w:r>
      <w:r w:rsidRPr="00DF5406">
        <w:rPr>
          <w:rFonts w:ascii="Arial" w:hAnsi="Arial" w:cs="Arial"/>
          <w:b/>
          <w:sz w:val="18"/>
          <w:szCs w:val="18"/>
        </w:rPr>
        <w:t xml:space="preserve"> </w:t>
      </w:r>
      <w:r w:rsidRPr="00DF5406">
        <w:rPr>
          <w:rFonts w:ascii="Arial" w:hAnsi="Arial" w:cs="Arial"/>
          <w:bCs/>
          <w:sz w:val="18"/>
          <w:szCs w:val="18"/>
        </w:rPr>
        <w:t>The mean relative abundance (%) of the thirteen most abundant genera is plotted, and the remaining taxa are grouped under abundance &lt;2.5%</w:t>
      </w:r>
      <w:bookmarkEnd w:id="1"/>
      <w:r w:rsidR="006F21ED">
        <w:rPr>
          <w:rFonts w:ascii="Arial" w:hAnsi="Arial" w:cs="Arial"/>
          <w:bCs/>
          <w:sz w:val="18"/>
          <w:szCs w:val="18"/>
        </w:rPr>
        <w:t>.</w:t>
      </w:r>
    </w:p>
    <w:p w14:paraId="75C883A5" w14:textId="77777777" w:rsidR="006F21ED" w:rsidRPr="006F21ED" w:rsidRDefault="006F21ED" w:rsidP="006F21ED">
      <w:pPr>
        <w:spacing w:after="0" w:line="360" w:lineRule="auto"/>
        <w:jc w:val="both"/>
        <w:rPr>
          <w:rFonts w:ascii="Arial" w:hAnsi="Arial" w:cs="Arial"/>
          <w:b/>
          <w:i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3"/>
      </w:tblGrid>
      <w:tr w:rsidR="001E12E5" w14:paraId="471D2422" w14:textId="77777777" w:rsidTr="00E8600E">
        <w:trPr>
          <w:jc w:val="center"/>
        </w:trPr>
        <w:tc>
          <w:tcPr>
            <w:tcW w:w="7303" w:type="dxa"/>
          </w:tcPr>
          <w:p w14:paraId="3DB4408D" w14:textId="77777777" w:rsidR="001E12E5" w:rsidRDefault="001E12E5" w:rsidP="00DF5406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  <w:noProof/>
              </w:rPr>
              <w:drawing>
                <wp:inline distT="0" distB="0" distL="0" distR="0" wp14:anchorId="556F6972" wp14:editId="2E2D1D8C">
                  <wp:extent cx="4292047" cy="3240000"/>
                  <wp:effectExtent l="0" t="0" r="0" b="0"/>
                  <wp:docPr id="740980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802" name="Picture 740980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4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2E5" w14:paraId="512829E5" w14:textId="77777777" w:rsidTr="00E8600E">
        <w:trPr>
          <w:jc w:val="center"/>
        </w:trPr>
        <w:tc>
          <w:tcPr>
            <w:tcW w:w="7303" w:type="dxa"/>
          </w:tcPr>
          <w:p w14:paraId="44000E0F" w14:textId="77777777" w:rsidR="001E12E5" w:rsidRDefault="001E12E5" w:rsidP="00DF5406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  <w:noProof/>
              </w:rPr>
              <w:drawing>
                <wp:inline distT="0" distB="0" distL="0" distR="0" wp14:anchorId="13D34340" wp14:editId="2AC7BB5A">
                  <wp:extent cx="4429271" cy="3240000"/>
                  <wp:effectExtent l="0" t="0" r="0" b="0"/>
                  <wp:docPr id="1847486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48649" name="Picture 18474864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27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387D8" w14:textId="33B0C5BA" w:rsidR="001E12E5" w:rsidRDefault="001E12E5" w:rsidP="00DF5406">
      <w:pPr>
        <w:pStyle w:val="Caption"/>
        <w:spacing w:after="0" w:line="360" w:lineRule="auto"/>
        <w:jc w:val="both"/>
        <w:rPr>
          <w:rFonts w:ascii="Arial" w:hAnsi="Arial" w:cs="Arial"/>
          <w:bCs/>
          <w:i w:val="0"/>
          <w:iCs w:val="0"/>
          <w:color w:val="auto"/>
        </w:rPr>
      </w:pPr>
      <w:bookmarkStart w:id="2" w:name="_Toc166099632"/>
      <w:r w:rsidRPr="00AE254F">
        <w:rPr>
          <w:rFonts w:ascii="Arial" w:hAnsi="Arial" w:cs="Arial"/>
          <w:b/>
          <w:bCs/>
          <w:i w:val="0"/>
          <w:iCs w:val="0"/>
          <w:color w:val="auto"/>
        </w:rPr>
        <w:t xml:space="preserve">Figure </w:t>
      </w:r>
      <w:r>
        <w:rPr>
          <w:rFonts w:ascii="Arial" w:hAnsi="Arial" w:cs="Arial"/>
          <w:b/>
          <w:bCs/>
          <w:i w:val="0"/>
          <w:iCs w:val="0"/>
          <w:color w:val="auto"/>
        </w:rPr>
        <w:t>S</w:t>
      </w:r>
      <w:r w:rsidR="006F21ED">
        <w:rPr>
          <w:rFonts w:ascii="Arial" w:hAnsi="Arial" w:cs="Arial"/>
          <w:b/>
          <w:bCs/>
          <w:i w:val="0"/>
          <w:iCs w:val="0"/>
          <w:color w:val="auto"/>
        </w:rPr>
        <w:t>3</w:t>
      </w:r>
      <w:r>
        <w:rPr>
          <w:rFonts w:ascii="Arial" w:hAnsi="Arial" w:cs="Arial"/>
          <w:b/>
          <w:bCs/>
          <w:i w:val="0"/>
          <w:iCs w:val="0"/>
          <w:color w:val="auto"/>
        </w:rPr>
        <w:t xml:space="preserve">. </w:t>
      </w:r>
      <w:r w:rsidRPr="00AE254F">
        <w:rPr>
          <w:rFonts w:ascii="Arial" w:hAnsi="Arial" w:cs="Arial"/>
          <w:b/>
          <w:bCs/>
          <w:i w:val="0"/>
          <w:iCs w:val="0"/>
          <w:color w:val="auto"/>
        </w:rPr>
        <w:t xml:space="preserve">The core microbiome of coral </w:t>
      </w:r>
      <w:r w:rsidRPr="00AE254F">
        <w:rPr>
          <w:rFonts w:ascii="Arial" w:hAnsi="Arial" w:cs="Arial"/>
          <w:b/>
          <w:bCs/>
          <w:color w:val="auto"/>
        </w:rPr>
        <w:t>Madracis auretenra</w:t>
      </w:r>
      <w:r w:rsidRPr="00AE254F">
        <w:rPr>
          <w:rFonts w:ascii="Arial" w:hAnsi="Arial" w:cs="Arial"/>
          <w:b/>
          <w:bCs/>
          <w:i w:val="0"/>
          <w:iCs w:val="0"/>
          <w:color w:val="auto"/>
        </w:rPr>
        <w:t>.</w:t>
      </w:r>
      <w:r w:rsidRPr="00AE254F">
        <w:rPr>
          <w:rFonts w:ascii="Arial" w:hAnsi="Arial" w:cs="Arial"/>
          <w:bCs/>
          <w:i w:val="0"/>
          <w:iCs w:val="0"/>
          <w:color w:val="auto"/>
        </w:rPr>
        <w:t xml:space="preserve"> Heatmap of </w:t>
      </w:r>
      <w:r w:rsidRPr="00AE254F">
        <w:rPr>
          <w:rFonts w:ascii="Arial" w:hAnsi="Arial" w:cs="Arial"/>
          <w:b/>
          <w:i w:val="0"/>
          <w:iCs w:val="0"/>
          <w:color w:val="auto"/>
        </w:rPr>
        <w:t>(A)</w:t>
      </w:r>
      <w:r w:rsidRPr="00AE254F">
        <w:rPr>
          <w:rFonts w:ascii="Arial" w:hAnsi="Arial" w:cs="Arial"/>
          <w:bCs/>
          <w:i w:val="0"/>
          <w:iCs w:val="0"/>
          <w:color w:val="auto"/>
        </w:rPr>
        <w:t xml:space="preserve"> core bacterial families and </w:t>
      </w:r>
      <w:r w:rsidRPr="00AE254F">
        <w:rPr>
          <w:rFonts w:ascii="Arial" w:hAnsi="Arial" w:cs="Arial"/>
          <w:b/>
          <w:i w:val="0"/>
          <w:iCs w:val="0"/>
          <w:color w:val="auto"/>
        </w:rPr>
        <w:t>(B)</w:t>
      </w:r>
      <w:r w:rsidRPr="00AE254F">
        <w:rPr>
          <w:rFonts w:ascii="Arial" w:hAnsi="Arial" w:cs="Arial"/>
          <w:bCs/>
          <w:i w:val="0"/>
          <w:iCs w:val="0"/>
          <w:color w:val="auto"/>
        </w:rPr>
        <w:t xml:space="preserve"> genera representing the taxa with a prevalence &gt;50% and a relative abundance &gt;0.2%. Cells are scaled by the prevalence (%). The core microbiome of coral </w:t>
      </w:r>
      <w:r w:rsidRPr="00AE254F">
        <w:rPr>
          <w:rFonts w:ascii="Arial" w:hAnsi="Arial" w:cs="Arial"/>
          <w:bCs/>
          <w:color w:val="auto"/>
        </w:rPr>
        <w:t>M. auretenra</w:t>
      </w:r>
      <w:r w:rsidRPr="00AE254F">
        <w:rPr>
          <w:rFonts w:ascii="Arial" w:hAnsi="Arial" w:cs="Arial"/>
          <w:bCs/>
          <w:i w:val="0"/>
          <w:iCs w:val="0"/>
          <w:color w:val="auto"/>
        </w:rPr>
        <w:t xml:space="preserve"> is represented by </w:t>
      </w:r>
      <w:r w:rsidRPr="00AE254F">
        <w:rPr>
          <w:rFonts w:ascii="Arial" w:hAnsi="Arial" w:cs="Arial"/>
          <w:bCs/>
          <w:color w:val="auto"/>
        </w:rPr>
        <w:t>Endozoicomonas</w:t>
      </w:r>
      <w:r w:rsidRPr="00AE254F">
        <w:rPr>
          <w:rFonts w:ascii="Arial" w:hAnsi="Arial" w:cs="Arial"/>
          <w:bCs/>
          <w:i w:val="0"/>
          <w:iCs w:val="0"/>
          <w:color w:val="auto"/>
        </w:rPr>
        <w:t xml:space="preserve"> (prevalence &gt;90%), </w:t>
      </w:r>
      <w:r w:rsidRPr="00AE254F">
        <w:rPr>
          <w:rFonts w:ascii="Arial" w:hAnsi="Arial" w:cs="Arial"/>
          <w:bCs/>
          <w:color w:val="auto"/>
        </w:rPr>
        <w:t>Catenococcus</w:t>
      </w:r>
      <w:r w:rsidRPr="00AE254F">
        <w:rPr>
          <w:rFonts w:ascii="Arial" w:hAnsi="Arial" w:cs="Arial"/>
          <w:bCs/>
          <w:i w:val="0"/>
          <w:iCs w:val="0"/>
          <w:color w:val="auto"/>
        </w:rPr>
        <w:t xml:space="preserve"> (prevalence &gt;70%), </w:t>
      </w:r>
      <w:r w:rsidRPr="00AE254F">
        <w:rPr>
          <w:rFonts w:ascii="Arial" w:hAnsi="Arial" w:cs="Arial"/>
          <w:bCs/>
          <w:color w:val="auto"/>
        </w:rPr>
        <w:t>Vibrio</w:t>
      </w:r>
      <w:r w:rsidRPr="00AE254F">
        <w:rPr>
          <w:rFonts w:ascii="Arial" w:hAnsi="Arial" w:cs="Arial"/>
          <w:bCs/>
          <w:i w:val="0"/>
          <w:iCs w:val="0"/>
          <w:color w:val="auto"/>
        </w:rPr>
        <w:t xml:space="preserve"> (prevalence &gt;60%), and </w:t>
      </w:r>
      <w:r w:rsidRPr="00AE254F">
        <w:rPr>
          <w:rFonts w:ascii="Arial" w:hAnsi="Arial" w:cs="Arial"/>
          <w:bCs/>
          <w:color w:val="auto"/>
        </w:rPr>
        <w:t>Ruegeria</w:t>
      </w:r>
      <w:r w:rsidRPr="00AE254F">
        <w:rPr>
          <w:rFonts w:ascii="Arial" w:hAnsi="Arial" w:cs="Arial"/>
          <w:bCs/>
          <w:i w:val="0"/>
          <w:iCs w:val="0"/>
          <w:color w:val="auto"/>
        </w:rPr>
        <w:t xml:space="preserve"> (prevalence &gt;50%).</w:t>
      </w:r>
      <w:bookmarkEnd w:id="2"/>
    </w:p>
    <w:p w14:paraId="1F73A68C" w14:textId="77777777" w:rsidR="006E3662" w:rsidRDefault="006E3662" w:rsidP="00DF5406">
      <w:pPr>
        <w:spacing w:after="0" w:line="360" w:lineRule="auto"/>
      </w:pPr>
    </w:p>
    <w:p w14:paraId="1F231436" w14:textId="77777777" w:rsidR="006E3662" w:rsidRPr="003C22D3" w:rsidRDefault="006E3662" w:rsidP="00DF5406">
      <w:pPr>
        <w:spacing w:after="0" w:line="360" w:lineRule="auto"/>
        <w:jc w:val="center"/>
        <w:rPr>
          <w:rFonts w:ascii="Arial" w:hAnsi="Arial" w:cs="Arial"/>
        </w:rPr>
      </w:pPr>
      <w:r w:rsidRPr="003C22D3">
        <w:rPr>
          <w:rFonts w:ascii="Arial" w:hAnsi="Arial" w:cs="Arial"/>
          <w:noProof/>
        </w:rPr>
        <w:lastRenderedPageBreak/>
        <w:drawing>
          <wp:inline distT="0" distB="0" distL="0" distR="0" wp14:anchorId="4BA7620C" wp14:editId="145A88DA">
            <wp:extent cx="4742515" cy="3960000"/>
            <wp:effectExtent l="0" t="0" r="1270" b="2540"/>
            <wp:docPr id="244082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82217" name="Picture 2440822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51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F8B6" w14:textId="6F55618E" w:rsidR="002E2ECE" w:rsidRDefault="006E3662" w:rsidP="00DF5406">
      <w:pPr>
        <w:spacing w:after="0" w:line="360" w:lineRule="auto"/>
        <w:jc w:val="both"/>
        <w:rPr>
          <w:rFonts w:ascii="Arial" w:hAnsi="Arial" w:cs="Arial"/>
        </w:rPr>
      </w:pPr>
      <w:r w:rsidRPr="003C22D3">
        <w:rPr>
          <w:rFonts w:ascii="Arial" w:hAnsi="Arial" w:cs="Arial"/>
          <w:b/>
          <w:bCs/>
          <w:sz w:val="18"/>
          <w:szCs w:val="18"/>
        </w:rPr>
        <w:t>Figure S</w:t>
      </w:r>
      <w:r w:rsidR="006F21ED">
        <w:rPr>
          <w:rFonts w:ascii="Arial" w:hAnsi="Arial" w:cs="Arial"/>
          <w:b/>
          <w:bCs/>
          <w:sz w:val="18"/>
          <w:szCs w:val="18"/>
        </w:rPr>
        <w:t>4</w:t>
      </w:r>
      <w:r w:rsidRPr="003C22D3">
        <w:rPr>
          <w:rFonts w:ascii="Arial" w:hAnsi="Arial" w:cs="Arial"/>
          <w:b/>
          <w:bCs/>
          <w:sz w:val="18"/>
          <w:szCs w:val="18"/>
        </w:rPr>
        <w:t xml:space="preserve">. ASVs conforming the core microbiome of coral </w:t>
      </w:r>
      <w:r w:rsidRPr="00FE0E37">
        <w:rPr>
          <w:rFonts w:ascii="Arial" w:hAnsi="Arial" w:cs="Arial"/>
          <w:b/>
          <w:bCs/>
          <w:i/>
          <w:iCs/>
          <w:sz w:val="18"/>
          <w:szCs w:val="18"/>
        </w:rPr>
        <w:t>Madracis auretenra</w:t>
      </w:r>
      <w:r w:rsidRPr="003C22D3">
        <w:rPr>
          <w:rFonts w:ascii="Arial" w:hAnsi="Arial" w:cs="Arial"/>
          <w:b/>
          <w:bCs/>
          <w:sz w:val="18"/>
          <w:szCs w:val="18"/>
        </w:rPr>
        <w:t>.</w:t>
      </w:r>
      <w:r w:rsidRPr="003C22D3">
        <w:rPr>
          <w:rFonts w:ascii="Arial" w:hAnsi="Arial" w:cs="Arial"/>
          <w:sz w:val="18"/>
          <w:szCs w:val="18"/>
        </w:rPr>
        <w:t xml:space="preserve"> Heatmap showing the most prevalent and abundant ASVs </w:t>
      </w:r>
      <w:r w:rsidR="006F21ED">
        <w:rPr>
          <w:rFonts w:ascii="Arial" w:hAnsi="Arial" w:cs="Arial"/>
          <w:sz w:val="18"/>
          <w:szCs w:val="18"/>
        </w:rPr>
        <w:t>of the</w:t>
      </w:r>
      <w:r w:rsidRPr="003C22D3">
        <w:rPr>
          <w:rFonts w:ascii="Arial" w:hAnsi="Arial" w:cs="Arial"/>
          <w:sz w:val="18"/>
          <w:szCs w:val="18"/>
        </w:rPr>
        <w:t xml:space="preserve"> core microbiome. Asv0004, asv0012, asv0010, asv0001-3, and asv0006 belonging to the genus Endozoicomonas were identified as the most prevalent taxa dominating the core microbiome with a prevalence of ~90%.</w:t>
      </w:r>
    </w:p>
    <w:p w14:paraId="76ED0E36" w14:textId="77777777" w:rsidR="00860F77" w:rsidRDefault="00860F77" w:rsidP="00DF5406">
      <w:pPr>
        <w:spacing w:after="0" w:line="360" w:lineRule="auto"/>
        <w:rPr>
          <w:rFonts w:ascii="Arial" w:hAnsi="Arial" w:cs="Arial"/>
        </w:rPr>
      </w:pPr>
    </w:p>
    <w:p w14:paraId="5F712E4C" w14:textId="77777777" w:rsidR="00E7453F" w:rsidRDefault="00E7453F" w:rsidP="00DF5406">
      <w:pPr>
        <w:spacing w:after="0" w:line="360" w:lineRule="auto"/>
        <w:rPr>
          <w:rFonts w:ascii="Arial" w:hAnsi="Arial" w:cs="Arial"/>
        </w:rPr>
      </w:pPr>
    </w:p>
    <w:p w14:paraId="17FECE5B" w14:textId="77777777" w:rsidR="00E7453F" w:rsidRDefault="00E7453F" w:rsidP="0006077C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iCs/>
          <w:noProof/>
        </w:rPr>
        <w:lastRenderedPageBreak/>
        <w:drawing>
          <wp:inline distT="0" distB="0" distL="0" distR="0" wp14:anchorId="05B2FD64" wp14:editId="3EAF991B">
            <wp:extent cx="6228727" cy="3168000"/>
            <wp:effectExtent l="0" t="0" r="635" b="0"/>
            <wp:docPr id="163396530" name="Picture 8" descr="A graph of different types of candle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6530" name="Picture 8" descr="A graph of different types of candlestick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27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3A79" w14:textId="10101FB5" w:rsidR="00E7453F" w:rsidRDefault="00E7453F" w:rsidP="00E7453F">
      <w:pPr>
        <w:pStyle w:val="Caption"/>
        <w:spacing w:after="0" w:line="360" w:lineRule="auto"/>
        <w:jc w:val="both"/>
        <w:rPr>
          <w:rFonts w:ascii="Arial" w:hAnsi="Arial" w:cs="Arial"/>
          <w:bCs/>
          <w:i w:val="0"/>
          <w:iCs w:val="0"/>
          <w:color w:val="auto"/>
          <w:sz w:val="22"/>
          <w:szCs w:val="22"/>
        </w:rPr>
      </w:pPr>
      <w:bookmarkStart w:id="3" w:name="_Toc166099630"/>
      <w:r w:rsidRPr="002C011D">
        <w:rPr>
          <w:rFonts w:ascii="Arial" w:hAnsi="Arial" w:cs="Arial"/>
          <w:b/>
          <w:bCs/>
          <w:i w:val="0"/>
          <w:iCs w:val="0"/>
          <w:color w:val="auto"/>
        </w:rPr>
        <w:t xml:space="preserve">Figure </w:t>
      </w:r>
      <w:r>
        <w:rPr>
          <w:rFonts w:ascii="Arial" w:hAnsi="Arial" w:cs="Arial"/>
          <w:b/>
          <w:bCs/>
          <w:i w:val="0"/>
          <w:iCs w:val="0"/>
          <w:color w:val="auto"/>
        </w:rPr>
        <w:t>S</w:t>
      </w:r>
      <w:r>
        <w:rPr>
          <w:rFonts w:ascii="Arial" w:hAnsi="Arial" w:cs="Arial"/>
          <w:b/>
          <w:bCs/>
          <w:i w:val="0"/>
          <w:iCs w:val="0"/>
          <w:color w:val="auto"/>
        </w:rPr>
        <w:t>5</w:t>
      </w:r>
      <w:r>
        <w:rPr>
          <w:rFonts w:ascii="Arial" w:hAnsi="Arial" w:cs="Arial"/>
          <w:b/>
          <w:bCs/>
          <w:i w:val="0"/>
          <w:iCs w:val="0"/>
          <w:color w:val="auto"/>
        </w:rPr>
        <w:t xml:space="preserve">. </w:t>
      </w:r>
      <w:r w:rsidRPr="002C011D">
        <w:rPr>
          <w:rFonts w:ascii="Arial" w:hAnsi="Arial" w:cs="Arial"/>
          <w:b/>
          <w:bCs/>
          <w:i w:val="0"/>
          <w:iCs w:val="0"/>
          <w:color w:val="auto"/>
        </w:rPr>
        <w:t xml:space="preserve">Microbiome composition of coral </w:t>
      </w:r>
      <w:r w:rsidRPr="002C011D">
        <w:rPr>
          <w:rFonts w:ascii="Arial" w:hAnsi="Arial" w:cs="Arial"/>
          <w:b/>
          <w:bCs/>
          <w:color w:val="auto"/>
        </w:rPr>
        <w:t>Madracis auretenra</w:t>
      </w:r>
      <w:r w:rsidRPr="002C011D">
        <w:rPr>
          <w:rFonts w:ascii="Arial" w:hAnsi="Arial" w:cs="Arial"/>
          <w:b/>
          <w:bCs/>
          <w:i w:val="0"/>
          <w:iCs w:val="0"/>
          <w:color w:val="auto"/>
        </w:rPr>
        <w:t xml:space="preserve"> according to the health status and contac</w:t>
      </w:r>
      <w:r w:rsidRPr="002C011D">
        <w:rPr>
          <w:rFonts w:ascii="Arial" w:hAnsi="Arial" w:cs="Arial"/>
          <w:b/>
          <w:i w:val="0"/>
          <w:iCs w:val="0"/>
          <w:color w:val="auto"/>
        </w:rPr>
        <w:t xml:space="preserve">t with algae conditions. </w:t>
      </w:r>
      <w:r w:rsidRPr="002C011D">
        <w:rPr>
          <w:rFonts w:ascii="Arial" w:hAnsi="Arial" w:cs="Arial"/>
          <w:bCs/>
          <w:i w:val="0"/>
          <w:iCs w:val="0"/>
          <w:color w:val="auto"/>
        </w:rPr>
        <w:t>The mean relative abundance (%) of the thirteen most abundant genera is plotted by grouping by coral health status (healthy and stressed</w:t>
      </w:r>
      <w:r w:rsidR="0006077C" w:rsidRPr="002C011D">
        <w:rPr>
          <w:rFonts w:ascii="Arial" w:hAnsi="Arial" w:cs="Arial"/>
          <w:bCs/>
          <w:i w:val="0"/>
          <w:iCs w:val="0"/>
          <w:color w:val="auto"/>
        </w:rPr>
        <w:t>) and</w:t>
      </w:r>
      <w:r w:rsidRPr="002C011D">
        <w:rPr>
          <w:rFonts w:ascii="Arial" w:hAnsi="Arial" w:cs="Arial"/>
          <w:bCs/>
          <w:i w:val="0"/>
          <w:iCs w:val="0"/>
          <w:color w:val="auto"/>
        </w:rPr>
        <w:t xml:space="preserve"> contact with algae (Yes and No). The remaining taxa are grouped under abundance &lt;2.5%.</w:t>
      </w:r>
      <w:bookmarkEnd w:id="3"/>
    </w:p>
    <w:p w14:paraId="591BBBC1" w14:textId="77777777" w:rsidR="00E7453F" w:rsidRDefault="00E7453F" w:rsidP="00DF5406">
      <w:pPr>
        <w:spacing w:after="0" w:line="360" w:lineRule="auto"/>
        <w:rPr>
          <w:rFonts w:ascii="Arial" w:hAnsi="Arial" w:cs="Arial"/>
        </w:rPr>
      </w:pPr>
    </w:p>
    <w:p w14:paraId="6A692B52" w14:textId="77777777" w:rsidR="009C098C" w:rsidRDefault="009C098C" w:rsidP="00DF5406">
      <w:pPr>
        <w:spacing w:after="0" w:line="360" w:lineRule="auto"/>
        <w:rPr>
          <w:rFonts w:ascii="Arial" w:hAnsi="Arial" w:cs="Arial"/>
        </w:rPr>
      </w:pPr>
    </w:p>
    <w:p w14:paraId="0E15350E" w14:textId="658088BD" w:rsidR="00E7453F" w:rsidRDefault="00E7453F" w:rsidP="00E7453F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0AA822" wp14:editId="30EE9273">
            <wp:extent cx="2743200" cy="2743200"/>
            <wp:effectExtent l="0" t="0" r="0" b="0"/>
            <wp:docPr id="906286430" name="Picture 1" descr="A diagram of different types of so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86430" name="Picture 1" descr="A diagram of different types of soi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FEB2" w14:textId="5E24C35E" w:rsidR="00E7453F" w:rsidRPr="00E7453F" w:rsidRDefault="00E7453F" w:rsidP="00E7453F">
      <w:pPr>
        <w:pStyle w:val="Caption"/>
        <w:spacing w:after="0" w:line="360" w:lineRule="auto"/>
        <w:jc w:val="both"/>
        <w:rPr>
          <w:rFonts w:ascii="Arial" w:hAnsi="Arial" w:cs="Arial"/>
          <w:i w:val="0"/>
          <w:iCs w:val="0"/>
          <w:color w:val="auto"/>
          <w:sz w:val="22"/>
          <w:szCs w:val="22"/>
        </w:rPr>
      </w:pPr>
      <w:r w:rsidRPr="002C011D">
        <w:rPr>
          <w:rFonts w:ascii="Arial" w:hAnsi="Arial" w:cs="Arial"/>
          <w:b/>
          <w:bCs/>
          <w:i w:val="0"/>
          <w:iCs w:val="0"/>
          <w:color w:val="auto"/>
        </w:rPr>
        <w:t xml:space="preserve">Figure </w:t>
      </w:r>
      <w:r>
        <w:rPr>
          <w:rFonts w:ascii="Arial" w:hAnsi="Arial" w:cs="Arial"/>
          <w:b/>
          <w:bCs/>
          <w:i w:val="0"/>
          <w:iCs w:val="0"/>
          <w:color w:val="auto"/>
        </w:rPr>
        <w:t>S</w:t>
      </w:r>
      <w:r>
        <w:rPr>
          <w:rFonts w:ascii="Arial" w:hAnsi="Arial" w:cs="Arial"/>
          <w:b/>
          <w:bCs/>
          <w:i w:val="0"/>
          <w:iCs w:val="0"/>
          <w:color w:val="auto"/>
        </w:rPr>
        <w:t>6</w:t>
      </w:r>
      <w:r>
        <w:rPr>
          <w:rFonts w:ascii="Arial" w:hAnsi="Arial" w:cs="Arial"/>
          <w:b/>
          <w:bCs/>
          <w:i w:val="0"/>
          <w:iCs w:val="0"/>
          <w:color w:val="auto"/>
        </w:rPr>
        <w:t xml:space="preserve">. </w:t>
      </w:r>
      <w:r w:rsidRPr="00E7453F">
        <w:rPr>
          <w:rFonts w:ascii="Arial" w:hAnsi="Arial" w:cs="Arial"/>
          <w:b/>
          <w:bCs/>
          <w:i w:val="0"/>
          <w:iCs w:val="0"/>
          <w:color w:val="auto"/>
        </w:rPr>
        <w:t>Principal Component Analysis (PCA)</w:t>
      </w:r>
      <w:r>
        <w:rPr>
          <w:rFonts w:ascii="Arial" w:hAnsi="Arial" w:cs="Arial"/>
          <w:b/>
          <w:bCs/>
          <w:i w:val="0"/>
          <w:iCs w:val="0"/>
          <w:color w:val="auto"/>
        </w:rPr>
        <w:t xml:space="preserve">. </w:t>
      </w:r>
      <w:r>
        <w:rPr>
          <w:rFonts w:ascii="Arial" w:hAnsi="Arial" w:cs="Arial"/>
          <w:i w:val="0"/>
          <w:iCs w:val="0"/>
          <w:color w:val="auto"/>
        </w:rPr>
        <w:t>P</w:t>
      </w:r>
      <w:r w:rsidRPr="00E7453F">
        <w:rPr>
          <w:rFonts w:ascii="Arial" w:hAnsi="Arial" w:cs="Arial"/>
          <w:i w:val="0"/>
          <w:iCs w:val="0"/>
          <w:color w:val="auto"/>
        </w:rPr>
        <w:t xml:space="preserve">hysicochemical variables </w:t>
      </w:r>
      <w:r>
        <w:rPr>
          <w:rFonts w:ascii="Arial" w:hAnsi="Arial" w:cs="Arial"/>
          <w:i w:val="0"/>
          <w:iCs w:val="0"/>
          <w:color w:val="auto"/>
        </w:rPr>
        <w:t xml:space="preserve">are summarized </w:t>
      </w:r>
      <w:r w:rsidRPr="00E7453F">
        <w:rPr>
          <w:rFonts w:ascii="Arial" w:hAnsi="Arial" w:cs="Arial"/>
          <w:i w:val="0"/>
          <w:iCs w:val="0"/>
          <w:color w:val="auto"/>
        </w:rPr>
        <w:t>in two components: PC1 (proportion=33.17%) and PC2 (proportion=28.37%)</w:t>
      </w:r>
      <w:r>
        <w:rPr>
          <w:rFonts w:ascii="Arial" w:hAnsi="Arial" w:cs="Arial"/>
          <w:i w:val="0"/>
          <w:iCs w:val="0"/>
          <w:color w:val="auto"/>
        </w:rPr>
        <w:t>,</w:t>
      </w:r>
      <w:r w:rsidRPr="00E7453F">
        <w:rPr>
          <w:rFonts w:ascii="Arial" w:hAnsi="Arial" w:cs="Arial"/>
          <w:i w:val="0"/>
          <w:iCs w:val="0"/>
          <w:color w:val="auto"/>
        </w:rPr>
        <w:t xml:space="preserve"> which explained more than 60% of the variation of the physicochemical variables among seasons (PERMANOVA; pseudo-</w:t>
      </w:r>
      <w:proofErr w:type="gramStart"/>
      <w:r w:rsidRPr="00E7453F">
        <w:rPr>
          <w:rFonts w:ascii="Arial" w:hAnsi="Arial" w:cs="Arial"/>
          <w:color w:val="auto"/>
        </w:rPr>
        <w:t>F</w:t>
      </w:r>
      <w:r w:rsidRPr="00E7453F">
        <w:rPr>
          <w:rFonts w:ascii="Arial" w:hAnsi="Arial" w:cs="Arial"/>
          <w:i w:val="0"/>
          <w:iCs w:val="0"/>
          <w:color w:val="auto"/>
        </w:rPr>
        <w:t>(</w:t>
      </w:r>
      <w:proofErr w:type="gramEnd"/>
      <w:r w:rsidRPr="00E7453F">
        <w:rPr>
          <w:rFonts w:ascii="Arial" w:hAnsi="Arial" w:cs="Arial"/>
          <w:i w:val="0"/>
          <w:iCs w:val="0"/>
          <w:color w:val="auto"/>
          <w:vertAlign w:val="subscript"/>
        </w:rPr>
        <w:t>3, 23)</w:t>
      </w:r>
      <w:r w:rsidRPr="00E7453F">
        <w:rPr>
          <w:rFonts w:ascii="Arial" w:hAnsi="Arial" w:cs="Arial"/>
          <w:i w:val="0"/>
          <w:iCs w:val="0"/>
          <w:color w:val="auto"/>
        </w:rPr>
        <w:t xml:space="preserve"> =25.18, </w:t>
      </w:r>
      <w:r w:rsidRPr="00E7453F">
        <w:rPr>
          <w:rFonts w:ascii="Arial" w:hAnsi="Arial" w:cs="Arial"/>
          <w:color w:val="auto"/>
        </w:rPr>
        <w:t>p</w:t>
      </w:r>
      <w:r w:rsidRPr="00E7453F">
        <w:rPr>
          <w:rFonts w:ascii="Arial" w:hAnsi="Arial" w:cs="Arial"/>
          <w:i w:val="0"/>
          <w:iCs w:val="0"/>
          <w:color w:val="auto"/>
        </w:rPr>
        <w:t>=0.001, perms=998). PC1 summarized temperature, pH, nitrites, and salinity</w:t>
      </w:r>
      <w:r>
        <w:rPr>
          <w:rFonts w:ascii="Arial" w:hAnsi="Arial" w:cs="Arial"/>
          <w:i w:val="0"/>
          <w:iCs w:val="0"/>
          <w:color w:val="auto"/>
        </w:rPr>
        <w:t>,</w:t>
      </w:r>
      <w:r w:rsidRPr="00E7453F">
        <w:rPr>
          <w:rFonts w:ascii="Arial" w:hAnsi="Arial" w:cs="Arial"/>
          <w:i w:val="0"/>
          <w:iCs w:val="0"/>
          <w:color w:val="auto"/>
        </w:rPr>
        <w:t xml:space="preserve"> whereas PC2 summarized oxygen saturation, ammonia, nitrites, orthophosphates, and TSS. Perms=permutations, TSS=total suspended solids.</w:t>
      </w:r>
    </w:p>
    <w:p w14:paraId="609C1405" w14:textId="77777777" w:rsidR="00E7453F" w:rsidRDefault="00E7453F" w:rsidP="00E7453F">
      <w:pPr>
        <w:spacing w:after="0" w:line="360" w:lineRule="auto"/>
        <w:jc w:val="center"/>
        <w:rPr>
          <w:rFonts w:ascii="Arial" w:hAnsi="Arial" w:cs="Arial"/>
        </w:rPr>
      </w:pPr>
    </w:p>
    <w:p w14:paraId="6801A8A4" w14:textId="77777777" w:rsidR="003B0EBA" w:rsidRPr="009B699A" w:rsidRDefault="003B0EBA" w:rsidP="00DF5406">
      <w:pPr>
        <w:spacing w:after="0" w:line="360" w:lineRule="auto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w:drawing>
          <wp:inline distT="0" distB="0" distL="0" distR="0" wp14:anchorId="45CFDB23" wp14:editId="08D9533A">
            <wp:extent cx="6350648" cy="5610225"/>
            <wp:effectExtent l="0" t="0" r="0" b="0"/>
            <wp:docPr id="5514151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15186" name="Picture 5514151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25" cy="562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9ABC" w14:textId="6F5BE582" w:rsidR="003B0EBA" w:rsidRDefault="003B0EBA" w:rsidP="00DF5406">
      <w:pPr>
        <w:pStyle w:val="Caption"/>
        <w:spacing w:after="0" w:line="360" w:lineRule="auto"/>
        <w:jc w:val="both"/>
        <w:rPr>
          <w:rFonts w:ascii="Arial" w:hAnsi="Arial" w:cs="Arial"/>
          <w:bCs/>
          <w:i w:val="0"/>
          <w:iCs w:val="0"/>
          <w:color w:val="auto"/>
        </w:rPr>
      </w:pPr>
      <w:bookmarkStart w:id="4" w:name="_Toc166099636"/>
      <w:r w:rsidRPr="009A0498">
        <w:rPr>
          <w:rFonts w:ascii="Arial" w:hAnsi="Arial" w:cs="Arial"/>
          <w:b/>
          <w:bCs/>
          <w:i w:val="0"/>
          <w:iCs w:val="0"/>
          <w:color w:val="auto"/>
        </w:rPr>
        <w:t xml:space="preserve">Figure </w:t>
      </w:r>
      <w:r>
        <w:rPr>
          <w:rFonts w:ascii="Arial" w:hAnsi="Arial" w:cs="Arial"/>
          <w:b/>
          <w:bCs/>
          <w:i w:val="0"/>
          <w:iCs w:val="0"/>
          <w:color w:val="auto"/>
        </w:rPr>
        <w:t>S</w:t>
      </w:r>
      <w:r w:rsidR="0006077C">
        <w:rPr>
          <w:rFonts w:ascii="Arial" w:hAnsi="Arial" w:cs="Arial"/>
          <w:b/>
          <w:bCs/>
          <w:i w:val="0"/>
          <w:iCs w:val="0"/>
          <w:color w:val="auto"/>
        </w:rPr>
        <w:t>7</w:t>
      </w:r>
      <w:r w:rsidRPr="009A0498">
        <w:rPr>
          <w:rFonts w:ascii="Arial" w:hAnsi="Arial" w:cs="Arial"/>
          <w:b/>
          <w:bCs/>
          <w:i w:val="0"/>
          <w:iCs w:val="0"/>
          <w:color w:val="auto"/>
        </w:rPr>
        <w:t xml:space="preserve">. </w:t>
      </w:r>
      <w:bookmarkStart w:id="5" w:name="_Hlk167444255"/>
      <w:r w:rsidRPr="009A0498">
        <w:rPr>
          <w:rFonts w:ascii="Arial" w:hAnsi="Arial" w:cs="Arial"/>
          <w:b/>
          <w:bCs/>
          <w:i w:val="0"/>
          <w:iCs w:val="0"/>
          <w:color w:val="auto"/>
        </w:rPr>
        <w:t>Correlations between the environmental variables and the relative abundance of the most abundant taxa.</w:t>
      </w:r>
      <w:r w:rsidRPr="009A0498">
        <w:rPr>
          <w:rFonts w:ascii="Arial" w:hAnsi="Arial" w:cs="Arial"/>
          <w:bCs/>
          <w:i w:val="0"/>
          <w:iCs w:val="0"/>
          <w:color w:val="auto"/>
        </w:rPr>
        <w:t xml:space="preserve"> Heatmap of the Kendall rank correlation coefficient analysis. Axis X corresponds to samples and axis Y to taxa (ASVs). Significance was detected with adjusted </w:t>
      </w:r>
      <w:r w:rsidRPr="009A0498">
        <w:rPr>
          <w:rFonts w:ascii="Arial" w:hAnsi="Arial" w:cs="Arial"/>
          <w:bCs/>
          <w:color w:val="auto"/>
        </w:rPr>
        <w:t>p</w:t>
      </w:r>
      <w:r>
        <w:rPr>
          <w:rFonts w:ascii="Arial" w:hAnsi="Arial" w:cs="Arial"/>
          <w:bCs/>
          <w:i w:val="0"/>
          <w:iCs w:val="0"/>
          <w:color w:val="auto"/>
        </w:rPr>
        <w:t>-</w:t>
      </w:r>
      <w:r w:rsidRPr="009A0498">
        <w:rPr>
          <w:rFonts w:ascii="Arial" w:hAnsi="Arial" w:cs="Arial"/>
          <w:bCs/>
          <w:i w:val="0"/>
          <w:iCs w:val="0"/>
          <w:color w:val="auto"/>
        </w:rPr>
        <w:t>values less than 0.05 (*) and less than 0.01 (**).</w:t>
      </w:r>
      <w:r>
        <w:rPr>
          <w:rFonts w:ascii="Arial" w:hAnsi="Arial" w:cs="Arial"/>
          <w:bCs/>
          <w:i w:val="0"/>
          <w:iCs w:val="0"/>
          <w:color w:val="auto"/>
        </w:rPr>
        <w:t xml:space="preserve"> Red color indicates strong positive correlation whereas blue color indicates strong negative correlation.</w:t>
      </w:r>
      <w:bookmarkEnd w:id="4"/>
    </w:p>
    <w:p w14:paraId="0D72F879" w14:textId="77777777" w:rsidR="00A63F7C" w:rsidRDefault="00A63F7C" w:rsidP="00A63F7C"/>
    <w:p w14:paraId="00D5B24D" w14:textId="1E9335F0" w:rsidR="00A63F7C" w:rsidRDefault="00A63F7C" w:rsidP="00A63F7C"/>
    <w:p w14:paraId="73A83DAE" w14:textId="77777777" w:rsidR="0006077C" w:rsidRDefault="0006077C" w:rsidP="00A63F7C"/>
    <w:p w14:paraId="4B390C27" w14:textId="77777777" w:rsidR="0006077C" w:rsidRDefault="0006077C" w:rsidP="00A63F7C"/>
    <w:p w14:paraId="5937D0E8" w14:textId="77777777" w:rsidR="0006077C" w:rsidRDefault="0006077C" w:rsidP="00A63F7C"/>
    <w:p w14:paraId="7EB5871C" w14:textId="38DB7355" w:rsidR="0006077C" w:rsidRDefault="0006077C" w:rsidP="0006077C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55E44A9C" wp14:editId="6D0253C5">
            <wp:extent cx="6400800" cy="3657600"/>
            <wp:effectExtent l="0" t="0" r="0" b="0"/>
            <wp:docPr id="192955339" name="Picture 2" descr="A colorful network with dot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5339" name="Picture 2" descr="A colorful network with dots and lin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4D14" w14:textId="618953A0" w:rsidR="0006077C" w:rsidRPr="0006077C" w:rsidRDefault="0006077C" w:rsidP="0006077C">
      <w:pPr>
        <w:pStyle w:val="Caption"/>
        <w:spacing w:after="0" w:line="360" w:lineRule="auto"/>
        <w:jc w:val="both"/>
        <w:rPr>
          <w:rFonts w:ascii="Arial" w:hAnsi="Arial" w:cs="Arial"/>
          <w:i w:val="0"/>
          <w:iCs w:val="0"/>
          <w:color w:val="auto"/>
        </w:rPr>
      </w:pPr>
      <w:r w:rsidRPr="009A0498">
        <w:rPr>
          <w:rFonts w:ascii="Arial" w:hAnsi="Arial" w:cs="Arial"/>
          <w:b/>
          <w:bCs/>
          <w:i w:val="0"/>
          <w:iCs w:val="0"/>
          <w:color w:val="auto"/>
        </w:rPr>
        <w:t xml:space="preserve">Figure </w:t>
      </w:r>
      <w:r>
        <w:rPr>
          <w:rFonts w:ascii="Arial" w:hAnsi="Arial" w:cs="Arial"/>
          <w:b/>
          <w:bCs/>
          <w:i w:val="0"/>
          <w:iCs w:val="0"/>
          <w:color w:val="auto"/>
        </w:rPr>
        <w:t>S</w:t>
      </w:r>
      <w:r>
        <w:rPr>
          <w:rFonts w:ascii="Arial" w:hAnsi="Arial" w:cs="Arial"/>
          <w:b/>
          <w:bCs/>
          <w:i w:val="0"/>
          <w:iCs w:val="0"/>
          <w:color w:val="auto"/>
        </w:rPr>
        <w:t>8</w:t>
      </w:r>
      <w:r w:rsidRPr="009A0498">
        <w:rPr>
          <w:rFonts w:ascii="Arial" w:hAnsi="Arial" w:cs="Arial"/>
          <w:b/>
          <w:bCs/>
          <w:i w:val="0"/>
          <w:iCs w:val="0"/>
          <w:color w:val="auto"/>
        </w:rPr>
        <w:t xml:space="preserve">. </w:t>
      </w:r>
      <w:r w:rsidRPr="0006077C">
        <w:rPr>
          <w:rFonts w:ascii="Arial" w:hAnsi="Arial" w:cs="Arial"/>
          <w:b/>
          <w:bCs/>
          <w:i w:val="0"/>
          <w:iCs w:val="0"/>
          <w:color w:val="auto"/>
        </w:rPr>
        <w:t>Co-occurrence network showing the inferred interactions between the different taxa.</w:t>
      </w:r>
      <w:r>
        <w:rPr>
          <w:rFonts w:ascii="Arial" w:hAnsi="Arial" w:cs="Arial"/>
          <w:b/>
          <w:bCs/>
          <w:i w:val="0"/>
          <w:iCs w:val="0"/>
          <w:color w:val="auto"/>
        </w:rPr>
        <w:t xml:space="preserve"> </w:t>
      </w:r>
      <w:r w:rsidRPr="0006077C">
        <w:rPr>
          <w:rFonts w:ascii="Arial" w:hAnsi="Arial" w:cs="Arial"/>
          <w:i w:val="0"/>
          <w:iCs w:val="0"/>
          <w:color w:val="auto"/>
        </w:rPr>
        <w:t>The figure represents a microbial interaction network where each node is an ASV</w:t>
      </w:r>
      <w:r w:rsidRPr="0006077C">
        <w:rPr>
          <w:rFonts w:ascii="Arial" w:hAnsi="Arial" w:cs="Arial"/>
          <w:i w:val="0"/>
          <w:iCs w:val="0"/>
          <w:color w:val="auto"/>
        </w:rPr>
        <w:t>,</w:t>
      </w:r>
      <w:r w:rsidRPr="0006077C">
        <w:rPr>
          <w:rFonts w:ascii="Arial" w:hAnsi="Arial" w:cs="Arial"/>
          <w:i w:val="0"/>
          <w:iCs w:val="0"/>
          <w:color w:val="auto"/>
        </w:rPr>
        <w:t xml:space="preserve"> and each edge represents a statistically inferred interaction.</w:t>
      </w:r>
      <w:r w:rsidRPr="0006077C">
        <w:rPr>
          <w:rFonts w:ascii="Arial" w:hAnsi="Arial" w:cs="Arial"/>
          <w:i w:val="0"/>
          <w:iCs w:val="0"/>
          <w:color w:val="auto"/>
        </w:rPr>
        <w:t xml:space="preserve"> </w:t>
      </w:r>
      <w:r w:rsidRPr="0006077C">
        <w:rPr>
          <w:rFonts w:ascii="Arial" w:hAnsi="Arial" w:cs="Arial"/>
          <w:i w:val="0"/>
          <w:iCs w:val="0"/>
          <w:color w:val="auto"/>
        </w:rPr>
        <w:t xml:space="preserve">The nodes are color-coded based on </w:t>
      </w:r>
      <w:r w:rsidRPr="0006077C">
        <w:rPr>
          <w:rFonts w:ascii="Arial" w:hAnsi="Arial" w:cs="Arial"/>
          <w:i w:val="0"/>
          <w:iCs w:val="0"/>
          <w:color w:val="auto"/>
        </w:rPr>
        <w:t xml:space="preserve">the </w:t>
      </w:r>
      <w:r w:rsidRPr="0006077C">
        <w:rPr>
          <w:rFonts w:ascii="Arial" w:hAnsi="Arial" w:cs="Arial"/>
          <w:i w:val="0"/>
          <w:iCs w:val="0"/>
          <w:color w:val="auto"/>
        </w:rPr>
        <w:t>taxonomic family).</w:t>
      </w:r>
      <w:r w:rsidRPr="0006077C">
        <w:rPr>
          <w:rFonts w:ascii="Arial" w:hAnsi="Arial" w:cs="Arial"/>
          <w:i w:val="0"/>
          <w:iCs w:val="0"/>
          <w:color w:val="auto"/>
        </w:rPr>
        <w:t xml:space="preserve"> </w:t>
      </w:r>
      <w:r w:rsidRPr="0006077C">
        <w:rPr>
          <w:rFonts w:ascii="Arial" w:hAnsi="Arial" w:cs="Arial"/>
          <w:i w:val="0"/>
          <w:iCs w:val="0"/>
          <w:color w:val="auto"/>
        </w:rPr>
        <w:t>The network topology suggests a mixture of tightly interconnected clusters and more peripheral nodes.</w:t>
      </w:r>
      <w:r>
        <w:rPr>
          <w:rFonts w:ascii="Arial" w:hAnsi="Arial" w:cs="Arial"/>
          <w:i w:val="0"/>
          <w:iCs w:val="0"/>
          <w:color w:val="auto"/>
        </w:rPr>
        <w:t xml:space="preserve"> </w:t>
      </w:r>
      <w:r w:rsidRPr="0006077C">
        <w:rPr>
          <w:rFonts w:ascii="Arial" w:hAnsi="Arial" w:cs="Arial"/>
          <w:i w:val="0"/>
          <w:iCs w:val="0"/>
          <w:color w:val="auto"/>
        </w:rPr>
        <w:t>Different clusters suggest microbial functional guilds responding to specific coral niches (e.g., mucus layer, skeleton, tissue).</w:t>
      </w:r>
      <w:r>
        <w:rPr>
          <w:rFonts w:ascii="Arial" w:hAnsi="Arial" w:cs="Arial"/>
          <w:i w:val="0"/>
          <w:iCs w:val="0"/>
          <w:color w:val="auto"/>
        </w:rPr>
        <w:t xml:space="preserve"> </w:t>
      </w:r>
      <w:r w:rsidRPr="0006077C">
        <w:rPr>
          <w:rFonts w:ascii="Arial" w:hAnsi="Arial" w:cs="Arial"/>
          <w:i w:val="0"/>
          <w:iCs w:val="0"/>
          <w:color w:val="auto"/>
        </w:rPr>
        <w:t>Highly connected nodes could be critical players in microbiome resilience</w:t>
      </w:r>
      <w:r>
        <w:rPr>
          <w:rFonts w:ascii="Arial" w:hAnsi="Arial" w:cs="Arial"/>
          <w:i w:val="0"/>
          <w:iCs w:val="0"/>
          <w:color w:val="auto"/>
        </w:rPr>
        <w:t xml:space="preserve">. </w:t>
      </w:r>
      <w:r w:rsidRPr="0006077C">
        <w:rPr>
          <w:rFonts w:ascii="Arial" w:hAnsi="Arial" w:cs="Arial"/>
          <w:i w:val="0"/>
          <w:iCs w:val="0"/>
          <w:color w:val="auto"/>
        </w:rPr>
        <w:t>A highly interconnected core (yellow + blue) suggests dominant taxa in the coral microbiome.</w:t>
      </w:r>
      <w:r>
        <w:rPr>
          <w:rFonts w:ascii="Arial" w:hAnsi="Arial" w:cs="Arial"/>
          <w:i w:val="0"/>
          <w:iCs w:val="0"/>
          <w:color w:val="auto"/>
        </w:rPr>
        <w:t xml:space="preserve"> </w:t>
      </w:r>
      <w:r w:rsidRPr="0006077C">
        <w:rPr>
          <w:rFonts w:ascii="Arial" w:hAnsi="Arial" w:cs="Arial"/>
          <w:i w:val="0"/>
          <w:iCs w:val="0"/>
          <w:color w:val="auto"/>
        </w:rPr>
        <w:t>Peripheral clusters (green, purple) indicate niche-specific or transient microbial groups.</w:t>
      </w:r>
      <w:r>
        <w:rPr>
          <w:rFonts w:ascii="Arial" w:hAnsi="Arial" w:cs="Arial"/>
          <w:i w:val="0"/>
          <w:iCs w:val="0"/>
          <w:color w:val="auto"/>
        </w:rPr>
        <w:t xml:space="preserve"> </w:t>
      </w:r>
      <w:r w:rsidRPr="0006077C">
        <w:rPr>
          <w:rFonts w:ascii="Arial" w:hAnsi="Arial" w:cs="Arial"/>
          <w:i w:val="0"/>
          <w:iCs w:val="0"/>
          <w:color w:val="auto"/>
        </w:rPr>
        <w:t>Negative interactions suggest competition between opportunistic/pathogenic taxa and beneficial coral-associated bacteria.</w:t>
      </w:r>
    </w:p>
    <w:p w14:paraId="05816BF1" w14:textId="77777777" w:rsidR="00A63F7C" w:rsidRDefault="00A63F7C" w:rsidP="00A63F7C">
      <w:pPr>
        <w:rPr>
          <w:rFonts w:ascii="Arial" w:hAnsi="Arial" w:cs="Arial"/>
          <w:bCs/>
        </w:rPr>
      </w:pPr>
    </w:p>
    <w:bookmarkEnd w:id="5"/>
    <w:p w14:paraId="4E8C7FA0" w14:textId="77777777" w:rsidR="003B0EBA" w:rsidRDefault="003B0EBA" w:rsidP="00DF5406">
      <w:pPr>
        <w:spacing w:after="0" w:line="360" w:lineRule="auto"/>
        <w:rPr>
          <w:rFonts w:ascii="Arial" w:hAnsi="Arial" w:cs="Arial"/>
        </w:rPr>
      </w:pPr>
    </w:p>
    <w:p w14:paraId="27333884" w14:textId="77777777" w:rsidR="006F21ED" w:rsidRDefault="006F21ED" w:rsidP="00DF5406">
      <w:pPr>
        <w:spacing w:after="0" w:line="360" w:lineRule="auto"/>
        <w:rPr>
          <w:rFonts w:ascii="Arial" w:hAnsi="Arial" w:cs="Arial"/>
        </w:rPr>
      </w:pPr>
    </w:p>
    <w:sectPr w:rsidR="006F21ED" w:rsidSect="00DF5406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461"/>
    <w:rsid w:val="00007E5E"/>
    <w:rsid w:val="00053FD2"/>
    <w:rsid w:val="0006077C"/>
    <w:rsid w:val="001E12E5"/>
    <w:rsid w:val="00223065"/>
    <w:rsid w:val="002E2390"/>
    <w:rsid w:val="002E2ECE"/>
    <w:rsid w:val="003845BB"/>
    <w:rsid w:val="003B0EBA"/>
    <w:rsid w:val="00473D71"/>
    <w:rsid w:val="0050774E"/>
    <w:rsid w:val="005112B2"/>
    <w:rsid w:val="00571801"/>
    <w:rsid w:val="0059348B"/>
    <w:rsid w:val="00594534"/>
    <w:rsid w:val="005C3EA3"/>
    <w:rsid w:val="005F7577"/>
    <w:rsid w:val="006E3662"/>
    <w:rsid w:val="006F21ED"/>
    <w:rsid w:val="00761B7C"/>
    <w:rsid w:val="007865B7"/>
    <w:rsid w:val="007E0458"/>
    <w:rsid w:val="00831629"/>
    <w:rsid w:val="00854BAF"/>
    <w:rsid w:val="00860F77"/>
    <w:rsid w:val="00904CC3"/>
    <w:rsid w:val="0093104C"/>
    <w:rsid w:val="009C098C"/>
    <w:rsid w:val="00A141DB"/>
    <w:rsid w:val="00A42461"/>
    <w:rsid w:val="00A553E4"/>
    <w:rsid w:val="00A63DD0"/>
    <w:rsid w:val="00A63F7C"/>
    <w:rsid w:val="00AC34C7"/>
    <w:rsid w:val="00C44868"/>
    <w:rsid w:val="00CB51FE"/>
    <w:rsid w:val="00D10433"/>
    <w:rsid w:val="00DF5406"/>
    <w:rsid w:val="00E37A06"/>
    <w:rsid w:val="00E475A2"/>
    <w:rsid w:val="00E7453F"/>
    <w:rsid w:val="00E7655E"/>
    <w:rsid w:val="00EA24AA"/>
    <w:rsid w:val="00F8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A33AD1"/>
  <w15:chartTrackingRefBased/>
  <w15:docId w15:val="{94F11A2E-8064-49CC-88EF-670CADBC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2461"/>
    <w:pPr>
      <w:spacing w:after="0" w:line="240" w:lineRule="auto"/>
    </w:pPr>
    <w:rPr>
      <w:rFonts w:ascii="Calibri" w:eastAsia="Calibri" w:hAnsi="Calibri" w:cs="Times New Roman"/>
      <w:sz w:val="20"/>
      <w:szCs w:val="20"/>
      <w:lang w:val="es-CO" w:eastAsia="es-C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4246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Steven Ruiz Toquica</dc:creator>
  <cp:keywords/>
  <dc:description/>
  <cp:lastModifiedBy>Ruiz, Jordan</cp:lastModifiedBy>
  <cp:revision>10</cp:revision>
  <dcterms:created xsi:type="dcterms:W3CDTF">2024-05-15T21:09:00Z</dcterms:created>
  <dcterms:modified xsi:type="dcterms:W3CDTF">2025-02-17T00:55:00Z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bba636f0-4022-4ad1-92ea-aee7e15fc14d</vt:lpwstr>
  </property>
</Properties>
</file>