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4C5" w:rsidRDefault="00BB3F2A">
      <w:pPr>
        <w:spacing w:line="300" w:lineRule="auto"/>
        <w:rPr>
          <w:rFonts w:cs="Times New Roman"/>
          <w:b/>
        </w:rPr>
      </w:pPr>
      <w:r>
        <w:rPr>
          <w:rFonts w:cs="Times New Roman" w:hint="eastAsia"/>
          <w:b/>
        </w:rPr>
        <w:t>1</w:t>
      </w:r>
      <w:r>
        <w:rPr>
          <w:rFonts w:cs="Times New Roman"/>
          <w:b/>
        </w:rPr>
        <w:t>.</w:t>
      </w:r>
    </w:p>
    <w:p w:rsidR="002624C5" w:rsidRDefault="00BB3F2A">
      <w:pPr>
        <w:spacing w:line="300" w:lineRule="auto"/>
        <w:jc w:val="center"/>
        <w:rPr>
          <w:rFonts w:cs="Times New Roman"/>
          <w:b/>
        </w:rPr>
      </w:pPr>
      <w:r w:rsidRPr="00BB3F2A">
        <w:rPr>
          <w:rFonts w:cs="Times New Roman"/>
          <w:b/>
        </w:rPr>
        <w:t>Supplement</w:t>
      </w:r>
      <w:r>
        <w:rPr>
          <w:rFonts w:cs="Times New Roman"/>
          <w:b/>
        </w:rPr>
        <w:t xml:space="preserve"> </w:t>
      </w:r>
      <w:r>
        <w:rPr>
          <w:rFonts w:cs="Times New Roman"/>
          <w:b/>
        </w:rPr>
        <w:t>Table 1. Forest age classification criteria a</w:t>
      </w:r>
      <w:bookmarkStart w:id="0" w:name="_GoBack"/>
      <w:bookmarkEnd w:id="0"/>
      <w:r>
        <w:rPr>
          <w:rFonts w:cs="Times New Roman"/>
          <w:b/>
        </w:rPr>
        <w:t xml:space="preserve">nd age class duration of </w:t>
      </w:r>
      <w:proofErr w:type="spellStart"/>
      <w:r>
        <w:rPr>
          <w:rFonts w:cs="Times New Roman"/>
          <w:b/>
          <w:i/>
          <w:iCs/>
          <w:color w:val="333333"/>
          <w:szCs w:val="21"/>
          <w:shd w:val="clear" w:color="auto" w:fill="FFFFFF"/>
        </w:rPr>
        <w:t>Pinus</w:t>
      </w:r>
      <w:proofErr w:type="spellEnd"/>
      <w:r>
        <w:rPr>
          <w:rFonts w:cs="Times New Roman"/>
          <w:b/>
          <w:i/>
          <w:iCs/>
          <w:color w:val="333333"/>
          <w:szCs w:val="21"/>
          <w:shd w:val="clear" w:color="auto" w:fill="FFFFFF"/>
        </w:rPr>
        <w:t xml:space="preserve"> </w:t>
      </w:r>
      <w:proofErr w:type="spellStart"/>
      <w:r>
        <w:rPr>
          <w:rFonts w:cs="Times New Roman"/>
          <w:b/>
          <w:i/>
          <w:iCs/>
          <w:color w:val="333333"/>
          <w:szCs w:val="21"/>
          <w:shd w:val="clear" w:color="auto" w:fill="FFFFFF"/>
        </w:rPr>
        <w:t>sylvestris</w:t>
      </w:r>
      <w:proofErr w:type="spellEnd"/>
      <w:r>
        <w:rPr>
          <w:rFonts w:cs="Times New Roman"/>
          <w:b/>
          <w:i/>
          <w:iCs/>
          <w:color w:val="333333"/>
          <w:szCs w:val="21"/>
          <w:shd w:val="clear" w:color="auto" w:fill="FFFFFF"/>
        </w:rPr>
        <w:t xml:space="preserve"> var. </w:t>
      </w:r>
      <w:proofErr w:type="spellStart"/>
      <w:r>
        <w:rPr>
          <w:rFonts w:cs="Times New Roman"/>
          <w:b/>
          <w:i/>
          <w:iCs/>
          <w:color w:val="333333"/>
          <w:szCs w:val="21"/>
          <w:shd w:val="clear" w:color="auto" w:fill="FFFFFF"/>
        </w:rPr>
        <w:t>mongholica</w:t>
      </w:r>
      <w:proofErr w:type="spellEnd"/>
      <w:r>
        <w:rPr>
          <w:rFonts w:cs="Times New Roman"/>
          <w:b/>
          <w:i/>
          <w:iCs/>
          <w:color w:val="333333"/>
          <w:szCs w:val="21"/>
          <w:shd w:val="clear" w:color="auto" w:fill="FFFFFF"/>
        </w:rPr>
        <w:t xml:space="preserve"> </w:t>
      </w:r>
      <w:r>
        <w:rPr>
          <w:rFonts w:cs="Times New Roman"/>
          <w:b/>
        </w:rPr>
        <w:t>plantation forests in northern China.</w:t>
      </w:r>
    </w:p>
    <w:tbl>
      <w:tblPr>
        <w:tblStyle w:val="a7"/>
        <w:tblW w:w="0" w:type="auto"/>
        <w:jc w:val="center"/>
        <w:tblLook w:val="04A0" w:firstRow="1" w:lastRow="0" w:firstColumn="1" w:lastColumn="0" w:noHBand="0" w:noVBand="1"/>
      </w:tblPr>
      <w:tblGrid>
        <w:gridCol w:w="1701"/>
        <w:gridCol w:w="2127"/>
        <w:gridCol w:w="2268"/>
        <w:gridCol w:w="2200"/>
      </w:tblGrid>
      <w:tr w:rsidR="002624C5">
        <w:trPr>
          <w:jc w:val="center"/>
        </w:trPr>
        <w:tc>
          <w:tcPr>
            <w:tcW w:w="1701" w:type="dxa"/>
            <w:tcBorders>
              <w:top w:val="single" w:sz="12" w:space="0" w:color="auto"/>
              <w:left w:val="nil"/>
              <w:bottom w:val="single" w:sz="4" w:space="0" w:color="auto"/>
              <w:right w:val="nil"/>
            </w:tcBorders>
            <w:vAlign w:val="center"/>
          </w:tcPr>
          <w:p w:rsidR="002624C5" w:rsidRDefault="00BB3F2A">
            <w:pPr>
              <w:spacing w:line="300" w:lineRule="auto"/>
              <w:jc w:val="center"/>
              <w:rPr>
                <w:rFonts w:cs="Times New Roman"/>
              </w:rPr>
            </w:pPr>
            <w:r>
              <w:rPr>
                <w:rFonts w:cs="Times New Roman"/>
              </w:rPr>
              <w:t>Tree</w:t>
            </w:r>
          </w:p>
        </w:tc>
        <w:tc>
          <w:tcPr>
            <w:tcW w:w="2127" w:type="dxa"/>
            <w:tcBorders>
              <w:top w:val="single" w:sz="12" w:space="0" w:color="auto"/>
              <w:left w:val="nil"/>
              <w:bottom w:val="single" w:sz="4" w:space="0" w:color="auto"/>
              <w:right w:val="nil"/>
            </w:tcBorders>
            <w:vAlign w:val="center"/>
          </w:tcPr>
          <w:p w:rsidR="002624C5" w:rsidRDefault="00BB3F2A">
            <w:pPr>
              <w:spacing w:line="300" w:lineRule="auto"/>
              <w:jc w:val="center"/>
              <w:rPr>
                <w:rFonts w:cs="Times New Roman"/>
              </w:rPr>
            </w:pPr>
            <w:r>
              <w:rPr>
                <w:rFonts w:cs="Times New Roman"/>
              </w:rPr>
              <w:t>Age group</w:t>
            </w:r>
          </w:p>
        </w:tc>
        <w:tc>
          <w:tcPr>
            <w:tcW w:w="2268" w:type="dxa"/>
            <w:tcBorders>
              <w:top w:val="single" w:sz="12" w:space="0" w:color="auto"/>
              <w:left w:val="nil"/>
              <w:bottom w:val="single" w:sz="4" w:space="0" w:color="auto"/>
              <w:right w:val="nil"/>
            </w:tcBorders>
            <w:vAlign w:val="center"/>
          </w:tcPr>
          <w:p w:rsidR="002624C5" w:rsidRDefault="00BB3F2A">
            <w:pPr>
              <w:spacing w:line="300" w:lineRule="auto"/>
              <w:jc w:val="center"/>
              <w:rPr>
                <w:rFonts w:cs="Times New Roman"/>
              </w:rPr>
            </w:pPr>
            <w:r>
              <w:rPr>
                <w:rFonts w:cs="Times New Roman"/>
              </w:rPr>
              <w:t>Age(</w:t>
            </w:r>
            <w:proofErr w:type="spellStart"/>
            <w:r>
              <w:rPr>
                <w:rFonts w:cs="Times New Roman"/>
              </w:rPr>
              <w:t>yr</w:t>
            </w:r>
            <w:proofErr w:type="spellEnd"/>
            <w:r>
              <w:rPr>
                <w:rFonts w:cs="Times New Roman"/>
              </w:rPr>
              <w:t>)</w:t>
            </w:r>
          </w:p>
        </w:tc>
        <w:tc>
          <w:tcPr>
            <w:tcW w:w="2200" w:type="dxa"/>
            <w:tcBorders>
              <w:top w:val="single" w:sz="12" w:space="0" w:color="auto"/>
              <w:left w:val="nil"/>
              <w:bottom w:val="single" w:sz="4" w:space="0" w:color="auto"/>
              <w:right w:val="nil"/>
            </w:tcBorders>
            <w:vAlign w:val="center"/>
          </w:tcPr>
          <w:p w:rsidR="002624C5" w:rsidRDefault="00BB3F2A">
            <w:pPr>
              <w:spacing w:line="300" w:lineRule="auto"/>
              <w:jc w:val="center"/>
              <w:rPr>
                <w:rFonts w:cs="Times New Roman"/>
              </w:rPr>
            </w:pPr>
            <w:r>
              <w:rPr>
                <w:rFonts w:cs="Times New Roman"/>
              </w:rPr>
              <w:t>Age-class period(</w:t>
            </w:r>
            <w:proofErr w:type="spellStart"/>
            <w:r>
              <w:rPr>
                <w:rFonts w:cs="Times New Roman"/>
              </w:rPr>
              <w:t>yr</w:t>
            </w:r>
            <w:proofErr w:type="spellEnd"/>
            <w:r>
              <w:rPr>
                <w:rFonts w:cs="Times New Roman"/>
              </w:rPr>
              <w:t>)</w:t>
            </w:r>
          </w:p>
        </w:tc>
      </w:tr>
      <w:tr w:rsidR="002624C5">
        <w:trPr>
          <w:jc w:val="center"/>
        </w:trPr>
        <w:tc>
          <w:tcPr>
            <w:tcW w:w="1701" w:type="dxa"/>
            <w:vMerge w:val="restart"/>
            <w:tcBorders>
              <w:top w:val="single" w:sz="4" w:space="0" w:color="auto"/>
              <w:left w:val="nil"/>
              <w:bottom w:val="nil"/>
              <w:right w:val="nil"/>
            </w:tcBorders>
            <w:vAlign w:val="center"/>
          </w:tcPr>
          <w:p w:rsidR="002624C5" w:rsidRDefault="00BB3F2A">
            <w:pPr>
              <w:spacing w:line="300" w:lineRule="auto"/>
              <w:jc w:val="center"/>
              <w:rPr>
                <w:rFonts w:cs="Times New Roman"/>
              </w:rPr>
            </w:pPr>
            <w:proofErr w:type="spellStart"/>
            <w:r>
              <w:rPr>
                <w:rFonts w:cs="Times New Roman"/>
                <w:i/>
                <w:iCs/>
                <w:color w:val="333333"/>
                <w:szCs w:val="21"/>
                <w:shd w:val="clear" w:color="auto" w:fill="FFFFFF"/>
              </w:rPr>
              <w:t>Pinus</w:t>
            </w:r>
            <w:proofErr w:type="spellEnd"/>
            <w:r>
              <w:rPr>
                <w:rFonts w:cs="Times New Roman"/>
                <w:i/>
                <w:iCs/>
                <w:color w:val="333333"/>
                <w:szCs w:val="21"/>
                <w:shd w:val="clear" w:color="auto" w:fill="FFFFFF"/>
              </w:rPr>
              <w:t xml:space="preserve"> </w:t>
            </w:r>
            <w:proofErr w:type="spellStart"/>
            <w:r>
              <w:rPr>
                <w:rFonts w:cs="Times New Roman"/>
                <w:i/>
                <w:iCs/>
                <w:color w:val="333333"/>
                <w:szCs w:val="21"/>
                <w:shd w:val="clear" w:color="auto" w:fill="FFFFFF"/>
              </w:rPr>
              <w:t>sylvestris</w:t>
            </w:r>
            <w:proofErr w:type="spellEnd"/>
            <w:r>
              <w:rPr>
                <w:rFonts w:cs="Times New Roman"/>
                <w:i/>
                <w:iCs/>
                <w:color w:val="333333"/>
                <w:szCs w:val="21"/>
                <w:shd w:val="clear" w:color="auto" w:fill="FFFFFF"/>
              </w:rPr>
              <w:t xml:space="preserve"> var. </w:t>
            </w:r>
            <w:proofErr w:type="spellStart"/>
            <w:r>
              <w:rPr>
                <w:rFonts w:cs="Times New Roman"/>
                <w:i/>
                <w:iCs/>
                <w:color w:val="333333"/>
                <w:szCs w:val="21"/>
                <w:shd w:val="clear" w:color="auto" w:fill="FFFFFF"/>
              </w:rPr>
              <w:t>mongholica</w:t>
            </w:r>
            <w:proofErr w:type="spellEnd"/>
            <w:r>
              <w:rPr>
                <w:rFonts w:cs="Times New Roman"/>
                <w:i/>
                <w:iCs/>
                <w:color w:val="333333"/>
                <w:szCs w:val="21"/>
                <w:shd w:val="clear" w:color="auto" w:fill="FFFFFF"/>
              </w:rPr>
              <w:t xml:space="preserve"> </w:t>
            </w:r>
          </w:p>
        </w:tc>
        <w:tc>
          <w:tcPr>
            <w:tcW w:w="2127" w:type="dxa"/>
            <w:tcBorders>
              <w:top w:val="single" w:sz="4" w:space="0" w:color="auto"/>
              <w:left w:val="nil"/>
              <w:bottom w:val="nil"/>
              <w:right w:val="nil"/>
            </w:tcBorders>
            <w:vAlign w:val="center"/>
          </w:tcPr>
          <w:p w:rsidR="002624C5" w:rsidRDefault="00BB3F2A">
            <w:pPr>
              <w:spacing w:line="300" w:lineRule="auto"/>
              <w:jc w:val="center"/>
              <w:rPr>
                <w:rFonts w:cs="Times New Roman"/>
              </w:rPr>
            </w:pPr>
            <w:r>
              <w:rPr>
                <w:rFonts w:cs="Times New Roman" w:hint="eastAsia"/>
              </w:rPr>
              <w:t>Y</w:t>
            </w:r>
            <w:r>
              <w:rPr>
                <w:rFonts w:cs="Times New Roman"/>
              </w:rPr>
              <w:t>S</w:t>
            </w:r>
          </w:p>
        </w:tc>
        <w:tc>
          <w:tcPr>
            <w:tcW w:w="2268" w:type="dxa"/>
            <w:tcBorders>
              <w:top w:val="single" w:sz="4" w:space="0" w:color="auto"/>
              <w:left w:val="nil"/>
              <w:bottom w:val="nil"/>
              <w:right w:val="nil"/>
            </w:tcBorders>
            <w:vAlign w:val="center"/>
          </w:tcPr>
          <w:p w:rsidR="002624C5" w:rsidRDefault="00BB3F2A">
            <w:pPr>
              <w:spacing w:line="300" w:lineRule="auto"/>
              <w:jc w:val="center"/>
              <w:rPr>
                <w:rFonts w:cs="Times New Roman"/>
              </w:rPr>
            </w:pPr>
            <w:r>
              <w:rPr>
                <w:rFonts w:cs="Times New Roman"/>
              </w:rPr>
              <w:t>≤20</w:t>
            </w:r>
          </w:p>
        </w:tc>
        <w:tc>
          <w:tcPr>
            <w:tcW w:w="2200" w:type="dxa"/>
            <w:vMerge w:val="restart"/>
            <w:tcBorders>
              <w:top w:val="single" w:sz="4" w:space="0" w:color="auto"/>
              <w:left w:val="nil"/>
              <w:bottom w:val="nil"/>
              <w:right w:val="nil"/>
            </w:tcBorders>
            <w:vAlign w:val="center"/>
          </w:tcPr>
          <w:p w:rsidR="002624C5" w:rsidRDefault="00BB3F2A">
            <w:pPr>
              <w:spacing w:line="300" w:lineRule="auto"/>
              <w:jc w:val="center"/>
              <w:rPr>
                <w:rFonts w:cs="Times New Roman"/>
              </w:rPr>
            </w:pPr>
            <w:r>
              <w:rPr>
                <w:rFonts w:cs="Times New Roman"/>
              </w:rPr>
              <w:t>10</w:t>
            </w:r>
          </w:p>
        </w:tc>
      </w:tr>
      <w:tr w:rsidR="002624C5">
        <w:trPr>
          <w:jc w:val="center"/>
        </w:trPr>
        <w:tc>
          <w:tcPr>
            <w:tcW w:w="1701" w:type="dxa"/>
            <w:vMerge/>
            <w:tcBorders>
              <w:top w:val="nil"/>
              <w:left w:val="nil"/>
              <w:bottom w:val="nil"/>
              <w:right w:val="nil"/>
            </w:tcBorders>
            <w:vAlign w:val="center"/>
          </w:tcPr>
          <w:p w:rsidR="002624C5" w:rsidRDefault="002624C5">
            <w:pPr>
              <w:spacing w:line="300" w:lineRule="auto"/>
              <w:jc w:val="center"/>
              <w:rPr>
                <w:rFonts w:cs="Times New Roman"/>
              </w:rPr>
            </w:pPr>
          </w:p>
        </w:tc>
        <w:tc>
          <w:tcPr>
            <w:tcW w:w="2127" w:type="dxa"/>
            <w:tcBorders>
              <w:top w:val="nil"/>
              <w:left w:val="nil"/>
              <w:bottom w:val="nil"/>
              <w:right w:val="nil"/>
            </w:tcBorders>
            <w:vAlign w:val="center"/>
          </w:tcPr>
          <w:p w:rsidR="002624C5" w:rsidRDefault="00BB3F2A">
            <w:pPr>
              <w:spacing w:line="300" w:lineRule="auto"/>
              <w:jc w:val="center"/>
              <w:rPr>
                <w:rFonts w:cs="Times New Roman"/>
              </w:rPr>
            </w:pPr>
            <w:r>
              <w:rPr>
                <w:rFonts w:cs="Times New Roman" w:hint="eastAsia"/>
              </w:rPr>
              <w:t>H</w:t>
            </w:r>
            <w:r>
              <w:rPr>
                <w:rFonts w:cs="Times New Roman"/>
              </w:rPr>
              <w:t>MS</w:t>
            </w:r>
          </w:p>
        </w:tc>
        <w:tc>
          <w:tcPr>
            <w:tcW w:w="2268" w:type="dxa"/>
            <w:tcBorders>
              <w:top w:val="nil"/>
              <w:left w:val="nil"/>
              <w:bottom w:val="nil"/>
              <w:right w:val="nil"/>
            </w:tcBorders>
            <w:vAlign w:val="center"/>
          </w:tcPr>
          <w:p w:rsidR="002624C5" w:rsidRDefault="00BB3F2A">
            <w:pPr>
              <w:spacing w:line="300" w:lineRule="auto"/>
              <w:jc w:val="center"/>
              <w:rPr>
                <w:rFonts w:cs="Times New Roman"/>
              </w:rPr>
            </w:pPr>
            <w:r>
              <w:rPr>
                <w:rFonts w:cs="Times New Roman"/>
              </w:rPr>
              <w:t>21-30</w:t>
            </w:r>
          </w:p>
        </w:tc>
        <w:tc>
          <w:tcPr>
            <w:tcW w:w="2200" w:type="dxa"/>
            <w:vMerge/>
            <w:tcBorders>
              <w:top w:val="nil"/>
              <w:left w:val="nil"/>
              <w:bottom w:val="nil"/>
              <w:right w:val="nil"/>
            </w:tcBorders>
            <w:vAlign w:val="center"/>
          </w:tcPr>
          <w:p w:rsidR="002624C5" w:rsidRDefault="002624C5">
            <w:pPr>
              <w:spacing w:line="300" w:lineRule="auto"/>
              <w:jc w:val="center"/>
              <w:rPr>
                <w:rFonts w:cs="Times New Roman"/>
              </w:rPr>
            </w:pPr>
          </w:p>
        </w:tc>
      </w:tr>
      <w:tr w:rsidR="002624C5">
        <w:trPr>
          <w:jc w:val="center"/>
        </w:trPr>
        <w:tc>
          <w:tcPr>
            <w:tcW w:w="1701" w:type="dxa"/>
            <w:vMerge/>
            <w:tcBorders>
              <w:top w:val="nil"/>
              <w:left w:val="nil"/>
              <w:bottom w:val="nil"/>
              <w:right w:val="nil"/>
            </w:tcBorders>
            <w:vAlign w:val="center"/>
          </w:tcPr>
          <w:p w:rsidR="002624C5" w:rsidRDefault="002624C5">
            <w:pPr>
              <w:spacing w:line="300" w:lineRule="auto"/>
              <w:jc w:val="center"/>
              <w:rPr>
                <w:rFonts w:cs="Times New Roman"/>
              </w:rPr>
            </w:pPr>
          </w:p>
        </w:tc>
        <w:tc>
          <w:tcPr>
            <w:tcW w:w="2127" w:type="dxa"/>
            <w:tcBorders>
              <w:top w:val="nil"/>
              <w:left w:val="nil"/>
              <w:bottom w:val="nil"/>
              <w:right w:val="nil"/>
            </w:tcBorders>
            <w:vAlign w:val="center"/>
          </w:tcPr>
          <w:p w:rsidR="002624C5" w:rsidRDefault="00BB3F2A">
            <w:pPr>
              <w:spacing w:line="300" w:lineRule="auto"/>
              <w:jc w:val="center"/>
              <w:rPr>
                <w:rFonts w:cs="Times New Roman"/>
              </w:rPr>
            </w:pPr>
            <w:r>
              <w:rPr>
                <w:rFonts w:cs="Times New Roman" w:hint="eastAsia"/>
              </w:rPr>
              <w:t>N</w:t>
            </w:r>
            <w:r>
              <w:rPr>
                <w:rFonts w:cs="Times New Roman"/>
              </w:rPr>
              <w:t>MS</w:t>
            </w:r>
          </w:p>
        </w:tc>
        <w:tc>
          <w:tcPr>
            <w:tcW w:w="2268" w:type="dxa"/>
            <w:tcBorders>
              <w:top w:val="nil"/>
              <w:left w:val="nil"/>
              <w:bottom w:val="nil"/>
              <w:right w:val="nil"/>
            </w:tcBorders>
            <w:vAlign w:val="center"/>
          </w:tcPr>
          <w:p w:rsidR="002624C5" w:rsidRDefault="00BB3F2A">
            <w:pPr>
              <w:spacing w:line="300" w:lineRule="auto"/>
              <w:jc w:val="center"/>
              <w:rPr>
                <w:rFonts w:cs="Times New Roman"/>
              </w:rPr>
            </w:pPr>
            <w:r>
              <w:rPr>
                <w:rFonts w:cs="Times New Roman"/>
              </w:rPr>
              <w:t>31-40</w:t>
            </w:r>
          </w:p>
        </w:tc>
        <w:tc>
          <w:tcPr>
            <w:tcW w:w="2200" w:type="dxa"/>
            <w:vMerge/>
            <w:tcBorders>
              <w:top w:val="nil"/>
              <w:left w:val="nil"/>
              <w:bottom w:val="nil"/>
              <w:right w:val="nil"/>
            </w:tcBorders>
            <w:vAlign w:val="center"/>
          </w:tcPr>
          <w:p w:rsidR="002624C5" w:rsidRDefault="002624C5">
            <w:pPr>
              <w:spacing w:line="300" w:lineRule="auto"/>
              <w:jc w:val="center"/>
              <w:rPr>
                <w:rFonts w:cs="Times New Roman"/>
              </w:rPr>
            </w:pPr>
          </w:p>
        </w:tc>
      </w:tr>
      <w:tr w:rsidR="002624C5">
        <w:trPr>
          <w:jc w:val="center"/>
        </w:trPr>
        <w:tc>
          <w:tcPr>
            <w:tcW w:w="1701" w:type="dxa"/>
            <w:vMerge/>
            <w:tcBorders>
              <w:top w:val="nil"/>
              <w:left w:val="nil"/>
              <w:bottom w:val="nil"/>
              <w:right w:val="nil"/>
            </w:tcBorders>
            <w:vAlign w:val="center"/>
          </w:tcPr>
          <w:p w:rsidR="002624C5" w:rsidRDefault="002624C5">
            <w:pPr>
              <w:spacing w:line="300" w:lineRule="auto"/>
              <w:jc w:val="center"/>
              <w:rPr>
                <w:rFonts w:cs="Times New Roman"/>
              </w:rPr>
            </w:pPr>
          </w:p>
        </w:tc>
        <w:tc>
          <w:tcPr>
            <w:tcW w:w="2127" w:type="dxa"/>
            <w:tcBorders>
              <w:top w:val="nil"/>
              <w:left w:val="nil"/>
              <w:bottom w:val="nil"/>
              <w:right w:val="nil"/>
            </w:tcBorders>
            <w:vAlign w:val="center"/>
          </w:tcPr>
          <w:p w:rsidR="002624C5" w:rsidRDefault="00BB3F2A">
            <w:pPr>
              <w:spacing w:line="300" w:lineRule="auto"/>
              <w:jc w:val="center"/>
              <w:rPr>
                <w:rFonts w:cs="Times New Roman"/>
              </w:rPr>
            </w:pPr>
            <w:r>
              <w:rPr>
                <w:rFonts w:cs="Times New Roman" w:hint="eastAsia"/>
              </w:rPr>
              <w:t>M</w:t>
            </w:r>
            <w:r>
              <w:rPr>
                <w:rFonts w:cs="Times New Roman"/>
              </w:rPr>
              <w:t>S</w:t>
            </w:r>
          </w:p>
        </w:tc>
        <w:tc>
          <w:tcPr>
            <w:tcW w:w="2268" w:type="dxa"/>
            <w:tcBorders>
              <w:top w:val="nil"/>
              <w:left w:val="nil"/>
              <w:bottom w:val="nil"/>
              <w:right w:val="nil"/>
            </w:tcBorders>
            <w:vAlign w:val="center"/>
          </w:tcPr>
          <w:p w:rsidR="002624C5" w:rsidRDefault="00BB3F2A">
            <w:pPr>
              <w:spacing w:line="300" w:lineRule="auto"/>
              <w:jc w:val="center"/>
              <w:rPr>
                <w:rFonts w:cs="Times New Roman"/>
              </w:rPr>
            </w:pPr>
            <w:r>
              <w:rPr>
                <w:rFonts w:cs="Times New Roman"/>
              </w:rPr>
              <w:t>41-60</w:t>
            </w:r>
          </w:p>
        </w:tc>
        <w:tc>
          <w:tcPr>
            <w:tcW w:w="2200" w:type="dxa"/>
            <w:vMerge/>
            <w:tcBorders>
              <w:top w:val="nil"/>
              <w:left w:val="nil"/>
              <w:bottom w:val="nil"/>
              <w:right w:val="nil"/>
            </w:tcBorders>
            <w:vAlign w:val="center"/>
          </w:tcPr>
          <w:p w:rsidR="002624C5" w:rsidRDefault="002624C5">
            <w:pPr>
              <w:spacing w:line="300" w:lineRule="auto"/>
              <w:jc w:val="center"/>
              <w:rPr>
                <w:rFonts w:cs="Times New Roman"/>
              </w:rPr>
            </w:pPr>
          </w:p>
        </w:tc>
      </w:tr>
      <w:tr w:rsidR="002624C5">
        <w:trPr>
          <w:jc w:val="center"/>
        </w:trPr>
        <w:tc>
          <w:tcPr>
            <w:tcW w:w="1701" w:type="dxa"/>
            <w:vMerge/>
            <w:tcBorders>
              <w:top w:val="nil"/>
              <w:left w:val="nil"/>
              <w:bottom w:val="single" w:sz="12" w:space="0" w:color="auto"/>
              <w:right w:val="nil"/>
            </w:tcBorders>
            <w:vAlign w:val="center"/>
          </w:tcPr>
          <w:p w:rsidR="002624C5" w:rsidRDefault="002624C5">
            <w:pPr>
              <w:spacing w:line="300" w:lineRule="auto"/>
              <w:jc w:val="center"/>
              <w:rPr>
                <w:rFonts w:cs="Times New Roman"/>
              </w:rPr>
            </w:pPr>
          </w:p>
        </w:tc>
        <w:tc>
          <w:tcPr>
            <w:tcW w:w="2127" w:type="dxa"/>
            <w:tcBorders>
              <w:top w:val="nil"/>
              <w:left w:val="nil"/>
              <w:bottom w:val="single" w:sz="12" w:space="0" w:color="auto"/>
              <w:right w:val="nil"/>
            </w:tcBorders>
            <w:vAlign w:val="center"/>
          </w:tcPr>
          <w:p w:rsidR="002624C5" w:rsidRDefault="00BB3F2A">
            <w:pPr>
              <w:spacing w:line="300" w:lineRule="auto"/>
              <w:jc w:val="center"/>
              <w:rPr>
                <w:rFonts w:cs="Times New Roman"/>
              </w:rPr>
            </w:pPr>
            <w:r>
              <w:rPr>
                <w:rFonts w:cs="Times New Roman" w:hint="eastAsia"/>
              </w:rPr>
              <w:t>O</w:t>
            </w:r>
            <w:r>
              <w:rPr>
                <w:rFonts w:cs="Times New Roman"/>
              </w:rPr>
              <w:t>MS</w:t>
            </w:r>
          </w:p>
        </w:tc>
        <w:tc>
          <w:tcPr>
            <w:tcW w:w="2268" w:type="dxa"/>
            <w:tcBorders>
              <w:top w:val="nil"/>
              <w:left w:val="nil"/>
              <w:bottom w:val="single" w:sz="12" w:space="0" w:color="auto"/>
              <w:right w:val="nil"/>
            </w:tcBorders>
            <w:vAlign w:val="center"/>
          </w:tcPr>
          <w:p w:rsidR="002624C5" w:rsidRDefault="00BB3F2A">
            <w:pPr>
              <w:spacing w:line="300" w:lineRule="auto"/>
              <w:jc w:val="center"/>
              <w:rPr>
                <w:rFonts w:cs="Times New Roman"/>
              </w:rPr>
            </w:pPr>
            <w:r>
              <w:rPr>
                <w:rFonts w:cs="Times New Roman"/>
              </w:rPr>
              <w:t>≥61</w:t>
            </w:r>
          </w:p>
        </w:tc>
        <w:tc>
          <w:tcPr>
            <w:tcW w:w="2200" w:type="dxa"/>
            <w:vMerge/>
            <w:tcBorders>
              <w:top w:val="nil"/>
              <w:left w:val="nil"/>
              <w:bottom w:val="single" w:sz="12" w:space="0" w:color="auto"/>
              <w:right w:val="nil"/>
            </w:tcBorders>
            <w:vAlign w:val="center"/>
          </w:tcPr>
          <w:p w:rsidR="002624C5" w:rsidRDefault="002624C5">
            <w:pPr>
              <w:spacing w:line="300" w:lineRule="auto"/>
              <w:jc w:val="center"/>
              <w:rPr>
                <w:rFonts w:cs="Times New Roman"/>
              </w:rPr>
            </w:pPr>
          </w:p>
        </w:tc>
      </w:tr>
    </w:tbl>
    <w:p w:rsidR="002624C5" w:rsidRDefault="00BB3F2A">
      <w:pPr>
        <w:rPr>
          <w:rFonts w:cs="Times New Roman"/>
          <w:sz w:val="21"/>
          <w:szCs w:val="21"/>
        </w:rPr>
      </w:pPr>
      <w:r>
        <w:rPr>
          <w:rFonts w:cs="Times New Roman"/>
          <w:sz w:val="21"/>
          <w:szCs w:val="21"/>
        </w:rPr>
        <w:t>The species name, age group, age and age duration in the table are derived from the National Forestry Administration ‘Classification of Major Tree Species into Age Levels and Age Groups (LY/T2908-2017)’, with YS, HMS, NMS, MS</w:t>
      </w:r>
      <w:r>
        <w:rPr>
          <w:rFonts w:cs="Times New Roman"/>
          <w:sz w:val="21"/>
          <w:szCs w:val="21"/>
        </w:rPr>
        <w:t xml:space="preserve"> and OMS denote young, half-mature, near-mature, mature and over-mature forests, respectively.</w:t>
      </w:r>
    </w:p>
    <w:p w:rsidR="002624C5" w:rsidRDefault="00BB3F2A">
      <w:pPr>
        <w:rPr>
          <w:rFonts w:cs="Times New Roman"/>
          <w:b/>
          <w:bCs/>
          <w:szCs w:val="24"/>
        </w:rPr>
      </w:pPr>
      <w:r>
        <w:rPr>
          <w:rFonts w:cs="Times New Roman" w:hint="eastAsia"/>
          <w:b/>
          <w:bCs/>
          <w:szCs w:val="24"/>
        </w:rPr>
        <w:t>2.</w:t>
      </w:r>
    </w:p>
    <w:p w:rsidR="002624C5" w:rsidRDefault="00BB3F2A">
      <w:pPr>
        <w:jc w:val="center"/>
      </w:pPr>
      <w:r>
        <w:rPr>
          <w:rFonts w:cs="Times New Roman"/>
          <w:b/>
          <w:noProof/>
          <w:szCs w:val="21"/>
        </w:rPr>
        <w:drawing>
          <wp:inline distT="0" distB="0" distL="0" distR="0">
            <wp:extent cx="4175760" cy="377888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175760" cy="3778885"/>
                    </a:xfrm>
                    <a:prstGeom prst="rect">
                      <a:avLst/>
                    </a:prstGeom>
                  </pic:spPr>
                </pic:pic>
              </a:graphicData>
            </a:graphic>
          </wp:inline>
        </w:drawing>
      </w:r>
    </w:p>
    <w:p w:rsidR="002624C5" w:rsidRDefault="00BB3F2A">
      <w:pPr>
        <w:jc w:val="center"/>
        <w:rPr>
          <w:rFonts w:cs="Times New Roman"/>
          <w:b/>
          <w:szCs w:val="24"/>
        </w:rPr>
      </w:pPr>
      <w:r w:rsidRPr="00BB3F2A">
        <w:rPr>
          <w:rFonts w:cs="Times New Roman"/>
          <w:b/>
          <w:szCs w:val="24"/>
        </w:rPr>
        <w:t>Supplement</w:t>
      </w:r>
      <w:r>
        <w:rPr>
          <w:rFonts w:cs="Times New Roman"/>
          <w:b/>
          <w:szCs w:val="24"/>
        </w:rPr>
        <w:t xml:space="preserve"> </w:t>
      </w:r>
      <w:r>
        <w:rPr>
          <w:rFonts w:cs="Times New Roman"/>
          <w:b/>
          <w:szCs w:val="24"/>
        </w:rPr>
        <w:t xml:space="preserve">Figure </w:t>
      </w:r>
      <w:r>
        <w:rPr>
          <w:rFonts w:cs="Times New Roman" w:hint="eastAsia"/>
          <w:b/>
          <w:szCs w:val="24"/>
        </w:rPr>
        <w:t>1</w:t>
      </w:r>
      <w:r>
        <w:rPr>
          <w:rFonts w:cs="Times New Roman"/>
          <w:b/>
          <w:szCs w:val="24"/>
        </w:rPr>
        <w:t>: Principal component analysis (PCA) of Scotch pine</w:t>
      </w:r>
      <w:r>
        <w:rPr>
          <w:rFonts w:cs="Times New Roman"/>
          <w:b/>
          <w:szCs w:val="24"/>
        </w:rPr>
        <w:t xml:space="preserve"> biomass and C content in different densities of near-mature forests.</w:t>
      </w:r>
    </w:p>
    <w:p w:rsidR="002624C5" w:rsidRDefault="00BB3F2A">
      <w:pPr>
        <w:rPr>
          <w:rFonts w:cs="Times New Roman"/>
          <w:szCs w:val="21"/>
        </w:rPr>
      </w:pPr>
      <w:r>
        <w:rPr>
          <w:rFonts w:cs="Times New Roman"/>
          <w:szCs w:val="21"/>
        </w:rPr>
        <w:t xml:space="preserve">HD, MD, and LD denote high, </w:t>
      </w:r>
      <w:r>
        <w:rPr>
          <w:rFonts w:cs="Times New Roman"/>
          <w:szCs w:val="21"/>
        </w:rPr>
        <w:t>medium, and low densities, respectively, and PC1 in the axis labels denotes the first principal component, PC2 denotes the second, and PC3 denotes the third. The percentage of principal components denotes the variance explained by the axes.</w:t>
      </w:r>
    </w:p>
    <w:p w:rsidR="002624C5" w:rsidRDefault="00BB3F2A">
      <w:pPr>
        <w:rPr>
          <w:rFonts w:cs="Times New Roman"/>
          <w:b/>
          <w:bCs/>
          <w:szCs w:val="21"/>
        </w:rPr>
      </w:pPr>
      <w:r>
        <w:rPr>
          <w:rFonts w:cs="Times New Roman" w:hint="eastAsia"/>
          <w:b/>
          <w:bCs/>
          <w:szCs w:val="21"/>
        </w:rPr>
        <w:t>3.</w:t>
      </w:r>
    </w:p>
    <w:p w:rsidR="002624C5" w:rsidRDefault="00BB3F2A">
      <w:pPr>
        <w:jc w:val="center"/>
        <w:rPr>
          <w:rFonts w:cs="Times New Roman"/>
          <w:b/>
          <w:bCs/>
          <w:szCs w:val="21"/>
        </w:rPr>
      </w:pPr>
      <w:r>
        <w:rPr>
          <w:rFonts w:cs="Times New Roman"/>
          <w:b/>
          <w:noProof/>
          <w:szCs w:val="21"/>
        </w:rPr>
        <w:lastRenderedPageBreak/>
        <w:drawing>
          <wp:inline distT="0" distB="0" distL="0" distR="0">
            <wp:extent cx="4076700" cy="3121025"/>
            <wp:effectExtent l="0" t="0" r="762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076700" cy="3121025"/>
                    </a:xfrm>
                    <a:prstGeom prst="rect">
                      <a:avLst/>
                    </a:prstGeom>
                  </pic:spPr>
                </pic:pic>
              </a:graphicData>
            </a:graphic>
          </wp:inline>
        </w:drawing>
      </w:r>
      <w:r>
        <w:rPr>
          <w:rFonts w:cs="Times New Roman" w:hint="eastAsia"/>
          <w:b/>
          <w:bCs/>
          <w:szCs w:val="21"/>
        </w:rPr>
        <w:t>.</w:t>
      </w:r>
    </w:p>
    <w:p w:rsidR="002624C5" w:rsidRDefault="00BB3F2A">
      <w:pPr>
        <w:jc w:val="center"/>
        <w:rPr>
          <w:rFonts w:cs="Times New Roman"/>
          <w:b/>
          <w:szCs w:val="24"/>
        </w:rPr>
      </w:pPr>
      <w:r w:rsidRPr="00BB3F2A">
        <w:rPr>
          <w:rFonts w:cs="Times New Roman"/>
          <w:b/>
          <w:szCs w:val="24"/>
        </w:rPr>
        <w:t>Supplement</w:t>
      </w:r>
      <w:r>
        <w:rPr>
          <w:rFonts w:cs="Times New Roman"/>
          <w:b/>
          <w:szCs w:val="24"/>
        </w:rPr>
        <w:t xml:space="preserve"> </w:t>
      </w:r>
      <w:r>
        <w:rPr>
          <w:rFonts w:cs="Times New Roman"/>
          <w:b/>
          <w:szCs w:val="24"/>
        </w:rPr>
        <w:t xml:space="preserve">Figure </w:t>
      </w:r>
      <w:r>
        <w:rPr>
          <w:rFonts w:cs="Times New Roman" w:hint="eastAsia"/>
          <w:b/>
          <w:szCs w:val="24"/>
        </w:rPr>
        <w:t>2</w:t>
      </w:r>
      <w:r>
        <w:rPr>
          <w:rFonts w:cs="Times New Roman"/>
          <w:b/>
          <w:szCs w:val="24"/>
        </w:rPr>
        <w:t>:</w:t>
      </w:r>
      <w:r>
        <w:rPr>
          <w:rFonts w:cs="Times New Roman"/>
          <w:b/>
          <w:szCs w:val="24"/>
        </w:rPr>
        <w:t xml:space="preserve"> Principal component analysis (PCA) of biomass and C content of Scotch pine</w:t>
      </w:r>
      <w:r>
        <w:rPr>
          <w:rFonts w:cs="Times New Roman"/>
          <w:b/>
          <w:szCs w:val="24"/>
        </w:rPr>
        <w:t xml:space="preserve"> in mature forests of different densities.</w:t>
      </w:r>
    </w:p>
    <w:p w:rsidR="002624C5" w:rsidRDefault="00BB3F2A">
      <w:pPr>
        <w:rPr>
          <w:rFonts w:cs="Times New Roman"/>
          <w:szCs w:val="21"/>
        </w:rPr>
      </w:pPr>
      <w:r>
        <w:rPr>
          <w:rFonts w:cs="Times New Roman"/>
          <w:szCs w:val="21"/>
        </w:rPr>
        <w:t>HD, MD, and LD denote high, medium, and low densities, respectively; PC1 in the axis labels denotes the first principal component, PC2 denotes th</w:t>
      </w:r>
      <w:r>
        <w:rPr>
          <w:rFonts w:cs="Times New Roman"/>
          <w:szCs w:val="21"/>
        </w:rPr>
        <w:t>e second principal component, and percentages denote the variance explained by the axes.</w:t>
      </w:r>
    </w:p>
    <w:p w:rsidR="002624C5" w:rsidRDefault="00BB3F2A">
      <w:pPr>
        <w:rPr>
          <w:b/>
          <w:bCs/>
        </w:rPr>
      </w:pPr>
      <w:r>
        <w:rPr>
          <w:rFonts w:hint="eastAsia"/>
          <w:b/>
          <w:bCs/>
        </w:rPr>
        <w:t>4.</w:t>
      </w:r>
    </w:p>
    <w:p w:rsidR="002624C5" w:rsidRDefault="00BB3F2A">
      <w:pPr>
        <w:jc w:val="center"/>
      </w:pPr>
      <w:r>
        <w:rPr>
          <w:noProof/>
        </w:rPr>
        <w:drawing>
          <wp:inline distT="0" distB="0" distL="0" distR="0">
            <wp:extent cx="3582035" cy="35712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82035" cy="3571240"/>
                    </a:xfrm>
                    <a:prstGeom prst="rect">
                      <a:avLst/>
                    </a:prstGeom>
                    <a:noFill/>
                    <a:ln>
                      <a:noFill/>
                    </a:ln>
                  </pic:spPr>
                </pic:pic>
              </a:graphicData>
            </a:graphic>
          </wp:inline>
        </w:drawing>
      </w:r>
    </w:p>
    <w:p w:rsidR="002624C5" w:rsidRDefault="00BB3F2A">
      <w:pPr>
        <w:jc w:val="center"/>
        <w:rPr>
          <w:rFonts w:cs="Times New Roman"/>
          <w:b/>
          <w:szCs w:val="24"/>
        </w:rPr>
      </w:pPr>
      <w:r w:rsidRPr="00BB3F2A">
        <w:rPr>
          <w:rFonts w:cs="Times New Roman"/>
          <w:b/>
          <w:szCs w:val="24"/>
        </w:rPr>
        <w:t>Supplement</w:t>
      </w:r>
      <w:r>
        <w:rPr>
          <w:rFonts w:cs="Times New Roman"/>
          <w:b/>
          <w:szCs w:val="24"/>
        </w:rPr>
        <w:t xml:space="preserve"> </w:t>
      </w:r>
      <w:r>
        <w:rPr>
          <w:rFonts w:cs="Times New Roman"/>
          <w:b/>
          <w:szCs w:val="24"/>
        </w:rPr>
        <w:t xml:space="preserve">Figure </w:t>
      </w:r>
      <w:r>
        <w:rPr>
          <w:rFonts w:cs="Times New Roman" w:hint="eastAsia"/>
          <w:b/>
          <w:szCs w:val="24"/>
        </w:rPr>
        <w:t>3</w:t>
      </w:r>
      <w:r>
        <w:rPr>
          <w:rFonts w:cs="Times New Roman"/>
          <w:b/>
          <w:szCs w:val="24"/>
        </w:rPr>
        <w:t>: Distribution of carbon stock in Scotch pine</w:t>
      </w:r>
      <w:r>
        <w:rPr>
          <w:rFonts w:cs="Times New Roman"/>
          <w:b/>
          <w:szCs w:val="24"/>
        </w:rPr>
        <w:t xml:space="preserve"> in the serious land sanding area in western Liaoning Province.</w:t>
      </w:r>
    </w:p>
    <w:p w:rsidR="002624C5" w:rsidRDefault="00BB3F2A">
      <w:r>
        <w:rPr>
          <w:rFonts w:cs="Times New Roman"/>
          <w:szCs w:val="21"/>
        </w:rPr>
        <w:t>The yellow-brown color in the figure indicates sever</w:t>
      </w:r>
      <w:r>
        <w:rPr>
          <w:rFonts w:cs="Times New Roman"/>
          <w:szCs w:val="21"/>
        </w:rPr>
        <w:t xml:space="preserve">e land sanding areas and different </w:t>
      </w:r>
      <w:r>
        <w:rPr>
          <w:rFonts w:cs="Times New Roman"/>
          <w:szCs w:val="21"/>
        </w:rPr>
        <w:lastRenderedPageBreak/>
        <w:t>colors indicate carbon stocks at different levels.</w:t>
      </w:r>
    </w:p>
    <w:p w:rsidR="002624C5" w:rsidRDefault="00BB3F2A">
      <w:pPr>
        <w:rPr>
          <w:b/>
          <w:bCs/>
          <w:szCs w:val="24"/>
        </w:rPr>
      </w:pPr>
      <w:r>
        <w:rPr>
          <w:rFonts w:hint="eastAsia"/>
          <w:b/>
          <w:bCs/>
          <w:szCs w:val="24"/>
        </w:rPr>
        <w:t>5.</w:t>
      </w:r>
    </w:p>
    <w:p w:rsidR="002624C5" w:rsidRDefault="00BB3F2A">
      <w:pPr>
        <w:rPr>
          <w:szCs w:val="24"/>
        </w:rPr>
      </w:pPr>
      <w:r>
        <w:rPr>
          <w:szCs w:val="24"/>
        </w:rPr>
        <w:t>The raw data of carbon stock in</w:t>
      </w:r>
      <w:r>
        <w:rPr>
          <w:rFonts w:hint="eastAsia"/>
          <w:szCs w:val="24"/>
        </w:rPr>
        <w:t xml:space="preserve"> </w:t>
      </w:r>
      <w:proofErr w:type="spellStart"/>
      <w:r>
        <w:rPr>
          <w:rFonts w:cs="Times New Roman"/>
          <w:i/>
          <w:szCs w:val="24"/>
        </w:rPr>
        <w:t>Pinus</w:t>
      </w:r>
      <w:proofErr w:type="spellEnd"/>
      <w:r>
        <w:rPr>
          <w:rFonts w:cs="Times New Roman"/>
          <w:i/>
          <w:szCs w:val="24"/>
        </w:rPr>
        <w:t xml:space="preserve"> </w:t>
      </w:r>
      <w:proofErr w:type="spellStart"/>
      <w:r>
        <w:rPr>
          <w:rFonts w:cs="Times New Roman"/>
          <w:i/>
          <w:szCs w:val="24"/>
        </w:rPr>
        <w:t>sylvestris</w:t>
      </w:r>
      <w:proofErr w:type="spellEnd"/>
      <w:r>
        <w:rPr>
          <w:rFonts w:cs="Times New Roman"/>
          <w:szCs w:val="24"/>
        </w:rPr>
        <w:t xml:space="preserve"> var. </w:t>
      </w:r>
      <w:proofErr w:type="spellStart"/>
      <w:r>
        <w:rPr>
          <w:rFonts w:cs="Times New Roman"/>
          <w:i/>
          <w:szCs w:val="24"/>
        </w:rPr>
        <w:t>mongholica</w:t>
      </w:r>
      <w:proofErr w:type="spellEnd"/>
      <w:r>
        <w:rPr>
          <w:szCs w:val="24"/>
        </w:rPr>
        <w:t xml:space="preserve"> plantation forests in western Liaoning is related to the Type II survey data of Liaoning Province, China, which is not </w:t>
      </w:r>
      <w:proofErr w:type="spellStart"/>
      <w:r>
        <w:rPr>
          <w:szCs w:val="24"/>
        </w:rPr>
        <w:t>authorised</w:t>
      </w:r>
      <w:proofErr w:type="spellEnd"/>
      <w:r>
        <w:rPr>
          <w:szCs w:val="24"/>
        </w:rPr>
        <w:t xml:space="preserve"> to be disclosed by the research team, please contact the Forest and Grassland Bureau of China for more details.</w:t>
      </w:r>
    </w:p>
    <w:sectPr w:rsidR="00262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A1"/>
    <w:rsid w:val="00007411"/>
    <w:rsid w:val="002624C5"/>
    <w:rsid w:val="003649F3"/>
    <w:rsid w:val="003E3BC0"/>
    <w:rsid w:val="0045775B"/>
    <w:rsid w:val="005275ED"/>
    <w:rsid w:val="006911D5"/>
    <w:rsid w:val="00704882"/>
    <w:rsid w:val="0078048F"/>
    <w:rsid w:val="008C13EC"/>
    <w:rsid w:val="00BB3F2A"/>
    <w:rsid w:val="00E64382"/>
    <w:rsid w:val="00F334A1"/>
    <w:rsid w:val="3321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30F7C"/>
  <w15:docId w15:val="{AED8DD71-4143-456F-BBE3-38F6F443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306</Words>
  <Characters>1661</Characters>
  <Application>Microsoft Office Word</Application>
  <DocSecurity>0</DocSecurity>
  <Lines>59</Lines>
  <Paragraphs>31</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爱在心中</dc:creator>
  <cp:lastModifiedBy>爱在心中</cp:lastModifiedBy>
  <cp:revision>6</cp:revision>
  <dcterms:created xsi:type="dcterms:W3CDTF">2024-09-30T09:46:00Z</dcterms:created>
  <dcterms:modified xsi:type="dcterms:W3CDTF">2025-02-07T05:08:00Z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d6a6894db6f78a87256a0e58c0c48f95553583a5e36f51f35c7c1a52e457b628</vt:lpwstr>
  </property>
  <property fmtid="{D5CDD505-2E9C-101B-9397-08002B2CF9AE}" pid="3" name="KSOTemplateDocerSaveRecord">
    <vt:lpwstr>eyJoZGlkIjoiZDYyZDQ5YjUwYmU3YzBmOWU1ZDJlMWRiNjU1N2IwYjUiLCJ1c2VySWQiOiI1MTc1MzMwNDIifQ==</vt:lpwstr>
  </property>
  <property fmtid="{D5CDD505-2E9C-101B-9397-08002B2CF9AE}" pid="4" name="KSOProductBuildVer">
    <vt:lpwstr>2052-12.1.0.19770</vt:lpwstr>
  </property>
  <property fmtid="{D5CDD505-2E9C-101B-9397-08002B2CF9AE}" pid="5" name="ICV">
    <vt:lpwstr>1F490CD02CA847E8B6ED0334DFA79C46_12</vt:lpwstr>
  </property>
</Properties>
</file>