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4DE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b/>
          <w:bCs/>
          <w:color w:val="000000"/>
          <w:sz w:val="22"/>
        </w:rPr>
        <w:t>Supplementary Information</w:t>
      </w:r>
    </w:p>
    <w:p w14:paraId="03709746" w14:textId="77777777" w:rsidR="00A30F23" w:rsidRDefault="00A30F23" w:rsidP="00A30F23">
      <w:pPr>
        <w:spacing w:after="0" w:line="240" w:lineRule="auto"/>
        <w:rPr>
          <w:rFonts w:ascii="Times New Roman" w:eastAsia="Times New Roman" w:hAnsi="Times New Roman" w:cs="Times New Roman"/>
          <w:szCs w:val="24"/>
        </w:rPr>
      </w:pPr>
    </w:p>
    <w:p w14:paraId="0334CD13" w14:textId="77777777" w:rsidR="00AC7601" w:rsidRDefault="00AC7601" w:rsidP="00A30F23">
      <w:pPr>
        <w:spacing w:after="0" w:line="240" w:lineRule="auto"/>
        <w:rPr>
          <w:rFonts w:ascii="Times New Roman" w:eastAsia="Times New Roman" w:hAnsi="Times New Roman" w:cs="Times New Roman"/>
          <w:szCs w:val="24"/>
        </w:rPr>
      </w:pPr>
    </w:p>
    <w:p w14:paraId="5B54E670" w14:textId="1173CA06" w:rsidR="00AC7601" w:rsidRPr="007260FB" w:rsidRDefault="00AC7601" w:rsidP="00AC7601">
      <w:pPr>
        <w:spacing w:after="0" w:line="480" w:lineRule="auto"/>
        <w:rPr>
          <w:rFonts w:ascii="Times New Roman" w:eastAsia="Times New Roman" w:hAnsi="Times New Roman" w:cs="Times New Roman"/>
          <w:szCs w:val="24"/>
          <w:lang w:eastAsia="nb-NO"/>
        </w:rPr>
      </w:pPr>
      <w:r w:rsidRPr="007260FB">
        <w:rPr>
          <w:rFonts w:ascii="Arial" w:eastAsia="Times New Roman" w:hAnsi="Arial" w:cs="Arial"/>
          <w:b/>
          <w:bCs/>
          <w:color w:val="000000"/>
          <w:sz w:val="22"/>
          <w:lang w:eastAsia="nb-NO"/>
        </w:rPr>
        <w:t>Table S</w:t>
      </w:r>
      <w:r>
        <w:rPr>
          <w:rFonts w:ascii="Arial" w:eastAsia="Times New Roman" w:hAnsi="Arial" w:cs="Arial"/>
          <w:b/>
          <w:bCs/>
          <w:color w:val="000000"/>
          <w:sz w:val="22"/>
          <w:lang w:eastAsia="nb-NO"/>
        </w:rPr>
        <w:t>1</w:t>
      </w:r>
      <w:r w:rsidRPr="007260FB">
        <w:rPr>
          <w:rFonts w:ascii="Arial" w:eastAsia="Times New Roman" w:hAnsi="Arial" w:cs="Arial"/>
          <w:b/>
          <w:bCs/>
          <w:color w:val="000000"/>
          <w:sz w:val="22"/>
          <w:lang w:eastAsia="nb-NO"/>
        </w:rPr>
        <w:t xml:space="preserve">. </w:t>
      </w:r>
      <w:r w:rsidRPr="007260FB">
        <w:rPr>
          <w:rFonts w:ascii="Arial" w:eastAsia="Times New Roman" w:hAnsi="Arial" w:cs="Arial"/>
          <w:color w:val="000000"/>
          <w:sz w:val="22"/>
          <w:lang w:eastAsia="nb-NO"/>
        </w:rPr>
        <w:t>GenBank accession numbers of the sequences used for primer design. </w:t>
      </w:r>
    </w:p>
    <w:tbl>
      <w:tblPr>
        <w:tblW w:w="0" w:type="auto"/>
        <w:tblCellMar>
          <w:top w:w="15" w:type="dxa"/>
          <w:left w:w="15" w:type="dxa"/>
          <w:bottom w:w="15" w:type="dxa"/>
          <w:right w:w="15" w:type="dxa"/>
        </w:tblCellMar>
        <w:tblLook w:val="04A0" w:firstRow="1" w:lastRow="0" w:firstColumn="1" w:lastColumn="0" w:noHBand="0" w:noVBand="1"/>
      </w:tblPr>
      <w:tblGrid>
        <w:gridCol w:w="3707"/>
        <w:gridCol w:w="5309"/>
      </w:tblGrid>
      <w:tr w:rsidR="00AC7601" w:rsidRPr="007260FB" w14:paraId="5FBD5554" w14:textId="77777777" w:rsidTr="00F91008">
        <w:trPr>
          <w:trHeight w:val="4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193A7D"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b/>
                <w:bCs/>
                <w:color w:val="000000"/>
                <w:sz w:val="20"/>
                <w:szCs w:val="20"/>
                <w:lang w:val="nb-NO" w:eastAsia="nb-NO"/>
              </w:rPr>
              <w:t>Species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E5CB83"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b/>
                <w:bCs/>
                <w:color w:val="000000"/>
                <w:sz w:val="20"/>
                <w:szCs w:val="20"/>
                <w:lang w:val="nb-NO" w:eastAsia="nb-NO"/>
              </w:rPr>
              <w:t>GenBank accession numbers</w:t>
            </w:r>
          </w:p>
        </w:tc>
      </w:tr>
      <w:tr w:rsidR="00AC7601" w:rsidRPr="007260FB" w14:paraId="7B33C88A" w14:textId="77777777" w:rsidTr="00F91008">
        <w:trPr>
          <w:trHeight w:val="5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7F5134"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Hawfinch (</w:t>
            </w:r>
            <w:r w:rsidRPr="007260FB">
              <w:rPr>
                <w:rFonts w:ascii="Arial" w:eastAsia="Times New Roman" w:hAnsi="Arial" w:cs="Arial"/>
                <w:i/>
                <w:iCs/>
                <w:color w:val="000000"/>
                <w:sz w:val="20"/>
                <w:szCs w:val="20"/>
                <w:lang w:val="nb-NO" w:eastAsia="nb-NO"/>
              </w:rPr>
              <w:t>Coccothraustes coccothraustes</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5B21FE"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KX109614.1; NC_025614.1; KM078789.1</w:t>
            </w:r>
          </w:p>
        </w:tc>
      </w:tr>
      <w:tr w:rsidR="00AC7601" w:rsidRPr="00AC7601" w14:paraId="620C542D" w14:textId="77777777" w:rsidTr="00F91008">
        <w:trPr>
          <w:trHeight w:val="5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A149FA"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Great tit (</w:t>
            </w:r>
            <w:r w:rsidRPr="007260FB">
              <w:rPr>
                <w:rFonts w:ascii="Arial" w:eastAsia="Times New Roman" w:hAnsi="Arial" w:cs="Arial"/>
                <w:i/>
                <w:iCs/>
                <w:color w:val="000000"/>
                <w:sz w:val="20"/>
                <w:szCs w:val="20"/>
                <w:lang w:val="nb-NO" w:eastAsia="nb-NO"/>
              </w:rPr>
              <w:t>Parus major</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9FA868"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HQ417139.1; FJ465247.1; AJ224494.1; KP137624.1; NC_040875.1 </w:t>
            </w:r>
          </w:p>
        </w:tc>
      </w:tr>
      <w:tr w:rsidR="00AC7601" w:rsidRPr="007260FB" w14:paraId="71EC99CB" w14:textId="77777777" w:rsidTr="00F91008">
        <w:trPr>
          <w:trHeight w:val="5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63D9C" w14:textId="77777777" w:rsidR="00AC7601" w:rsidRPr="007260FB" w:rsidRDefault="00AC7601" w:rsidP="00F91008">
            <w:pPr>
              <w:spacing w:after="0" w:line="480" w:lineRule="auto"/>
              <w:rPr>
                <w:rFonts w:ascii="Times New Roman" w:eastAsia="Times New Roman" w:hAnsi="Times New Roman" w:cs="Times New Roman"/>
                <w:szCs w:val="24"/>
                <w:lang w:eastAsia="nb-NO"/>
              </w:rPr>
            </w:pPr>
            <w:r w:rsidRPr="007260FB">
              <w:rPr>
                <w:rFonts w:ascii="Arial" w:eastAsia="Times New Roman" w:hAnsi="Arial" w:cs="Arial"/>
                <w:color w:val="000000"/>
                <w:sz w:val="20"/>
                <w:szCs w:val="20"/>
                <w:lang w:eastAsia="nb-NO"/>
              </w:rPr>
              <w:t>Common reed bunting (</w:t>
            </w:r>
            <w:proofErr w:type="spellStart"/>
            <w:r w:rsidRPr="007260FB">
              <w:rPr>
                <w:rFonts w:ascii="Arial" w:eastAsia="Times New Roman" w:hAnsi="Arial" w:cs="Arial"/>
                <w:i/>
                <w:iCs/>
                <w:color w:val="000000"/>
                <w:sz w:val="20"/>
                <w:szCs w:val="20"/>
                <w:lang w:eastAsia="nb-NO"/>
              </w:rPr>
              <w:t>Emberiza</w:t>
            </w:r>
            <w:proofErr w:type="spellEnd"/>
            <w:r w:rsidRPr="007260FB">
              <w:rPr>
                <w:rFonts w:ascii="Arial" w:eastAsia="Times New Roman" w:hAnsi="Arial" w:cs="Arial"/>
                <w:i/>
                <w:iCs/>
                <w:color w:val="000000"/>
                <w:sz w:val="20"/>
                <w:szCs w:val="20"/>
                <w:lang w:eastAsia="nb-NO"/>
              </w:rPr>
              <w:t xml:space="preserve"> </w:t>
            </w:r>
            <w:proofErr w:type="spellStart"/>
            <w:r w:rsidRPr="007260FB">
              <w:rPr>
                <w:rFonts w:ascii="Arial" w:eastAsia="Times New Roman" w:hAnsi="Arial" w:cs="Arial"/>
                <w:i/>
                <w:iCs/>
                <w:color w:val="000000"/>
                <w:sz w:val="20"/>
                <w:szCs w:val="20"/>
                <w:lang w:eastAsia="nb-NO"/>
              </w:rPr>
              <w:t>schoeniclus</w:t>
            </w:r>
            <w:proofErr w:type="spellEnd"/>
            <w:r w:rsidRPr="007260FB">
              <w:rPr>
                <w:rFonts w:ascii="Arial" w:eastAsia="Times New Roman" w:hAnsi="Arial" w:cs="Arial"/>
                <w:color w:val="000000"/>
                <w:sz w:val="20"/>
                <w:szCs w:val="20"/>
                <w:lang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76356F" w14:textId="77777777" w:rsidR="00AC7601" w:rsidRPr="007260FB" w:rsidRDefault="00AC7601" w:rsidP="00F91008">
            <w:pPr>
              <w:spacing w:after="0" w:line="480" w:lineRule="auto"/>
              <w:rPr>
                <w:rFonts w:ascii="Times New Roman" w:eastAsia="Times New Roman" w:hAnsi="Times New Roman" w:cs="Times New Roman"/>
                <w:szCs w:val="24"/>
                <w:lang w:eastAsia="nb-NO"/>
              </w:rPr>
            </w:pPr>
            <w:r w:rsidRPr="007260FB">
              <w:rPr>
                <w:rFonts w:ascii="Arial" w:eastAsia="Times New Roman" w:hAnsi="Arial" w:cs="Arial"/>
                <w:color w:val="000000"/>
                <w:sz w:val="20"/>
                <w:szCs w:val="20"/>
                <w:lang w:eastAsia="nb-NO"/>
              </w:rPr>
              <w:t>KP877661.1; OQ274893.1; MW417350.1; NC_062087.1; MT081419.1</w:t>
            </w:r>
          </w:p>
        </w:tc>
      </w:tr>
      <w:tr w:rsidR="00AC7601" w:rsidRPr="007260FB" w14:paraId="50859D75" w14:textId="77777777" w:rsidTr="00F91008">
        <w:trPr>
          <w:trHeight w:val="5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D502F9"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Eurasian chaffinch (</w:t>
            </w:r>
            <w:r w:rsidRPr="007260FB">
              <w:rPr>
                <w:rFonts w:ascii="Arial" w:eastAsia="Times New Roman" w:hAnsi="Arial" w:cs="Arial"/>
                <w:i/>
                <w:iCs/>
                <w:color w:val="000000"/>
                <w:sz w:val="20"/>
                <w:szCs w:val="20"/>
                <w:lang w:val="nb-NO" w:eastAsia="nb-NO"/>
              </w:rPr>
              <w:t>Fringilla coelebs</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DFD89C"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HQ284765.1; NC_025599.1; MN122830.1; KM078769.1</w:t>
            </w:r>
          </w:p>
        </w:tc>
      </w:tr>
      <w:tr w:rsidR="00AC7601" w:rsidRPr="00AC7601" w14:paraId="0375072F" w14:textId="77777777" w:rsidTr="00F91008">
        <w:trPr>
          <w:trHeight w:val="5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F6619A"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Eurasian bullfinch (</w:t>
            </w:r>
            <w:r w:rsidRPr="007260FB">
              <w:rPr>
                <w:rFonts w:ascii="Arial" w:eastAsia="Times New Roman" w:hAnsi="Arial" w:cs="Arial"/>
                <w:i/>
                <w:iCs/>
                <w:color w:val="000000"/>
                <w:sz w:val="20"/>
                <w:szCs w:val="20"/>
                <w:lang w:val="nb-NO" w:eastAsia="nb-NO"/>
              </w:rPr>
              <w:t>Pyrrhula pyrrhula</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0B3173"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HQ284732.1; NC_025625.1; KM078804.1; HQ284731.1; HQ284730.1</w:t>
            </w:r>
          </w:p>
        </w:tc>
      </w:tr>
      <w:tr w:rsidR="00AC7601" w:rsidRPr="007260FB" w14:paraId="207A6587" w14:textId="77777777" w:rsidTr="00F91008">
        <w:trPr>
          <w:trHeight w:val="2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A15A09"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Bluethroat (</w:t>
            </w:r>
            <w:r w:rsidRPr="007260FB">
              <w:rPr>
                <w:rFonts w:ascii="Arial" w:eastAsia="Times New Roman" w:hAnsi="Arial" w:cs="Arial"/>
                <w:i/>
                <w:iCs/>
                <w:color w:val="000000"/>
                <w:sz w:val="20"/>
                <w:szCs w:val="20"/>
                <w:lang w:val="nb-NO" w:eastAsia="nb-NO"/>
              </w:rPr>
              <w:t>Luscinia svecica</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07DB72"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MN122892.1</w:t>
            </w:r>
          </w:p>
        </w:tc>
      </w:tr>
      <w:tr w:rsidR="00AC7601" w:rsidRPr="007260FB" w14:paraId="066817F6" w14:textId="77777777" w:rsidTr="00F91008">
        <w:trPr>
          <w:trHeight w:val="2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95BFF7"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Eurasian siskin (</w:t>
            </w:r>
            <w:r w:rsidRPr="007260FB">
              <w:rPr>
                <w:rFonts w:ascii="Arial" w:eastAsia="Times New Roman" w:hAnsi="Arial" w:cs="Arial"/>
                <w:i/>
                <w:iCs/>
                <w:color w:val="000000"/>
                <w:sz w:val="20"/>
                <w:szCs w:val="20"/>
                <w:lang w:val="nb-NO" w:eastAsia="nb-NO"/>
              </w:rPr>
              <w:t>Spinus spinus</w:t>
            </w:r>
            <w:r w:rsidRPr="007260FB">
              <w:rPr>
                <w:rFonts w:ascii="Arial" w:eastAsia="Times New Roman" w:hAnsi="Arial" w:cs="Arial"/>
                <w:color w:val="000000"/>
                <w:sz w:val="20"/>
                <w:szCs w:val="20"/>
                <w:lang w:val="nb-NO" w:eastAsia="nb-NO"/>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F22AFE" w14:textId="77777777" w:rsidR="00AC7601" w:rsidRPr="007260FB" w:rsidRDefault="00AC7601" w:rsidP="00F91008">
            <w:pPr>
              <w:spacing w:after="0" w:line="480" w:lineRule="auto"/>
              <w:rPr>
                <w:rFonts w:ascii="Times New Roman" w:eastAsia="Times New Roman" w:hAnsi="Times New Roman" w:cs="Times New Roman"/>
                <w:szCs w:val="24"/>
                <w:lang w:val="nb-NO" w:eastAsia="nb-NO"/>
              </w:rPr>
            </w:pPr>
            <w:r w:rsidRPr="007260FB">
              <w:rPr>
                <w:rFonts w:ascii="Arial" w:eastAsia="Times New Roman" w:hAnsi="Arial" w:cs="Arial"/>
                <w:color w:val="000000"/>
                <w:sz w:val="20"/>
                <w:szCs w:val="20"/>
                <w:lang w:val="nb-NO" w:eastAsia="nb-NO"/>
              </w:rPr>
              <w:t>NC_015198.1; HQ915866.1</w:t>
            </w:r>
          </w:p>
        </w:tc>
      </w:tr>
    </w:tbl>
    <w:p w14:paraId="626BE8FE" w14:textId="77777777" w:rsidR="00AC7601" w:rsidRDefault="00AC7601" w:rsidP="00AC7601">
      <w:pPr>
        <w:spacing w:after="0" w:line="480" w:lineRule="auto"/>
        <w:rPr>
          <w:rFonts w:ascii="Arial" w:eastAsia="Times New Roman" w:hAnsi="Arial" w:cs="Arial"/>
          <w:b/>
          <w:bCs/>
          <w:color w:val="000000"/>
          <w:sz w:val="22"/>
        </w:rPr>
      </w:pPr>
    </w:p>
    <w:p w14:paraId="2F7CE141" w14:textId="60D6540E" w:rsidR="00AC7601" w:rsidRDefault="00AC7601">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7BD8AEBB" w14:textId="42154DA1" w:rsidR="00AC7601" w:rsidRPr="00A30F23" w:rsidRDefault="00AC7601" w:rsidP="00AC7601">
      <w:pPr>
        <w:spacing w:after="0" w:line="480" w:lineRule="auto"/>
        <w:rPr>
          <w:rFonts w:ascii="Times New Roman" w:eastAsia="Times New Roman" w:hAnsi="Times New Roman" w:cs="Times New Roman"/>
          <w:szCs w:val="24"/>
        </w:rPr>
      </w:pPr>
      <w:r w:rsidRPr="00A30F23">
        <w:rPr>
          <w:rFonts w:ascii="Arial" w:eastAsia="Times New Roman" w:hAnsi="Arial" w:cs="Arial"/>
          <w:b/>
          <w:bCs/>
          <w:color w:val="000000"/>
          <w:sz w:val="22"/>
        </w:rPr>
        <w:lastRenderedPageBreak/>
        <w:t>Table S</w:t>
      </w:r>
      <w:r>
        <w:rPr>
          <w:rFonts w:ascii="Arial" w:eastAsia="Times New Roman" w:hAnsi="Arial" w:cs="Arial"/>
          <w:b/>
          <w:bCs/>
          <w:color w:val="000000"/>
          <w:sz w:val="22"/>
        </w:rPr>
        <w:t>2</w:t>
      </w:r>
      <w:r w:rsidRPr="00A30F23">
        <w:rPr>
          <w:rFonts w:ascii="Arial" w:eastAsia="Times New Roman" w:hAnsi="Arial" w:cs="Arial"/>
          <w:b/>
          <w:bCs/>
          <w:color w:val="000000"/>
          <w:sz w:val="22"/>
        </w:rPr>
        <w:t xml:space="preserve">. </w:t>
      </w:r>
      <w:r w:rsidRPr="00A30F23">
        <w:rPr>
          <w:rFonts w:ascii="Arial" w:eastAsia="Times New Roman" w:hAnsi="Arial" w:cs="Arial"/>
          <w:color w:val="000000"/>
          <w:sz w:val="22"/>
        </w:rPr>
        <w:t xml:space="preserve">Sperm samples used for PCR and </w:t>
      </w:r>
      <w:proofErr w:type="spellStart"/>
      <w:r w:rsidRPr="00A30F23">
        <w:rPr>
          <w:rFonts w:ascii="Arial" w:eastAsia="Times New Roman" w:hAnsi="Arial" w:cs="Arial"/>
          <w:color w:val="000000"/>
          <w:sz w:val="22"/>
        </w:rPr>
        <w:t>ddPCR</w:t>
      </w:r>
      <w:proofErr w:type="spellEnd"/>
      <w:r w:rsidRPr="00A30F23">
        <w:rPr>
          <w:rFonts w:ascii="Arial" w:eastAsia="Times New Roman" w:hAnsi="Arial" w:cs="Arial"/>
          <w:color w:val="000000"/>
          <w:sz w:val="22"/>
        </w:rPr>
        <w:t xml:space="preserve"> validation of the primers. </w:t>
      </w:r>
    </w:p>
    <w:tbl>
      <w:tblPr>
        <w:tblW w:w="0" w:type="auto"/>
        <w:tblCellMar>
          <w:top w:w="15" w:type="dxa"/>
          <w:left w:w="15" w:type="dxa"/>
          <w:bottom w:w="15" w:type="dxa"/>
          <w:right w:w="15" w:type="dxa"/>
        </w:tblCellMar>
        <w:tblLook w:val="04A0" w:firstRow="1" w:lastRow="0" w:firstColumn="1" w:lastColumn="0" w:noHBand="0" w:noVBand="1"/>
      </w:tblPr>
      <w:tblGrid>
        <w:gridCol w:w="2433"/>
        <w:gridCol w:w="1632"/>
        <w:gridCol w:w="1347"/>
        <w:gridCol w:w="1632"/>
      </w:tblGrid>
      <w:tr w:rsidR="00AC7601" w:rsidRPr="00A30F23" w14:paraId="4FD44F16" w14:textId="77777777" w:rsidTr="00F91008">
        <w:trPr>
          <w:trHeight w:val="5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B4473A" w14:textId="77777777" w:rsidR="00AC7601" w:rsidRPr="00A30F23" w:rsidRDefault="00AC7601" w:rsidP="00F91008">
            <w:pPr>
              <w:spacing w:before="240" w:after="240" w:line="240" w:lineRule="auto"/>
              <w:jc w:val="center"/>
              <w:rPr>
                <w:rFonts w:ascii="Times New Roman" w:eastAsia="Times New Roman" w:hAnsi="Times New Roman" w:cs="Times New Roman"/>
                <w:szCs w:val="24"/>
              </w:rPr>
            </w:pPr>
            <w:r w:rsidRPr="00A30F23">
              <w:rPr>
                <w:rFonts w:ascii="Arial" w:eastAsia="Times New Roman" w:hAnsi="Arial" w:cs="Arial"/>
                <w:b/>
                <w:bCs/>
                <w:color w:val="000000"/>
                <w:sz w:val="16"/>
                <w:szCs w:val="16"/>
              </w:rPr>
              <w:t>Species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1D4953" w14:textId="77777777" w:rsidR="00AC7601" w:rsidRPr="00A30F23" w:rsidRDefault="00AC7601" w:rsidP="00F91008">
            <w:pPr>
              <w:spacing w:before="240" w:after="240" w:line="240" w:lineRule="auto"/>
              <w:jc w:val="center"/>
              <w:rPr>
                <w:rFonts w:ascii="Times New Roman" w:eastAsia="Times New Roman" w:hAnsi="Times New Roman" w:cs="Times New Roman"/>
                <w:szCs w:val="24"/>
              </w:rPr>
            </w:pPr>
            <w:r w:rsidRPr="00A30F23">
              <w:rPr>
                <w:rFonts w:ascii="Arial" w:eastAsia="Times New Roman" w:hAnsi="Arial" w:cs="Arial"/>
                <w:b/>
                <w:bCs/>
                <w:color w:val="000000"/>
                <w:sz w:val="16"/>
                <w:szCs w:val="16"/>
              </w:rPr>
              <w:t>Accession number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92B30C" w14:textId="77777777" w:rsidR="00AC7601" w:rsidRPr="00A30F23" w:rsidRDefault="00AC7601" w:rsidP="00F91008">
            <w:pPr>
              <w:spacing w:before="240" w:after="240" w:line="240" w:lineRule="auto"/>
              <w:jc w:val="center"/>
              <w:rPr>
                <w:rFonts w:ascii="Times New Roman" w:eastAsia="Times New Roman" w:hAnsi="Times New Roman" w:cs="Times New Roman"/>
                <w:szCs w:val="24"/>
              </w:rPr>
            </w:pPr>
            <w:r w:rsidRPr="00A30F23">
              <w:rPr>
                <w:rFonts w:ascii="Arial" w:eastAsia="Times New Roman" w:hAnsi="Arial" w:cs="Arial"/>
                <w:b/>
                <w:bCs/>
                <w:color w:val="000000"/>
                <w:sz w:val="16"/>
                <w:szCs w:val="16"/>
              </w:rPr>
              <w:t>Collection date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EB882E" w14:textId="77777777" w:rsidR="00AC7601" w:rsidRPr="00A30F23" w:rsidRDefault="00AC7601" w:rsidP="00F91008">
            <w:pPr>
              <w:spacing w:before="240" w:after="240" w:line="240" w:lineRule="auto"/>
              <w:jc w:val="center"/>
              <w:rPr>
                <w:rFonts w:ascii="Times New Roman" w:eastAsia="Times New Roman" w:hAnsi="Times New Roman" w:cs="Times New Roman"/>
                <w:szCs w:val="24"/>
              </w:rPr>
            </w:pPr>
            <w:r w:rsidRPr="00A30F23">
              <w:rPr>
                <w:rFonts w:ascii="Arial" w:eastAsia="Times New Roman" w:hAnsi="Arial" w:cs="Arial"/>
                <w:b/>
                <w:bCs/>
                <w:color w:val="000000"/>
                <w:sz w:val="16"/>
                <w:szCs w:val="16"/>
              </w:rPr>
              <w:t>Collection location</w:t>
            </w:r>
          </w:p>
        </w:tc>
      </w:tr>
      <w:tr w:rsidR="00AC7601" w:rsidRPr="00A30F23" w14:paraId="7D614E2C" w14:textId="77777777" w:rsidTr="00F91008">
        <w:trPr>
          <w:trHeight w:val="13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EADAE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w:t>
            </w:r>
          </w:p>
          <w:p w14:paraId="32DDB16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xml:space="preserve">Spinus </w:t>
            </w:r>
            <w:proofErr w:type="spellStart"/>
            <w:r w:rsidRPr="00A30F23">
              <w:rPr>
                <w:rFonts w:ascii="Arial" w:eastAsia="Times New Roman" w:hAnsi="Arial" w:cs="Arial"/>
                <w:i/>
                <w:iCs/>
                <w:color w:val="000000"/>
                <w:sz w:val="16"/>
                <w:szCs w:val="16"/>
              </w:rPr>
              <w:t>spinus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ECA20C"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NHMO-BI-106957</w:t>
            </w:r>
          </w:p>
          <w:p w14:paraId="7A11A56F"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NHMO-BI-108466</w:t>
            </w:r>
          </w:p>
          <w:p w14:paraId="120495ED"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NHMO-BI-108463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F86FA6"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28/04/2021</w:t>
            </w:r>
          </w:p>
          <w:p w14:paraId="59E0293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p w14:paraId="079B059F"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334CEC"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59.744 N | 10.820 E</w:t>
            </w:r>
          </w:p>
          <w:p w14:paraId="081AE15D"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p w14:paraId="0A446848"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C7601" w:rsidRPr="00A30F23" w14:paraId="13322F52" w14:textId="77777777" w:rsidTr="00F91008">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00DAC8"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Turdus pilaris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D5FA9B"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NHMO-BI-106959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FBDEE1"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08/06/2021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A23E05"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61.25 N | 9.06 E</w:t>
            </w:r>
          </w:p>
        </w:tc>
      </w:tr>
      <w:tr w:rsidR="00AC7601" w:rsidRPr="00A30F23" w14:paraId="39AF42FC" w14:textId="77777777" w:rsidTr="00F91008">
        <w:trPr>
          <w:trHeight w:val="6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4E06AE" w14:textId="77777777" w:rsidR="00AC7601" w:rsidRPr="00A30F23" w:rsidRDefault="00AC7601" w:rsidP="00F91008">
            <w:pPr>
              <w:spacing w:before="240" w:after="240" w:line="240" w:lineRule="auto"/>
              <w:rPr>
                <w:rFonts w:ascii="Times New Roman" w:eastAsia="Times New Roman" w:hAnsi="Times New Roman" w:cs="Times New Roman"/>
                <w:szCs w:val="24"/>
              </w:rPr>
            </w:pPr>
            <w:proofErr w:type="spellStart"/>
            <w:r w:rsidRPr="00A30F23">
              <w:rPr>
                <w:rFonts w:ascii="Arial" w:eastAsia="Times New Roman" w:hAnsi="Arial" w:cs="Arial"/>
                <w:i/>
                <w:iCs/>
                <w:color w:val="000000"/>
                <w:sz w:val="16"/>
                <w:szCs w:val="16"/>
              </w:rPr>
              <w:t>Phylloscopus</w:t>
            </w:r>
            <w:proofErr w:type="spellEnd"/>
            <w:r w:rsidRPr="00A30F23">
              <w:rPr>
                <w:rFonts w:ascii="Arial" w:eastAsia="Times New Roman" w:hAnsi="Arial" w:cs="Arial"/>
                <w:i/>
                <w:iCs/>
                <w:color w:val="000000"/>
                <w:sz w:val="16"/>
                <w:szCs w:val="16"/>
              </w:rPr>
              <w:t xml:space="preserve"> trochilus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62E2ED"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NHMO-BI-106966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A89443"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17/06/2021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4C92F9"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 N | 9.04 E</w:t>
            </w:r>
          </w:p>
        </w:tc>
      </w:tr>
      <w:tr w:rsidR="00AC7601" w:rsidRPr="00A30F23" w14:paraId="34EA6907" w14:textId="77777777" w:rsidTr="00F91008">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A97FF0"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xml:space="preserve">Luscinia </w:t>
            </w:r>
            <w:proofErr w:type="spellStart"/>
            <w:r w:rsidRPr="00A30F23">
              <w:rPr>
                <w:rFonts w:ascii="Arial" w:eastAsia="Times New Roman" w:hAnsi="Arial" w:cs="Arial"/>
                <w:i/>
                <w:iCs/>
                <w:color w:val="000000"/>
                <w:sz w:val="16"/>
                <w:szCs w:val="16"/>
              </w:rPr>
              <w:t>svecica</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9DCB1D"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NHMO-BI-100507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8608D5"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24/05/2018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0D7912"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 25 N | 8 52 E</w:t>
            </w:r>
          </w:p>
        </w:tc>
      </w:tr>
      <w:tr w:rsidR="00AC7601" w:rsidRPr="00A30F23" w14:paraId="651A1580" w14:textId="77777777" w:rsidTr="00F91008">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CC01F1"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Fringilla montifringilla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735091"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NHMO-BI-106797</w:t>
            </w:r>
          </w:p>
          <w:p w14:paraId="12E6B899"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NHMO-BI-108304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448B0B"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21/05/2021</w:t>
            </w:r>
          </w:p>
          <w:p w14:paraId="3896E715"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04/06/2022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2BF26A"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p w14:paraId="00FF8190"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C7601" w:rsidRPr="00A30F23" w14:paraId="3BFEFA1F" w14:textId="77777777" w:rsidTr="00F91008">
        <w:trPr>
          <w:trHeight w:val="5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B7C570"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xml:space="preserve">Pyrrhula </w:t>
            </w:r>
            <w:proofErr w:type="spellStart"/>
            <w:r w:rsidRPr="00A30F23">
              <w:rPr>
                <w:rFonts w:ascii="Arial" w:eastAsia="Times New Roman" w:hAnsi="Arial" w:cs="Arial"/>
                <w:i/>
                <w:iCs/>
                <w:color w:val="000000"/>
                <w:sz w:val="16"/>
                <w:szCs w:val="16"/>
              </w:rPr>
              <w:t>pyrrhula</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1E3B3F"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NHMO-BI-104533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D3A664"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19/06/2020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A3479C"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C7601" w:rsidRPr="00A30F23" w14:paraId="2B7A6EF5" w14:textId="77777777" w:rsidTr="00F91008">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CE57EB"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xml:space="preserve">Regulus </w:t>
            </w:r>
            <w:proofErr w:type="spellStart"/>
            <w:r w:rsidRPr="00A30F23">
              <w:rPr>
                <w:rFonts w:ascii="Arial" w:eastAsia="Times New Roman" w:hAnsi="Arial" w:cs="Arial"/>
                <w:i/>
                <w:iCs/>
                <w:color w:val="000000"/>
                <w:sz w:val="16"/>
                <w:szCs w:val="16"/>
              </w:rPr>
              <w:t>regulus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0FB859"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NHMO-BI-108611</w:t>
            </w:r>
          </w:p>
          <w:p w14:paraId="78201056"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NHMO-BI-108615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FA390"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07/05/2022</w:t>
            </w:r>
          </w:p>
          <w:p w14:paraId="35D28994"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13/05/2022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F4CA6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59.98 N | 10.74 E</w:t>
            </w:r>
          </w:p>
          <w:p w14:paraId="1206D733"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59.99 N | 10.79 E</w:t>
            </w:r>
          </w:p>
        </w:tc>
      </w:tr>
      <w:tr w:rsidR="00AC7601" w:rsidRPr="00A30F23" w14:paraId="0CAADFCE" w14:textId="77777777" w:rsidTr="00F91008">
        <w:trPr>
          <w:trHeight w:val="8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FF8606"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 xml:space="preserve">Coccothraustes </w:t>
            </w:r>
            <w:proofErr w:type="spellStart"/>
            <w:r w:rsidRPr="00A30F23">
              <w:rPr>
                <w:rFonts w:ascii="Arial" w:eastAsia="Times New Roman" w:hAnsi="Arial" w:cs="Arial"/>
                <w:i/>
                <w:iCs/>
                <w:color w:val="000000"/>
                <w:sz w:val="16"/>
                <w:szCs w:val="16"/>
              </w:rPr>
              <w:t>coccothraustes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C53F90"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NHMO-BI-107668</w:t>
            </w:r>
          </w:p>
          <w:p w14:paraId="7D2457AB"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NHMO-BI-107669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442BBC"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19/05/2022</w:t>
            </w:r>
          </w:p>
          <w:p w14:paraId="304ECBCD"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19/05/2022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ED3EBA"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59.744 N | 10.820 E</w:t>
            </w:r>
          </w:p>
          <w:p w14:paraId="7D8C5BC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59.744 N | 10.820 E</w:t>
            </w:r>
          </w:p>
        </w:tc>
      </w:tr>
      <w:tr w:rsidR="00AC7601" w:rsidRPr="00A30F23" w14:paraId="529ADF6B" w14:textId="77777777" w:rsidTr="00F91008">
        <w:trPr>
          <w:trHeight w:val="8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589FF4" w14:textId="77777777" w:rsidR="00AC7601" w:rsidRPr="00A30F23" w:rsidRDefault="00AC7601" w:rsidP="00F91008">
            <w:pPr>
              <w:spacing w:before="240" w:after="240" w:line="240" w:lineRule="auto"/>
              <w:rPr>
                <w:rFonts w:ascii="Times New Roman" w:eastAsia="Times New Roman" w:hAnsi="Times New Roman" w:cs="Times New Roman"/>
                <w:szCs w:val="24"/>
              </w:rPr>
            </w:pPr>
            <w:proofErr w:type="spellStart"/>
            <w:r w:rsidRPr="00A30F23">
              <w:rPr>
                <w:rFonts w:ascii="Arial" w:eastAsia="Times New Roman" w:hAnsi="Arial" w:cs="Arial"/>
                <w:i/>
                <w:iCs/>
                <w:color w:val="000000"/>
                <w:sz w:val="16"/>
                <w:szCs w:val="16"/>
              </w:rPr>
              <w:t>Emberiza</w:t>
            </w:r>
            <w:proofErr w:type="spellEnd"/>
            <w:r w:rsidRPr="00A30F23">
              <w:rPr>
                <w:rFonts w:ascii="Arial" w:eastAsia="Times New Roman" w:hAnsi="Arial" w:cs="Arial"/>
                <w:i/>
                <w:iCs/>
                <w:color w:val="000000"/>
                <w:sz w:val="16"/>
                <w:szCs w:val="16"/>
              </w:rPr>
              <w:t xml:space="preserve"> </w:t>
            </w:r>
            <w:proofErr w:type="spellStart"/>
            <w:r w:rsidRPr="00A30F23">
              <w:rPr>
                <w:rFonts w:ascii="Arial" w:eastAsia="Times New Roman" w:hAnsi="Arial" w:cs="Arial"/>
                <w:i/>
                <w:iCs/>
                <w:color w:val="000000"/>
                <w:sz w:val="16"/>
                <w:szCs w:val="16"/>
              </w:rPr>
              <w:t>schoeniclus</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FD1D5E"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NHMO-BI-108669</w:t>
            </w:r>
          </w:p>
          <w:p w14:paraId="455C9529"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NHMO-BI-108534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D32309"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21/05/2022</w:t>
            </w:r>
          </w:p>
          <w:p w14:paraId="3DF3BB47"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15/05/2022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6476AC"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 25 N | 8 52 E</w:t>
            </w:r>
          </w:p>
          <w:p w14:paraId="0B298333" w14:textId="77777777" w:rsidR="00AC7601" w:rsidRPr="00A30F23" w:rsidRDefault="00AC7601" w:rsidP="00F91008">
            <w:pPr>
              <w:spacing w:before="240" w:after="240" w:line="24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bl>
    <w:p w14:paraId="433C5013" w14:textId="77777777" w:rsidR="00AC7601" w:rsidRDefault="00AC7601">
      <w:pPr>
        <w:rPr>
          <w:rFonts w:ascii="Times New Roman" w:eastAsia="Times New Roman" w:hAnsi="Times New Roman" w:cs="Times New Roman"/>
          <w:szCs w:val="24"/>
        </w:rPr>
      </w:pPr>
    </w:p>
    <w:p w14:paraId="2FF318D6" w14:textId="1C0C9DBD" w:rsidR="00AC7601" w:rsidRDefault="00AC7601" w:rsidP="00AC7601">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22F2E556" w14:textId="77777777" w:rsidR="00AC7601" w:rsidRPr="00A30F23" w:rsidRDefault="00AC7601" w:rsidP="00A30F23">
      <w:pPr>
        <w:spacing w:after="0" w:line="240" w:lineRule="auto"/>
        <w:rPr>
          <w:rFonts w:ascii="Times New Roman" w:eastAsia="Times New Roman" w:hAnsi="Times New Roman" w:cs="Times New Roman"/>
          <w:szCs w:val="24"/>
        </w:rPr>
      </w:pPr>
    </w:p>
    <w:p w14:paraId="116811AE" w14:textId="08647BD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b/>
          <w:bCs/>
          <w:color w:val="000000"/>
          <w:sz w:val="22"/>
        </w:rPr>
        <w:t>Table S</w:t>
      </w:r>
      <w:r w:rsidR="00AC7601">
        <w:rPr>
          <w:rFonts w:ascii="Arial" w:eastAsia="Times New Roman" w:hAnsi="Arial" w:cs="Arial"/>
          <w:b/>
          <w:bCs/>
          <w:color w:val="000000"/>
          <w:sz w:val="22"/>
        </w:rPr>
        <w:t>3</w:t>
      </w:r>
      <w:r w:rsidRPr="00A30F23">
        <w:rPr>
          <w:rFonts w:ascii="Arial" w:eastAsia="Times New Roman" w:hAnsi="Arial" w:cs="Arial"/>
          <w:b/>
          <w:bCs/>
          <w:color w:val="000000"/>
          <w:sz w:val="22"/>
        </w:rPr>
        <w:t xml:space="preserve">. </w:t>
      </w:r>
      <w:r w:rsidRPr="00A30F23">
        <w:rPr>
          <w:rFonts w:ascii="Arial" w:eastAsia="Times New Roman" w:hAnsi="Arial" w:cs="Arial"/>
          <w:color w:val="000000"/>
          <w:sz w:val="22"/>
        </w:rPr>
        <w:t>Sperm and blood samples used in the study. Ten sperm samples from 8 individuals and 10 blood samples from 10 individuals were used in the study.</w:t>
      </w:r>
      <w:r>
        <w:rPr>
          <w:rFonts w:ascii="Arial" w:eastAsia="Times New Roman" w:hAnsi="Arial" w:cs="Arial"/>
          <w:color w:val="000000"/>
          <w:sz w:val="22"/>
        </w:rPr>
        <w:t xml:space="preserve"> Two individuals were sampled twice for sperm</w:t>
      </w:r>
      <w:r w:rsidRPr="00A30F23">
        <w:rPr>
          <w:rFonts w:ascii="Arial" w:eastAsia="Times New Roman" w:hAnsi="Arial" w:cs="Arial"/>
          <w:color w:val="000000"/>
          <w:sz w:val="22"/>
        </w:rPr>
        <w:t xml:space="preserve"> </w:t>
      </w:r>
      <w:r>
        <w:rPr>
          <w:rFonts w:ascii="Arial" w:eastAsia="Times New Roman" w:hAnsi="Arial" w:cs="Arial"/>
          <w:color w:val="000000"/>
          <w:sz w:val="22"/>
        </w:rPr>
        <w:t>(</w:t>
      </w:r>
      <w:r w:rsidRPr="00A30F23">
        <w:rPr>
          <w:rFonts w:ascii="Arial" w:eastAsia="Times New Roman" w:hAnsi="Arial" w:cs="Arial"/>
          <w:color w:val="000000"/>
          <w:sz w:val="22"/>
        </w:rPr>
        <w:t>NHMO-BI-108302 and NHMO-BI-108464</w:t>
      </w:r>
      <w:r>
        <w:rPr>
          <w:rFonts w:ascii="Arial" w:eastAsia="Times New Roman" w:hAnsi="Arial" w:cs="Arial"/>
          <w:color w:val="000000"/>
          <w:sz w:val="22"/>
        </w:rPr>
        <w:t>)</w:t>
      </w:r>
      <w:r w:rsidRPr="00A30F23">
        <w:rPr>
          <w:rFonts w:ascii="Arial" w:eastAsia="Times New Roman" w:hAnsi="Arial" w:cs="Arial"/>
          <w:color w:val="000000"/>
          <w:sz w:val="22"/>
        </w:rPr>
        <w:t>.</w:t>
      </w:r>
    </w:p>
    <w:p w14:paraId="607AEAFE" w14:textId="77777777" w:rsidR="00A30F23" w:rsidRPr="00A30F23" w:rsidRDefault="00A30F23" w:rsidP="00A30F23">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90"/>
        <w:gridCol w:w="1774"/>
        <w:gridCol w:w="1197"/>
        <w:gridCol w:w="1259"/>
        <w:gridCol w:w="1621"/>
      </w:tblGrid>
      <w:tr w:rsidR="00A30F23" w:rsidRPr="00A30F23" w14:paraId="12DCC285" w14:textId="77777777" w:rsidTr="00A30F23">
        <w:trPr>
          <w:trHeight w:val="5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96079C"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Sample 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AED6B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Accession number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71268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Species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DF7A9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Collection date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6E7DC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Collection location</w:t>
            </w:r>
          </w:p>
        </w:tc>
      </w:tr>
      <w:tr w:rsidR="00A30F23" w:rsidRPr="00A30F23" w14:paraId="391DE0E3"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1F1FD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15456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NHMO-BI-108302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15945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E9498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B61A5A"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7D7649B6"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49376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DF93E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NHMO-BI-108302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3A002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25908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27084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440619F9"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F6BFD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2B0E66"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NHMO-BI-108301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D430B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5E28F6"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56339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318704AC"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1F316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B8503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NHMO-BI-108479/2-S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E9D5C6"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BAE29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92EC7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4D76D9A4"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CB1A1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B4DBD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NHMO-BI-108464/1-S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63A29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6298D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8E12E0"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2F6C71C7"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88403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15784A"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NHMO-BI-108464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B4B30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4609D0"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02/06/2022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F32F5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0EA67A86"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55B04A"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58EE4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NHMO-BI-106779/1-S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BA337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55715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11/06/2021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E9DBE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6A8CFFD3"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B72A5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E0264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NHMO-BI-106744/1-S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28F6A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8BAA2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11/05/2021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0C790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4902AFA9"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3F378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41921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NHMO-BI-106748/1-S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8DDBE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3A60E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17/05/2021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A4169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393A9339"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19D152"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Sperm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7FF1F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NHMO-BI-106746/1-S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73170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484B01"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13/05/2021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7233C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59.744 N | 10.820 E</w:t>
            </w:r>
          </w:p>
        </w:tc>
      </w:tr>
      <w:tr w:rsidR="00A30F23" w:rsidRPr="00A30F23" w14:paraId="1994AC11"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2EB17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5B388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NHMO-BI-106927/1-B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94C7D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C38ED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13/05/2021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4BEB7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59.744 N | 10.820 E</w:t>
            </w:r>
          </w:p>
        </w:tc>
      </w:tr>
      <w:tr w:rsidR="00A30F23" w:rsidRPr="00A30F23" w14:paraId="13708E2E"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99C35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E8DA0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NHMO-BI-108472/1-B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00C8C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24829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B3C3F0"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1B052BA5"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0B32D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A9F11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NHMO-BI-108479/1-B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92E5C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860F1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FE7CC4"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308E8864"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68148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E7BF9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NHMO-BI-108493/1-B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AD7061"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BCE40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22/06/2022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848928"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21466B47"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133B6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DA6E1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NHMO-BI-109025/1-B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BDCDA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8872F0"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AE3C26"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574392BB"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8E44CF"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lastRenderedPageBreak/>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F26DA6"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NHMO-BI-109030/1-B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6558D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0DFA4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47959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318D99E0"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6102F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BAF72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NHMO-BI-109034/1-B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A8429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0FC09A"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5C7F55"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4023C3A2"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54F07C"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9A81D0"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NHMO-BI-109036/1-B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72EE51"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2D66AE"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C8DF1B"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408ED428"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14F9D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C26F39"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NHMO-BI-109039/1-B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31B2A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A06FF1"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EF322E7"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r w:rsidR="00A30F23" w:rsidRPr="00A30F23" w14:paraId="78952921" w14:textId="77777777" w:rsidTr="00A30F23">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6DCD0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Blood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5EB4B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NHMO-BI-109040/1-B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46EAE2"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i/>
                <w:iCs/>
                <w:color w:val="000000"/>
                <w:sz w:val="16"/>
                <w:szCs w:val="16"/>
              </w:rPr>
              <w:t>Spinus spinus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AD87E3"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13/07/2022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42FA9C"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16"/>
                <w:szCs w:val="16"/>
              </w:rPr>
              <w:t>61.226 N | 9.040 E</w:t>
            </w:r>
          </w:p>
        </w:tc>
      </w:tr>
    </w:tbl>
    <w:p w14:paraId="0D57DDDD" w14:textId="7777777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color w:val="000000"/>
          <w:sz w:val="22"/>
        </w:rPr>
        <w:t> </w:t>
      </w:r>
    </w:p>
    <w:p w14:paraId="03FC35BF" w14:textId="31406A54" w:rsidR="001917F6" w:rsidRDefault="001917F6">
      <w:pPr>
        <w:rPr>
          <w:rFonts w:ascii="Times New Roman" w:eastAsia="Times New Roman" w:hAnsi="Times New Roman" w:cs="Times New Roman"/>
          <w:szCs w:val="24"/>
          <w:lang w:val="nb-NO" w:eastAsia="nb-NO"/>
        </w:rPr>
      </w:pPr>
      <w:r>
        <w:rPr>
          <w:rFonts w:ascii="Times New Roman" w:eastAsia="Times New Roman" w:hAnsi="Times New Roman" w:cs="Times New Roman"/>
          <w:szCs w:val="24"/>
          <w:lang w:val="nb-NO" w:eastAsia="nb-NO"/>
        </w:rPr>
        <w:br w:type="page"/>
      </w:r>
    </w:p>
    <w:p w14:paraId="4DE355D9" w14:textId="114E910D" w:rsidR="007260FB" w:rsidRDefault="00A30F23" w:rsidP="00632130">
      <w:pPr>
        <w:spacing w:line="480" w:lineRule="auto"/>
        <w:jc w:val="both"/>
        <w:rPr>
          <w:rFonts w:ascii="Arial" w:eastAsia="Times New Roman" w:hAnsi="Arial" w:cs="Arial"/>
          <w:color w:val="000000"/>
          <w:szCs w:val="24"/>
        </w:rPr>
      </w:pPr>
      <w:r w:rsidRPr="00A30F23">
        <w:rPr>
          <w:rFonts w:ascii="Arial" w:eastAsia="Times New Roman" w:hAnsi="Arial" w:cs="Arial"/>
          <w:b/>
          <w:bCs/>
          <w:color w:val="000000"/>
          <w:sz w:val="22"/>
        </w:rPr>
        <w:lastRenderedPageBreak/>
        <w:t xml:space="preserve">Table S4.  </w:t>
      </w:r>
      <w:r w:rsidRPr="00632130">
        <w:rPr>
          <w:rFonts w:ascii="Arial" w:eastAsia="Times New Roman" w:hAnsi="Arial" w:cs="Arial"/>
          <w:color w:val="000000"/>
          <w:sz w:val="22"/>
        </w:rPr>
        <w:t>The LOD and LOQ values for synthetic DNA concentrations with the three different PCR methods. The method outlined in</w:t>
      </w:r>
      <w:r w:rsidR="007260FB" w:rsidRPr="00632130">
        <w:rPr>
          <w:rFonts w:ascii="Arial" w:eastAsia="Times New Roman" w:hAnsi="Arial" w:cs="Arial"/>
          <w:color w:val="000000"/>
          <w:sz w:val="22"/>
          <w:lang w:val="en-US"/>
        </w:rPr>
        <w:t xml:space="preserve"> </w:t>
      </w:r>
      <w:r w:rsidR="007260FB" w:rsidRPr="00632130">
        <w:rPr>
          <w:rFonts w:ascii="Arial" w:eastAsia="Times New Roman" w:hAnsi="Arial" w:cs="Arial"/>
          <w:color w:val="000000"/>
          <w:sz w:val="22"/>
          <w:lang w:val="en-US"/>
        </w:rPr>
        <w:fldChar w:fldCharType="begin"/>
      </w:r>
      <w:r w:rsidR="007260FB" w:rsidRPr="00632130">
        <w:rPr>
          <w:rFonts w:ascii="Arial" w:eastAsia="Times New Roman" w:hAnsi="Arial" w:cs="Arial"/>
          <w:color w:val="000000"/>
          <w:sz w:val="22"/>
          <w:lang w:val="en-US"/>
        </w:rPr>
        <w:instrText xml:space="preserve"> ADDIN ZOTERO_ITEM CSL_CITATION {"citationID":"Ezzc19BZ","properties":{"formattedCitation":"[1]","plainCitation":"[1]","noteIndex":0},"citationItems":[{"id":873,"uris":["http://zotero.org/users/13225984/items/WZFJZQJS"],"itemData":{"id":873,"type":"article-journal","abstract":"Background: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assays.","container-title":"Environmental DNA","DOI":"10.1002/edn3.29","ISSN":"26374943","issue":"3","page":"271–282","title":"Reporting the limits of detection and quantification for environmental DNA assays","volume":"2","author":[{"family":"Klymus","given":"Katy E."},{"family":"Merkes","given":"Christopher M."},{"family":"Allison","given":"Michael J."},{"family":"Goldberg","given":"Caren S."},{"family":"Helbing","given":"Caren C."},{"family":"Hunter","given":"Margaret E."},{"family":"Jackson","given":"Craig A."},{"family":"Lance","given":"Richard F."},{"family":"Mangan","given":"Anna M."},{"family":"Monroe","given":"Emy M."},{"family":"Piaggio","given":"Antoinette J."},{"family":"Stokdyk","given":"Joel P."},{"family":"Wilson","given":"Chris C."},{"family":"Richter","given":"Catherine A."}],"issued":{"date-parts":[["2020"]]}}}],"schema":"https://github.com/citation-style-language/schema/raw/master/csl-citation.json"} </w:instrText>
      </w:r>
      <w:r w:rsidR="007260FB" w:rsidRPr="00632130">
        <w:rPr>
          <w:rFonts w:ascii="Arial" w:eastAsia="Times New Roman" w:hAnsi="Arial" w:cs="Arial"/>
          <w:color w:val="000000"/>
          <w:sz w:val="22"/>
          <w:lang w:val="en-US"/>
        </w:rPr>
        <w:fldChar w:fldCharType="separate"/>
      </w:r>
      <w:r w:rsidR="007260FB" w:rsidRPr="00632130">
        <w:rPr>
          <w:rFonts w:ascii="Arial" w:hAnsi="Arial" w:cs="Arial"/>
          <w:sz w:val="22"/>
        </w:rPr>
        <w:t>[1]</w:t>
      </w:r>
      <w:r w:rsidR="007260FB" w:rsidRPr="00632130">
        <w:rPr>
          <w:rFonts w:ascii="Arial" w:eastAsia="Times New Roman" w:hAnsi="Arial" w:cs="Arial"/>
          <w:color w:val="000000"/>
          <w:sz w:val="22"/>
          <w:lang w:val="en-US"/>
        </w:rPr>
        <w:fldChar w:fldCharType="end"/>
      </w:r>
      <w:r w:rsidR="007260FB" w:rsidRPr="00632130">
        <w:rPr>
          <w:rFonts w:ascii="Arial" w:eastAsia="Times New Roman" w:hAnsi="Arial" w:cs="Arial"/>
          <w:color w:val="000000"/>
          <w:sz w:val="22"/>
          <w:lang w:val="en-US"/>
        </w:rPr>
        <w:t xml:space="preserve"> </w:t>
      </w:r>
      <w:r w:rsidRPr="00632130">
        <w:rPr>
          <w:rFonts w:ascii="Arial" w:eastAsia="Times New Roman" w:hAnsi="Arial" w:cs="Arial"/>
          <w:color w:val="000000"/>
          <w:sz w:val="22"/>
        </w:rPr>
        <w:t>was used to assess LOD and LOQ for qPCR. The LOD for ddPCR, dPCR and qPCR has been calculated using the script provided in the supplementary material as in</w:t>
      </w:r>
      <w:r w:rsidR="007260FB" w:rsidRPr="00632130">
        <w:rPr>
          <w:rFonts w:ascii="Arial" w:eastAsia="Times New Roman" w:hAnsi="Arial" w:cs="Arial"/>
          <w:color w:val="000000"/>
          <w:sz w:val="22"/>
          <w:lang w:val="en-US"/>
        </w:rPr>
        <w:t xml:space="preserve"> </w:t>
      </w:r>
      <w:r w:rsidR="007260FB" w:rsidRPr="00632130">
        <w:rPr>
          <w:rFonts w:ascii="Arial" w:eastAsia="Times New Roman" w:hAnsi="Arial" w:cs="Arial"/>
          <w:color w:val="000000"/>
          <w:sz w:val="22"/>
          <w:lang w:val="en-US"/>
        </w:rPr>
        <w:fldChar w:fldCharType="begin"/>
      </w:r>
      <w:r w:rsidR="007260FB" w:rsidRPr="00632130">
        <w:rPr>
          <w:rFonts w:ascii="Arial" w:eastAsia="Times New Roman" w:hAnsi="Arial" w:cs="Arial"/>
          <w:color w:val="000000"/>
          <w:sz w:val="22"/>
          <w:lang w:val="en-US"/>
        </w:rPr>
        <w:instrText xml:space="preserve"> ADDIN ZOTERO_ITEM CSL_CITATION {"citationID":"XQuZLFbz","properties":{"formattedCitation":"[2]","plainCitation":"[2]","noteIndex":0},"citationItems":[{"id":3475,"uris":["http://zotero.org/users/13225984/items/K8TC68NW"],"itemData":{"id":3475,"type":"article-journal","abstract":"A set of universal guidelines is needed to determine the limit of detection (LOD) in PCR-based analyses of low-concentration DNA. In particular, environmental DNA (eDNA) studies require sensitive and reliable methods to detect rare and cryptic species through shed genetic material in environmental samples. Current strategies for assessing detection limits of eDNA are either too stringent or subjective, possibly resulting in biased estimates of species’ presence. Here, a conservative LOD analysis grounded in analytical chemistry is proposed to correct for overestimated DNA concentrations predominantly caused by the concentration plateau, a nonlinear relationship between expected and measured DNA concentrations. We have used statistical criteria to establish formal mathematical models for both quantitative and droplet digital PCR. To assess the method, a new Grass Carp (Ctenopharyngodon idella) TaqMan assay was developed and tested on both PCR platforms using eDNA in water samples. The LOD adjustment reduced Grass Carp occupancy and detection estimates while increasing uncertainty—indicating that caution needs to be applied to eDNA data without LOD correction. Compared to quantitative PCR, digital PCR had higher occurrence estimates due to increased sensitivity and dilution of inhibitors at low concentrations. Without accurate LOD correction, species occurrence and detection probabilities based on eDNA estimates are prone to a source of bias that cannot be reduced by an increase in sample size or PCR replicates. Other applications also could benefit from a standardized LOD such as GMO food analysis and forensic and clinical diagnostics.","container-title":"Molecular Ecology Resources","DOI":"10.1111/1755-0998.12619","ISSN":"1755-0998","issue":"2","language":"en","license":"Published 2016. This article is a U.S. Government work and is in the public domain in the USA","note":"_eprint: https://onlinelibrary.wiley.com/doi/pdf/10.1111/1755-0998.12619","page":"221-229","source":"Wiley Online Library","title":"Detection limits of quantitative and digital PCR assays and their influence in presence–absence surveys of environmental DNA","volume":"17","author":[{"family":"Hunter","given":"Margaret E."},{"family":"Dorazio","given":"Robert M."},{"family":"Butterfield","given":"John S. S."},{"family":"Meigs-Friend","given":"Gaia"},{"family":"Nico","given":"Leo G."},{"family":"Ferrante","given":"Jason A."}],"issued":{"date-parts":[["2017"]]}}}],"schema":"https://github.com/citation-style-language/schema/raw/master/csl-citation.json"} </w:instrText>
      </w:r>
      <w:r w:rsidR="007260FB" w:rsidRPr="00632130">
        <w:rPr>
          <w:rFonts w:ascii="Arial" w:eastAsia="Times New Roman" w:hAnsi="Arial" w:cs="Arial"/>
          <w:color w:val="000000"/>
          <w:sz w:val="22"/>
          <w:lang w:val="en-US"/>
        </w:rPr>
        <w:fldChar w:fldCharType="separate"/>
      </w:r>
      <w:r w:rsidR="007260FB" w:rsidRPr="00632130">
        <w:rPr>
          <w:rFonts w:ascii="Arial" w:hAnsi="Arial" w:cs="Arial"/>
          <w:sz w:val="22"/>
        </w:rPr>
        <w:t>[2]</w:t>
      </w:r>
      <w:r w:rsidR="007260FB" w:rsidRPr="00632130">
        <w:rPr>
          <w:rFonts w:ascii="Arial" w:eastAsia="Times New Roman" w:hAnsi="Arial" w:cs="Arial"/>
          <w:color w:val="000000"/>
          <w:sz w:val="22"/>
          <w:lang w:val="en-US"/>
        </w:rPr>
        <w:fldChar w:fldCharType="end"/>
      </w:r>
      <w:r w:rsidRPr="00632130">
        <w:rPr>
          <w:rFonts w:ascii="Arial" w:eastAsia="Times New Roman" w:hAnsi="Arial" w:cs="Arial"/>
          <w:color w:val="000000"/>
          <w:sz w:val="22"/>
        </w:rPr>
        <w:t xml:space="preserve">. Both methods show  similar LOD values for qPCR: 2.4 copies/µL using the method </w:t>
      </w:r>
      <w:r w:rsidR="007260FB" w:rsidRPr="00632130">
        <w:rPr>
          <w:rFonts w:ascii="Arial" w:eastAsia="Times New Roman" w:hAnsi="Arial" w:cs="Arial"/>
          <w:color w:val="000000"/>
          <w:sz w:val="22"/>
          <w:lang w:val="en-US"/>
        </w:rPr>
        <w:t xml:space="preserve">described in </w:t>
      </w:r>
      <w:r w:rsidR="007260FB" w:rsidRPr="00632130">
        <w:rPr>
          <w:rFonts w:ascii="Arial" w:eastAsia="Times New Roman" w:hAnsi="Arial" w:cs="Arial"/>
          <w:color w:val="000000"/>
          <w:sz w:val="22"/>
          <w:lang w:val="en-US"/>
        </w:rPr>
        <w:fldChar w:fldCharType="begin"/>
      </w:r>
      <w:r w:rsidR="007260FB" w:rsidRPr="00632130">
        <w:rPr>
          <w:rFonts w:ascii="Arial" w:eastAsia="Times New Roman" w:hAnsi="Arial" w:cs="Arial"/>
          <w:color w:val="000000"/>
          <w:sz w:val="22"/>
          <w:lang w:val="en-US"/>
        </w:rPr>
        <w:instrText xml:space="preserve"> ADDIN ZOTERO_ITEM CSL_CITATION {"citationID":"pinHAtZE","properties":{"formattedCitation":"[1]","plainCitation":"[1]","noteIndex":0},"citationItems":[{"id":873,"uris":["http://zotero.org/users/13225984/items/WZFJZQJS"],"itemData":{"id":873,"type":"article-journal","abstract":"Background: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assays.","container-title":"Environmental DNA","DOI":"10.1002/edn3.29","ISSN":"26374943","issue":"3","page":"271–282","title":"Reporting the limits of detection and quantification for environmental DNA assays","volume":"2","author":[{"family":"Klymus","given":"Katy E."},{"family":"Merkes","given":"Christopher M."},{"family":"Allison","given":"Michael J."},{"family":"Goldberg","given":"Caren S."},{"family":"Helbing","given":"Caren C."},{"family":"Hunter","given":"Margaret E."},{"family":"Jackson","given":"Craig A."},{"family":"Lance","given":"Richard F."},{"family":"Mangan","given":"Anna M."},{"family":"Monroe","given":"Emy M."},{"family":"Piaggio","given":"Antoinette J."},{"family":"Stokdyk","given":"Joel P."},{"family":"Wilson","given":"Chris C."},{"family":"Richter","given":"Catherine A."}],"issued":{"date-parts":[["2020"]]}}}],"schema":"https://github.com/citation-style-language/schema/raw/master/csl-citation.json"} </w:instrText>
      </w:r>
      <w:r w:rsidR="007260FB" w:rsidRPr="00632130">
        <w:rPr>
          <w:rFonts w:ascii="Arial" w:eastAsia="Times New Roman" w:hAnsi="Arial" w:cs="Arial"/>
          <w:color w:val="000000"/>
          <w:sz w:val="22"/>
          <w:lang w:val="en-US"/>
        </w:rPr>
        <w:fldChar w:fldCharType="separate"/>
      </w:r>
      <w:r w:rsidR="007260FB" w:rsidRPr="00632130">
        <w:rPr>
          <w:rFonts w:ascii="Arial" w:hAnsi="Arial" w:cs="Arial"/>
          <w:sz w:val="22"/>
        </w:rPr>
        <w:t>[1]</w:t>
      </w:r>
      <w:r w:rsidR="007260FB" w:rsidRPr="00632130">
        <w:rPr>
          <w:rFonts w:ascii="Arial" w:eastAsia="Times New Roman" w:hAnsi="Arial" w:cs="Arial"/>
          <w:color w:val="000000"/>
          <w:sz w:val="22"/>
          <w:lang w:val="en-US"/>
        </w:rPr>
        <w:fldChar w:fldCharType="end"/>
      </w:r>
      <w:r w:rsidRPr="00632130">
        <w:rPr>
          <w:rFonts w:ascii="Arial" w:eastAsia="Times New Roman" w:hAnsi="Arial" w:cs="Arial"/>
          <w:color w:val="000000"/>
          <w:sz w:val="22"/>
        </w:rPr>
        <w:t xml:space="preserve"> and 2.417 copies/µL using the method </w:t>
      </w:r>
      <w:r w:rsidR="007260FB" w:rsidRPr="00632130">
        <w:rPr>
          <w:rFonts w:ascii="Arial" w:eastAsia="Times New Roman" w:hAnsi="Arial" w:cs="Arial"/>
          <w:color w:val="000000"/>
          <w:sz w:val="22"/>
          <w:lang w:val="en-US"/>
        </w:rPr>
        <w:t xml:space="preserve">described by Hunter et al. </w:t>
      </w:r>
      <w:r w:rsidR="007260FB" w:rsidRPr="00632130">
        <w:rPr>
          <w:rFonts w:ascii="Arial" w:eastAsia="Times New Roman" w:hAnsi="Arial" w:cs="Arial"/>
          <w:color w:val="000000"/>
          <w:sz w:val="22"/>
          <w:lang w:val="en-US"/>
        </w:rPr>
        <w:fldChar w:fldCharType="begin"/>
      </w:r>
      <w:r w:rsidR="007260FB" w:rsidRPr="00632130">
        <w:rPr>
          <w:rFonts w:ascii="Arial" w:eastAsia="Times New Roman" w:hAnsi="Arial" w:cs="Arial"/>
          <w:color w:val="000000"/>
          <w:sz w:val="22"/>
          <w:lang w:val="en-US"/>
        </w:rPr>
        <w:instrText xml:space="preserve"> ADDIN ZOTERO_ITEM CSL_CITATION {"citationID":"zYMKLF62","properties":{"formattedCitation":"[2]","plainCitation":"[2]","noteIndex":0},"citationItems":[{"id":3475,"uris":["http://zotero.org/users/13225984/items/K8TC68NW"],"itemData":{"id":3475,"type":"article-journal","abstract":"A set of universal guidelines is needed to determine the limit of detection (LOD) in PCR-based analyses of low-concentration DNA. In particular, environmental DNA (eDNA) studies require sensitive and reliable methods to detect rare and cryptic species through shed genetic material in environmental samples. Current strategies for assessing detection limits of eDNA are either too stringent or subjective, possibly resulting in biased estimates of species’ presence. Here, a conservative LOD analysis grounded in analytical chemistry is proposed to correct for overestimated DNA concentrations predominantly caused by the concentration plateau, a nonlinear relationship between expected and measured DNA concentrations. We have used statistical criteria to establish formal mathematical models for both quantitative and droplet digital PCR. To assess the method, a new Grass Carp (Ctenopharyngodon idella) TaqMan assay was developed and tested on both PCR platforms using eDNA in water samples. The LOD adjustment reduced Grass Carp occupancy and detection estimates while increasing uncertainty—indicating that caution needs to be applied to eDNA data without LOD correction. Compared to quantitative PCR, digital PCR had higher occurrence estimates due to increased sensitivity and dilution of inhibitors at low concentrations. Without accurate LOD correction, species occurrence and detection probabilities based on eDNA estimates are prone to a source of bias that cannot be reduced by an increase in sample size or PCR replicates. Other applications also could benefit from a standardized LOD such as GMO food analysis and forensic and clinical diagnostics.","container-title":"Molecular Ecology Resources","DOI":"10.1111/1755-0998.12619","ISSN":"1755-0998","issue":"2","language":"en","license":"Published 2016. This article is a U.S. Government work and is in the public domain in the USA","note":"_eprint: https://onlinelibrary.wiley.com/doi/pdf/10.1111/1755-0998.12619","page":"221-229","source":"Wiley Online Library","title":"Detection limits of quantitative and digital PCR assays and their influence in presence–absence surveys of environmental DNA","volume":"17","author":[{"family":"Hunter","given":"Margaret E."},{"family":"Dorazio","given":"Robert M."},{"family":"Butterfield","given":"John S. S."},{"family":"Meigs-Friend","given":"Gaia"},{"family":"Nico","given":"Leo G."},{"family":"Ferrante","given":"Jason A."}],"issued":{"date-parts":[["2017"]]}}}],"schema":"https://github.com/citation-style-language/schema/raw/master/csl-citation.json"} </w:instrText>
      </w:r>
      <w:r w:rsidR="007260FB" w:rsidRPr="00632130">
        <w:rPr>
          <w:rFonts w:ascii="Arial" w:eastAsia="Times New Roman" w:hAnsi="Arial" w:cs="Arial"/>
          <w:color w:val="000000"/>
          <w:sz w:val="22"/>
          <w:lang w:val="en-US"/>
        </w:rPr>
        <w:fldChar w:fldCharType="separate"/>
      </w:r>
      <w:r w:rsidR="007260FB" w:rsidRPr="00632130">
        <w:rPr>
          <w:rFonts w:ascii="Arial" w:hAnsi="Arial" w:cs="Arial"/>
          <w:sz w:val="22"/>
        </w:rPr>
        <w:t>[2]</w:t>
      </w:r>
      <w:r w:rsidR="007260FB" w:rsidRPr="00632130">
        <w:rPr>
          <w:rFonts w:ascii="Arial" w:eastAsia="Times New Roman" w:hAnsi="Arial" w:cs="Arial"/>
          <w:color w:val="000000"/>
          <w:sz w:val="22"/>
          <w:lang w:val="en-US"/>
        </w:rPr>
        <w:fldChar w:fldCharType="end"/>
      </w:r>
      <w:r w:rsidRPr="00632130">
        <w:rPr>
          <w:rFonts w:ascii="Arial" w:eastAsia="Times New Roman" w:hAnsi="Arial" w:cs="Arial"/>
          <w:color w:val="000000"/>
          <w:sz w:val="22"/>
        </w:rPr>
        <w:t xml:space="preserve">. To establish  LOQs for dPCR or ddPCR, we followed the method outlined in </w:t>
      </w:r>
      <w:r w:rsidR="007260FB" w:rsidRPr="00632130">
        <w:rPr>
          <w:rFonts w:ascii="Arial" w:eastAsia="Times New Roman" w:hAnsi="Arial" w:cs="Arial"/>
          <w:color w:val="000000"/>
          <w:sz w:val="22"/>
        </w:rPr>
        <w:fldChar w:fldCharType="begin"/>
      </w:r>
      <w:r w:rsidR="007260FB" w:rsidRPr="00632130">
        <w:rPr>
          <w:rFonts w:ascii="Arial" w:eastAsia="Times New Roman" w:hAnsi="Arial" w:cs="Arial"/>
          <w:color w:val="000000"/>
          <w:sz w:val="22"/>
        </w:rPr>
        <w:instrText xml:space="preserve"> ADDIN ZOTERO_ITEM CSL_CITATION {"citationID":"qa9kc0bX","properties":{"formattedCitation":"[3]","plainCitation":"[3]","noteIndex":0},"citationItems":[{"id":3555,"uris":["http://zotero.org/users/13225984/items/NPIWKGR2"],"itemData":{"id":3555,"type":"article-journal","abstract":"Quantitative Real-Time Polymerase Chain Reaction, better known as qPCR, is the most sensitive and specific technique we have for the detection of nucleic acids. Even though it has been around for more than 30 years and is preferred in research applications, it has yet to win broad acceptance in routine practice. This requires a means to unambiguously assess the performance of specific qPCR analyses. Here we present methods to determine the limit of detection (LoD) and the limit of quantification (LoQ) as applicable to qPCR. These are based on standard statistical methods as recommended by regulatory bodies adapted to qPCR and complemented with a novel approach to estimate the precision of LoD.","container-title":"Biomolecular Detection and Quantification","DOI":"10.1016/j.bdq.2017.04.001","ISSN":"2214-7535","journalAbbreviation":"Biomolecular Detection and Quantification","page":"1-6","source":"ScienceDirect","title":"Methods to determine limit of detection and limit of quantification in quantitative real-time PCR (qPCR)","volume":"12","author":[{"family":"Forootan","given":"Amin"},{"family":"Sjöback","given":"Robert"},{"family":"Björkman","given":"Jens"},{"family":"Sjögreen","given":"Björn"},{"family":"Linz","given":"Lucas"},{"family":"Kubista","given":"Mikael"}],"issued":{"date-parts":[["2017",6,1]]}}}],"schema":"https://github.com/citation-style-language/schema/raw/master/csl-citation.json"} </w:instrText>
      </w:r>
      <w:r w:rsidR="007260FB" w:rsidRPr="00632130">
        <w:rPr>
          <w:rFonts w:ascii="Arial" w:eastAsia="Times New Roman" w:hAnsi="Arial" w:cs="Arial"/>
          <w:color w:val="000000"/>
          <w:sz w:val="22"/>
        </w:rPr>
        <w:fldChar w:fldCharType="separate"/>
      </w:r>
      <w:r w:rsidR="007260FB" w:rsidRPr="00632130">
        <w:rPr>
          <w:rFonts w:ascii="Arial" w:hAnsi="Arial" w:cs="Arial"/>
          <w:sz w:val="22"/>
        </w:rPr>
        <w:t>[3]</w:t>
      </w:r>
      <w:r w:rsidR="007260FB" w:rsidRPr="00632130">
        <w:rPr>
          <w:rFonts w:ascii="Arial" w:eastAsia="Times New Roman" w:hAnsi="Arial" w:cs="Arial"/>
          <w:color w:val="000000"/>
          <w:sz w:val="22"/>
        </w:rPr>
        <w:fldChar w:fldCharType="end"/>
      </w:r>
      <w:r w:rsidR="007260FB" w:rsidRPr="00632130">
        <w:rPr>
          <w:rFonts w:ascii="Arial" w:eastAsia="Times New Roman" w:hAnsi="Arial" w:cs="Arial"/>
          <w:color w:val="000000"/>
          <w:sz w:val="22"/>
          <w:lang w:val="en-US"/>
        </w:rPr>
        <w:t xml:space="preserve"> and </w:t>
      </w:r>
      <w:r w:rsidR="007260FB" w:rsidRPr="00632130">
        <w:rPr>
          <w:rFonts w:ascii="Arial" w:eastAsia="Times New Roman" w:hAnsi="Arial" w:cs="Arial"/>
          <w:color w:val="000000"/>
          <w:sz w:val="22"/>
          <w:lang w:val="en-US"/>
        </w:rPr>
        <w:fldChar w:fldCharType="begin"/>
      </w:r>
      <w:r w:rsidR="007260FB" w:rsidRPr="00632130">
        <w:rPr>
          <w:rFonts w:ascii="Arial" w:eastAsia="Times New Roman" w:hAnsi="Arial" w:cs="Arial"/>
          <w:color w:val="000000"/>
          <w:sz w:val="22"/>
          <w:lang w:val="en-US"/>
        </w:rPr>
        <w:instrText xml:space="preserve"> ADDIN ZOTERO_ITEM CSL_CITATION {"citationID":"xWysJZHM","properties":{"formattedCitation":"[4]","plainCitation":"[4]","noteIndex":0},"citationItems":[{"id":3476,"uris":["http://zotero.org/users/13225984/items/5KBTIFWT"],"itemData":{"id":3476,"type":"article-journal","abstract":"The European weather loach (Misgurnus fossilis) is a cryptic and poorly known fish species of high conservation concern. The species is experiencing dramatic population collapses across its native range to the point of regional extinction. Although environmental DNA (eDNA)-based approaches offer clear advantages over conventional field methods for monitoring rare and endangered species, accurate detection and quantification remain difficult and quality assessment is often poorly incorporated. In this study, we developed and validated a novel digital droplet PCR (ddPCR) eDNA-based method for reliable detection and quantification, which allows accurate monitoring of M. fossilis across a number of habitat types. A dilution experiment under laboratory conditions allowed the definition of the limit of detection (LOD) and the limit of quantification (LOQ), which were set at concentrations of 0.07 and 0.14 copies μl–1, respectively. A series of aquarium experiments revealed a significant and positive relationship between the number of individuals and the eDNA concentration measured. During a 3 year survey (2017–2019), we assessed 96 locations for the presence of M. fossilis in Flanders (Belgium). eDNA analyses on these samples highlighted 45% positive detections of the species. On the basis of the eDNA concentration per litre of water, only 12 sites appeared to harbour relatively dense populations. The other 31 sites gave a relatively weak positive signal that was typically situated below the LOQ. Combining sample-specific estimates of effective DNA quantity (Qe) and conventional field sampling, we concluded that each of these weak positive sites still likely harboured the species and therefore they do not represent false positives. Further, only seven of the classified negative samples warrant additional sampling as our analyses identified a substantial risk of false-negative detections (i.e., type II errors) at these locations. Finally, we illustrated that ddPCR outcompetes conventional qPCR analyses, especially when target DNA concentrations are critically low, which could be attributed to a reduced sensitivity of ddPCR to inhibition effects, higher sample concentrations being accommodated and higher sensitivity obtained.","container-title":"Journal of Fish Biology","DOI":"10.1111/jfb.14315","ISSN":"1095-8649","issue":"2","language":"en","note":"_eprint: https://onlinelibrary.wiley.com/doi/pdf/10.1111/jfb.14315","page":"399-414","source":"Wiley Online Library","title":"Reliable eDNA detection and quantification of the European weather loach (Misgurnus fossilis)","volume":"98","author":[{"family":"Brys","given":"Rein"},{"family":"Halfmaerten","given":"David"},{"family":"Neyrinck","given":"Sabrina"},{"family":"Mauvisseau","given":"Quentin"},{"family":"Auwerx","given":"Johan"},{"family":"Sweet","given":"Michael"},{"family":"Mergeay","given":"Joachim"}],"issued":{"date-parts":[["2021"]]}}}],"schema":"https://github.com/citation-style-language/schema/raw/master/csl-citation.json"} </w:instrText>
      </w:r>
      <w:r w:rsidR="007260FB" w:rsidRPr="00632130">
        <w:rPr>
          <w:rFonts w:ascii="Arial" w:eastAsia="Times New Roman" w:hAnsi="Arial" w:cs="Arial"/>
          <w:color w:val="000000"/>
          <w:sz w:val="22"/>
          <w:lang w:val="en-US"/>
        </w:rPr>
        <w:fldChar w:fldCharType="separate"/>
      </w:r>
      <w:r w:rsidR="007260FB" w:rsidRPr="00632130">
        <w:rPr>
          <w:rFonts w:ascii="Arial" w:hAnsi="Arial" w:cs="Arial"/>
          <w:sz w:val="22"/>
        </w:rPr>
        <w:t>[4]</w:t>
      </w:r>
      <w:r w:rsidR="007260FB" w:rsidRPr="00632130">
        <w:rPr>
          <w:rFonts w:ascii="Arial" w:eastAsia="Times New Roman" w:hAnsi="Arial" w:cs="Arial"/>
          <w:color w:val="000000"/>
          <w:sz w:val="22"/>
          <w:lang w:val="en-US"/>
        </w:rPr>
        <w:fldChar w:fldCharType="end"/>
      </w:r>
      <w:r w:rsidRPr="00632130">
        <w:rPr>
          <w:rFonts w:ascii="Arial" w:eastAsia="Times New Roman" w:hAnsi="Arial" w:cs="Arial"/>
          <w:color w:val="000000"/>
          <w:sz w:val="22"/>
        </w:rPr>
        <w:t>, and considered LOQ as the lowest concentration at which the CV is ≤ 35%.</w:t>
      </w:r>
    </w:p>
    <w:p w14:paraId="6443CCEF" w14:textId="48557D8E" w:rsidR="00A30F23" w:rsidRPr="00A30F23" w:rsidRDefault="00A30F23" w:rsidP="00A30F23">
      <w:pPr>
        <w:spacing w:line="240" w:lineRule="auto"/>
        <w:rPr>
          <w:rFonts w:ascii="Times New Roman" w:eastAsia="Times New Roman" w:hAnsi="Times New Roman" w:cs="Times New Roman"/>
          <w:szCs w:val="24"/>
        </w:rPr>
      </w:pPr>
      <w:r w:rsidRPr="00A30F23">
        <w:rPr>
          <w:rFonts w:ascii="Arial" w:eastAsia="Times New Roman" w:hAnsi="Arial" w:cs="Arial"/>
          <w:color w:val="00000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1892"/>
        <w:gridCol w:w="36"/>
        <w:gridCol w:w="1965"/>
      </w:tblGrid>
      <w:tr w:rsidR="007260FB" w:rsidRPr="00A30F23" w14:paraId="27357C5A" w14:textId="77777777" w:rsidTr="00842AE7">
        <w:trPr>
          <w:trHeight w:val="525"/>
        </w:trPr>
        <w:tc>
          <w:tcPr>
            <w:tcW w:w="0" w:type="auto"/>
            <w:tcBorders>
              <w:bottom w:val="single" w:sz="6" w:space="0" w:color="666666"/>
            </w:tcBorders>
            <w:shd w:val="clear" w:color="auto" w:fill="FFFFFF"/>
            <w:tcMar>
              <w:top w:w="0" w:type="dxa"/>
              <w:left w:w="100" w:type="dxa"/>
              <w:bottom w:w="0" w:type="dxa"/>
              <w:right w:w="100" w:type="dxa"/>
            </w:tcMar>
            <w:hideMark/>
          </w:tcPr>
          <w:p w14:paraId="1819D248" w14:textId="77777777" w:rsidR="007260FB" w:rsidRPr="00A30F23" w:rsidRDefault="007260FB" w:rsidP="00A30F23">
            <w:pPr>
              <w:spacing w:before="240" w:after="0" w:line="240" w:lineRule="auto"/>
              <w:jc w:val="right"/>
              <w:rPr>
                <w:rFonts w:ascii="Times New Roman" w:eastAsia="Times New Roman" w:hAnsi="Times New Roman" w:cs="Times New Roman"/>
                <w:szCs w:val="24"/>
              </w:rPr>
            </w:pPr>
            <w:r w:rsidRPr="00A30F23">
              <w:rPr>
                <w:rFonts w:ascii="Arial" w:eastAsia="Times New Roman" w:hAnsi="Arial" w:cs="Arial"/>
                <w:b/>
                <w:bCs/>
                <w:color w:val="000000"/>
                <w:sz w:val="22"/>
              </w:rPr>
              <w:t>Method</w:t>
            </w:r>
          </w:p>
        </w:tc>
        <w:tc>
          <w:tcPr>
            <w:tcW w:w="0" w:type="auto"/>
            <w:tcBorders>
              <w:bottom w:val="single" w:sz="6" w:space="0" w:color="666666"/>
            </w:tcBorders>
            <w:shd w:val="clear" w:color="auto" w:fill="FFFFFF"/>
            <w:tcMar>
              <w:top w:w="0" w:type="dxa"/>
              <w:left w:w="100" w:type="dxa"/>
              <w:bottom w:w="0" w:type="dxa"/>
              <w:right w:w="100" w:type="dxa"/>
            </w:tcMar>
            <w:hideMark/>
          </w:tcPr>
          <w:p w14:paraId="31A4C563" w14:textId="77777777"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b/>
                <w:bCs/>
                <w:color w:val="000000"/>
                <w:sz w:val="22"/>
              </w:rPr>
              <w:t>LOD (copies/µL)</w:t>
            </w:r>
          </w:p>
        </w:tc>
        <w:tc>
          <w:tcPr>
            <w:tcW w:w="0" w:type="auto"/>
            <w:tcBorders>
              <w:bottom w:val="single" w:sz="6" w:space="0" w:color="666666"/>
            </w:tcBorders>
            <w:shd w:val="clear" w:color="auto" w:fill="FFFFFF"/>
          </w:tcPr>
          <w:p w14:paraId="1638211F" w14:textId="77777777" w:rsidR="007260FB" w:rsidRPr="00A30F23" w:rsidRDefault="007260FB" w:rsidP="00A30F23">
            <w:pPr>
              <w:spacing w:before="240" w:after="0" w:line="240" w:lineRule="auto"/>
              <w:rPr>
                <w:rFonts w:ascii="Arial" w:eastAsia="Times New Roman" w:hAnsi="Arial" w:cs="Arial"/>
                <w:b/>
                <w:bCs/>
                <w:color w:val="000000"/>
                <w:sz w:val="22"/>
              </w:rPr>
            </w:pPr>
          </w:p>
        </w:tc>
        <w:tc>
          <w:tcPr>
            <w:tcW w:w="0" w:type="auto"/>
            <w:tcBorders>
              <w:bottom w:val="single" w:sz="6" w:space="0" w:color="666666"/>
            </w:tcBorders>
            <w:shd w:val="clear" w:color="auto" w:fill="FFFFFF"/>
            <w:tcMar>
              <w:top w:w="0" w:type="dxa"/>
              <w:left w:w="100" w:type="dxa"/>
              <w:bottom w:w="0" w:type="dxa"/>
              <w:right w:w="100" w:type="dxa"/>
            </w:tcMar>
            <w:hideMark/>
          </w:tcPr>
          <w:p w14:paraId="19352768" w14:textId="28F9E7A3"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b/>
                <w:bCs/>
                <w:color w:val="000000"/>
                <w:sz w:val="22"/>
              </w:rPr>
              <w:t>LOQ (copies/ µL)</w:t>
            </w:r>
          </w:p>
        </w:tc>
      </w:tr>
      <w:tr w:rsidR="007260FB" w:rsidRPr="00A30F23" w14:paraId="49D9A26F" w14:textId="77777777" w:rsidTr="00842AE7">
        <w:trPr>
          <w:trHeight w:val="525"/>
        </w:trPr>
        <w:tc>
          <w:tcPr>
            <w:tcW w:w="0" w:type="auto"/>
            <w:tcBorders>
              <w:top w:val="single" w:sz="6" w:space="0" w:color="666666"/>
              <w:right w:val="single" w:sz="6" w:space="0" w:color="666666"/>
            </w:tcBorders>
            <w:shd w:val="clear" w:color="auto" w:fill="FFFFFF"/>
            <w:tcMar>
              <w:top w:w="0" w:type="dxa"/>
              <w:left w:w="100" w:type="dxa"/>
              <w:bottom w:w="0" w:type="dxa"/>
              <w:right w:w="100" w:type="dxa"/>
            </w:tcMar>
            <w:hideMark/>
          </w:tcPr>
          <w:p w14:paraId="49F04BAE" w14:textId="77777777" w:rsidR="007260FB" w:rsidRPr="00A30F23" w:rsidRDefault="007260FB" w:rsidP="00A30F23">
            <w:pPr>
              <w:spacing w:before="240" w:after="0" w:line="240" w:lineRule="auto"/>
              <w:jc w:val="right"/>
              <w:rPr>
                <w:rFonts w:ascii="Times New Roman" w:eastAsia="Times New Roman" w:hAnsi="Times New Roman" w:cs="Times New Roman"/>
                <w:szCs w:val="24"/>
              </w:rPr>
            </w:pPr>
            <w:r w:rsidRPr="00A30F23">
              <w:rPr>
                <w:rFonts w:ascii="Arial" w:eastAsia="Times New Roman" w:hAnsi="Arial" w:cs="Arial"/>
                <w:color w:val="000000"/>
                <w:sz w:val="22"/>
              </w:rPr>
              <w:t>dPCR</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22943AE3" w14:textId="77777777"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0.51</w:t>
            </w:r>
          </w:p>
        </w:tc>
        <w:tc>
          <w:tcPr>
            <w:tcW w:w="0" w:type="auto"/>
            <w:tcBorders>
              <w:top w:val="single" w:sz="6" w:space="0" w:color="666666"/>
              <w:left w:val="single" w:sz="6" w:space="0" w:color="666666"/>
              <w:bottom w:val="single" w:sz="6" w:space="0" w:color="666666"/>
              <w:right w:val="single" w:sz="6" w:space="0" w:color="666666"/>
            </w:tcBorders>
            <w:shd w:val="clear" w:color="auto" w:fill="CCCCCC"/>
          </w:tcPr>
          <w:p w14:paraId="0930B494" w14:textId="77777777" w:rsidR="007260FB" w:rsidRPr="00A30F23" w:rsidRDefault="007260FB" w:rsidP="00A30F23">
            <w:pPr>
              <w:spacing w:before="240" w:after="0" w:line="240" w:lineRule="auto"/>
              <w:rPr>
                <w:rFonts w:ascii="Arial" w:eastAsia="Times New Roman" w:hAnsi="Arial" w:cs="Arial"/>
                <w:color w:val="000000"/>
                <w:sz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2BA3E6CA" w14:textId="025B71FD"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2.12</w:t>
            </w:r>
          </w:p>
        </w:tc>
      </w:tr>
      <w:tr w:rsidR="007260FB" w:rsidRPr="00A30F23" w14:paraId="60E38419" w14:textId="77777777" w:rsidTr="00842AE7">
        <w:trPr>
          <w:trHeight w:val="525"/>
        </w:trPr>
        <w:tc>
          <w:tcPr>
            <w:tcW w:w="0" w:type="auto"/>
            <w:tcBorders>
              <w:right w:val="single" w:sz="6" w:space="0" w:color="666666"/>
            </w:tcBorders>
            <w:shd w:val="clear" w:color="auto" w:fill="FFFFFF"/>
            <w:tcMar>
              <w:top w:w="0" w:type="dxa"/>
              <w:left w:w="100" w:type="dxa"/>
              <w:bottom w:w="0" w:type="dxa"/>
              <w:right w:w="100" w:type="dxa"/>
            </w:tcMar>
            <w:hideMark/>
          </w:tcPr>
          <w:p w14:paraId="3D394801" w14:textId="77777777" w:rsidR="007260FB" w:rsidRPr="00A30F23" w:rsidRDefault="007260FB" w:rsidP="00A30F23">
            <w:pPr>
              <w:spacing w:before="240" w:after="0" w:line="240" w:lineRule="auto"/>
              <w:jc w:val="right"/>
              <w:rPr>
                <w:rFonts w:ascii="Times New Roman" w:eastAsia="Times New Roman" w:hAnsi="Times New Roman" w:cs="Times New Roman"/>
                <w:szCs w:val="24"/>
              </w:rPr>
            </w:pPr>
            <w:r w:rsidRPr="00A30F23">
              <w:rPr>
                <w:rFonts w:ascii="Arial" w:eastAsia="Times New Roman" w:hAnsi="Arial" w:cs="Arial"/>
                <w:color w:val="000000"/>
                <w:sz w:val="22"/>
              </w:rPr>
              <w:t>ddPCR</w:t>
            </w: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598C135F" w14:textId="77777777"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0.63</w:t>
            </w:r>
          </w:p>
        </w:tc>
        <w:tc>
          <w:tcPr>
            <w:tcW w:w="0" w:type="auto"/>
            <w:tcBorders>
              <w:top w:val="single" w:sz="6" w:space="0" w:color="666666"/>
              <w:left w:val="single" w:sz="6" w:space="0" w:color="666666"/>
              <w:bottom w:val="single" w:sz="6" w:space="0" w:color="666666"/>
              <w:right w:val="single" w:sz="6" w:space="0" w:color="666666"/>
            </w:tcBorders>
          </w:tcPr>
          <w:p w14:paraId="1F1AC3BB" w14:textId="77777777" w:rsidR="007260FB" w:rsidRPr="00A30F23" w:rsidRDefault="007260FB" w:rsidP="00A30F23">
            <w:pPr>
              <w:spacing w:before="240" w:after="0" w:line="240" w:lineRule="auto"/>
              <w:rPr>
                <w:rFonts w:ascii="Arial" w:eastAsia="Times New Roman" w:hAnsi="Arial" w:cs="Arial"/>
                <w:color w:val="000000"/>
                <w:sz w:val="22"/>
              </w:rPr>
            </w:pP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6DD00883" w14:textId="2C8C580D"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1.23</w:t>
            </w:r>
          </w:p>
        </w:tc>
      </w:tr>
      <w:tr w:rsidR="007260FB" w:rsidRPr="00A30F23" w14:paraId="78F4DAA9" w14:textId="77777777" w:rsidTr="00842AE7">
        <w:trPr>
          <w:trHeight w:val="525"/>
        </w:trPr>
        <w:tc>
          <w:tcPr>
            <w:tcW w:w="0" w:type="auto"/>
            <w:tcBorders>
              <w:right w:val="single" w:sz="6" w:space="0" w:color="666666"/>
            </w:tcBorders>
            <w:shd w:val="clear" w:color="auto" w:fill="FFFFFF"/>
            <w:tcMar>
              <w:top w:w="0" w:type="dxa"/>
              <w:left w:w="100" w:type="dxa"/>
              <w:bottom w:w="0" w:type="dxa"/>
              <w:right w:w="100" w:type="dxa"/>
            </w:tcMar>
            <w:hideMark/>
          </w:tcPr>
          <w:p w14:paraId="134F8C53" w14:textId="77777777" w:rsidR="007260FB" w:rsidRPr="00A30F23" w:rsidRDefault="007260FB" w:rsidP="00A30F23">
            <w:pPr>
              <w:spacing w:before="240" w:after="0" w:line="240" w:lineRule="auto"/>
              <w:jc w:val="right"/>
              <w:rPr>
                <w:rFonts w:ascii="Times New Roman" w:eastAsia="Times New Roman" w:hAnsi="Times New Roman" w:cs="Times New Roman"/>
                <w:szCs w:val="24"/>
              </w:rPr>
            </w:pPr>
            <w:r w:rsidRPr="00A30F23">
              <w:rPr>
                <w:rFonts w:ascii="Arial" w:eastAsia="Times New Roman" w:hAnsi="Arial" w:cs="Arial"/>
                <w:color w:val="000000"/>
                <w:sz w:val="22"/>
              </w:rPr>
              <w:t>qPCR</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6DC70C70" w14:textId="77777777"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2.42</w:t>
            </w:r>
          </w:p>
        </w:tc>
        <w:tc>
          <w:tcPr>
            <w:tcW w:w="0" w:type="auto"/>
            <w:tcBorders>
              <w:top w:val="single" w:sz="6" w:space="0" w:color="666666"/>
              <w:left w:val="single" w:sz="6" w:space="0" w:color="666666"/>
              <w:bottom w:val="single" w:sz="6" w:space="0" w:color="666666"/>
              <w:right w:val="single" w:sz="6" w:space="0" w:color="666666"/>
            </w:tcBorders>
            <w:shd w:val="clear" w:color="auto" w:fill="CCCCCC"/>
          </w:tcPr>
          <w:p w14:paraId="319833E3" w14:textId="77777777" w:rsidR="007260FB" w:rsidRPr="00A30F23" w:rsidRDefault="007260FB" w:rsidP="00A30F23">
            <w:pPr>
              <w:spacing w:before="240" w:after="0" w:line="240" w:lineRule="auto"/>
              <w:rPr>
                <w:rFonts w:ascii="Arial" w:eastAsia="Times New Roman" w:hAnsi="Arial" w:cs="Arial"/>
                <w:color w:val="000000"/>
                <w:sz w:val="22"/>
              </w:rPr>
            </w:pP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08351F0D" w14:textId="60D39F6E" w:rsidR="007260FB" w:rsidRPr="00A30F23" w:rsidRDefault="007260FB" w:rsidP="00A30F23">
            <w:pPr>
              <w:spacing w:before="240" w:after="0" w:line="240" w:lineRule="auto"/>
              <w:rPr>
                <w:rFonts w:ascii="Times New Roman" w:eastAsia="Times New Roman" w:hAnsi="Times New Roman" w:cs="Times New Roman"/>
                <w:szCs w:val="24"/>
              </w:rPr>
            </w:pPr>
            <w:r w:rsidRPr="00A30F23">
              <w:rPr>
                <w:rFonts w:ascii="Arial" w:eastAsia="Times New Roman" w:hAnsi="Arial" w:cs="Arial"/>
                <w:color w:val="000000"/>
                <w:sz w:val="22"/>
              </w:rPr>
              <w:t>4.9</w:t>
            </w:r>
          </w:p>
        </w:tc>
      </w:tr>
    </w:tbl>
    <w:p w14:paraId="1094030C" w14:textId="77777777" w:rsidR="001917F6" w:rsidRDefault="001917F6" w:rsidP="00A30F23">
      <w:pPr>
        <w:spacing w:after="240" w:line="240" w:lineRule="auto"/>
        <w:rPr>
          <w:rFonts w:ascii="Times New Roman" w:eastAsia="Times New Roman" w:hAnsi="Times New Roman" w:cs="Times New Roman"/>
          <w:szCs w:val="24"/>
        </w:rPr>
      </w:pPr>
    </w:p>
    <w:p w14:paraId="1E9E5712" w14:textId="77777777" w:rsidR="001917F6" w:rsidRDefault="001917F6">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4757449" w14:textId="19459CD5" w:rsidR="00A30F23" w:rsidRPr="00A30F23" w:rsidRDefault="00A30F23" w:rsidP="00A30F23">
      <w:pPr>
        <w:spacing w:after="240" w:line="240" w:lineRule="auto"/>
        <w:rPr>
          <w:rFonts w:ascii="Times New Roman" w:eastAsia="Times New Roman" w:hAnsi="Times New Roman" w:cs="Times New Roman"/>
          <w:szCs w:val="24"/>
        </w:rPr>
      </w:pPr>
      <w:r w:rsidRPr="00A30F23">
        <w:rPr>
          <w:rFonts w:ascii="Times New Roman" w:eastAsia="Times New Roman" w:hAnsi="Times New Roman" w:cs="Times New Roman"/>
          <w:szCs w:val="24"/>
        </w:rPr>
        <w:lastRenderedPageBreak/>
        <w:br/>
      </w:r>
    </w:p>
    <w:p w14:paraId="08FB0E22" w14:textId="7A0FFF00"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b/>
          <w:bCs/>
          <w:color w:val="000000"/>
          <w:sz w:val="22"/>
        </w:rPr>
        <w:t xml:space="preserve">Table S5. </w:t>
      </w:r>
      <w:r w:rsidR="00632130">
        <w:rPr>
          <w:rFonts w:ascii="Arial" w:eastAsia="Times New Roman" w:hAnsi="Arial" w:cs="Arial"/>
          <w:color w:val="000000"/>
          <w:sz w:val="22"/>
        </w:rPr>
        <w:t xml:space="preserve">Calculated copy number of </w:t>
      </w:r>
      <w:r w:rsidRPr="00A30F23">
        <w:rPr>
          <w:rFonts w:ascii="Arial" w:eastAsia="Times New Roman" w:hAnsi="Arial" w:cs="Arial"/>
          <w:color w:val="000000"/>
          <w:sz w:val="22"/>
        </w:rPr>
        <w:t xml:space="preserve">synthetic </w:t>
      </w:r>
      <w:proofErr w:type="spellStart"/>
      <w:r w:rsidR="00632130">
        <w:rPr>
          <w:rFonts w:ascii="Arial" w:eastAsia="Times New Roman" w:hAnsi="Arial" w:cs="Arial"/>
          <w:color w:val="000000"/>
          <w:sz w:val="22"/>
        </w:rPr>
        <w:t>mt</w:t>
      </w:r>
      <w:r w:rsidRPr="00A30F23">
        <w:rPr>
          <w:rFonts w:ascii="Arial" w:eastAsia="Times New Roman" w:hAnsi="Arial" w:cs="Arial"/>
          <w:color w:val="000000"/>
          <w:sz w:val="22"/>
        </w:rPr>
        <w:t>DNA</w:t>
      </w:r>
      <w:proofErr w:type="spellEnd"/>
      <w:r w:rsidRPr="00A30F23">
        <w:rPr>
          <w:rFonts w:ascii="Arial" w:eastAsia="Times New Roman" w:hAnsi="Arial" w:cs="Arial"/>
          <w:color w:val="000000"/>
          <w:sz w:val="22"/>
        </w:rPr>
        <w:t xml:space="preserve">. Based on the molecular weight (30854 g/mole) of the synthetic </w:t>
      </w:r>
      <w:r w:rsidR="00632130">
        <w:rPr>
          <w:rFonts w:ascii="Arial" w:eastAsia="Times New Roman" w:hAnsi="Arial" w:cs="Arial"/>
          <w:color w:val="000000"/>
          <w:sz w:val="22"/>
        </w:rPr>
        <w:t>oligo</w:t>
      </w:r>
      <w:r w:rsidRPr="00A30F23">
        <w:rPr>
          <w:rFonts w:ascii="Arial" w:eastAsia="Times New Roman" w:hAnsi="Arial" w:cs="Arial"/>
          <w:color w:val="000000"/>
          <w:sz w:val="22"/>
        </w:rPr>
        <w:t>, the number of copies (molecules) for the different dilutions of the synthetic DNA was estimated using the formula provided below the table. </w:t>
      </w:r>
    </w:p>
    <w:tbl>
      <w:tblPr>
        <w:tblW w:w="0" w:type="auto"/>
        <w:tblCellMar>
          <w:top w:w="15" w:type="dxa"/>
          <w:left w:w="15" w:type="dxa"/>
          <w:bottom w:w="15" w:type="dxa"/>
          <w:right w:w="15" w:type="dxa"/>
        </w:tblCellMar>
        <w:tblLook w:val="04A0" w:firstRow="1" w:lastRow="0" w:firstColumn="1" w:lastColumn="0" w:noHBand="0" w:noVBand="1"/>
      </w:tblPr>
      <w:tblGrid>
        <w:gridCol w:w="2514"/>
        <w:gridCol w:w="3205"/>
      </w:tblGrid>
      <w:tr w:rsidR="00A30F23" w:rsidRPr="00A30F23" w14:paraId="3C9D0082" w14:textId="77777777" w:rsidTr="00A30F23">
        <w:trPr>
          <w:trHeight w:val="765"/>
        </w:trPr>
        <w:tc>
          <w:tcPr>
            <w:tcW w:w="0" w:type="auto"/>
            <w:tcBorders>
              <w:bottom w:val="single" w:sz="6" w:space="0" w:color="666666"/>
            </w:tcBorders>
            <w:shd w:val="clear" w:color="auto" w:fill="FFFFFF"/>
            <w:tcMar>
              <w:top w:w="0" w:type="dxa"/>
              <w:left w:w="100" w:type="dxa"/>
              <w:bottom w:w="0" w:type="dxa"/>
              <w:right w:w="100" w:type="dxa"/>
            </w:tcMar>
            <w:hideMark/>
          </w:tcPr>
          <w:p w14:paraId="2259DA43" w14:textId="77777777" w:rsidR="00A30F23" w:rsidRPr="00A30F23" w:rsidRDefault="00A30F23" w:rsidP="00A30F23">
            <w:pPr>
              <w:spacing w:before="240" w:after="0" w:line="240" w:lineRule="auto"/>
              <w:rPr>
                <w:rFonts w:ascii="Times New Roman" w:eastAsia="Times New Roman" w:hAnsi="Times New Roman" w:cs="Times New Roman"/>
                <w:szCs w:val="24"/>
              </w:rPr>
            </w:pPr>
            <w:r w:rsidRPr="00A30F23">
              <w:rPr>
                <w:rFonts w:ascii="Times New Roman" w:eastAsia="Times New Roman" w:hAnsi="Times New Roman" w:cs="Times New Roman"/>
                <w:b/>
                <w:bCs/>
                <w:color w:val="000000"/>
                <w:sz w:val="22"/>
              </w:rPr>
              <w:t> </w:t>
            </w:r>
          </w:p>
          <w:p w14:paraId="6C1700BF" w14:textId="3E8472C6" w:rsidR="00A30F23" w:rsidRPr="00A30F23" w:rsidRDefault="00632130" w:rsidP="00A30F23">
            <w:pPr>
              <w:spacing w:after="0" w:line="240" w:lineRule="auto"/>
              <w:ind w:left="60"/>
              <w:jc w:val="center"/>
              <w:rPr>
                <w:rFonts w:ascii="Times New Roman" w:eastAsia="Times New Roman" w:hAnsi="Times New Roman" w:cs="Times New Roman"/>
                <w:szCs w:val="24"/>
              </w:rPr>
            </w:pPr>
            <w:r>
              <w:rPr>
                <w:rFonts w:ascii="Arial" w:eastAsia="Times New Roman" w:hAnsi="Arial" w:cs="Arial"/>
                <w:b/>
                <w:bCs/>
                <w:color w:val="000000"/>
                <w:sz w:val="22"/>
              </w:rPr>
              <w:t>Dilution steps</w:t>
            </w:r>
            <w:r w:rsidR="00A30F23" w:rsidRPr="00A30F23">
              <w:rPr>
                <w:rFonts w:ascii="Arial" w:eastAsia="Times New Roman" w:hAnsi="Arial" w:cs="Arial"/>
                <w:b/>
                <w:bCs/>
                <w:color w:val="000000"/>
                <w:sz w:val="22"/>
              </w:rPr>
              <w:t xml:space="preserve"> (ng/µL)</w:t>
            </w:r>
          </w:p>
        </w:tc>
        <w:tc>
          <w:tcPr>
            <w:tcW w:w="0" w:type="auto"/>
            <w:tcBorders>
              <w:bottom w:val="single" w:sz="6" w:space="0" w:color="666666"/>
            </w:tcBorders>
            <w:shd w:val="clear" w:color="auto" w:fill="FFFFFF"/>
            <w:tcMar>
              <w:top w:w="0" w:type="dxa"/>
              <w:left w:w="100" w:type="dxa"/>
              <w:bottom w:w="0" w:type="dxa"/>
              <w:right w:w="100" w:type="dxa"/>
            </w:tcMar>
            <w:hideMark/>
          </w:tcPr>
          <w:p w14:paraId="4984995F" w14:textId="77777777" w:rsidR="00A30F23" w:rsidRPr="00A30F23" w:rsidRDefault="00A30F23" w:rsidP="00A30F23">
            <w:pPr>
              <w:spacing w:before="240" w:after="0" w:line="240" w:lineRule="auto"/>
              <w:rPr>
                <w:rFonts w:ascii="Times New Roman" w:eastAsia="Times New Roman" w:hAnsi="Times New Roman" w:cs="Times New Roman"/>
                <w:szCs w:val="24"/>
              </w:rPr>
            </w:pPr>
            <w:r w:rsidRPr="00A30F23">
              <w:rPr>
                <w:rFonts w:ascii="Times New Roman" w:eastAsia="Times New Roman" w:hAnsi="Times New Roman" w:cs="Times New Roman"/>
                <w:b/>
                <w:bCs/>
                <w:color w:val="000000"/>
                <w:sz w:val="22"/>
              </w:rPr>
              <w:t> </w:t>
            </w:r>
          </w:p>
          <w:p w14:paraId="7EFCA042" w14:textId="7D8F53BC" w:rsidR="00A30F23" w:rsidRPr="00A30F23" w:rsidRDefault="00632130" w:rsidP="00A30F23">
            <w:pPr>
              <w:spacing w:after="0" w:line="240" w:lineRule="auto"/>
              <w:ind w:left="360"/>
              <w:jc w:val="center"/>
              <w:rPr>
                <w:rFonts w:ascii="Times New Roman" w:eastAsia="Times New Roman" w:hAnsi="Times New Roman" w:cs="Times New Roman"/>
                <w:szCs w:val="24"/>
              </w:rPr>
            </w:pPr>
            <w:r>
              <w:rPr>
                <w:rFonts w:ascii="Arial" w:eastAsia="Times New Roman" w:hAnsi="Arial" w:cs="Arial"/>
                <w:b/>
                <w:bCs/>
                <w:color w:val="000000"/>
                <w:sz w:val="22"/>
              </w:rPr>
              <w:t>Copy number</w:t>
            </w:r>
            <w:r w:rsidR="00A30F23" w:rsidRPr="00A30F23">
              <w:rPr>
                <w:rFonts w:ascii="Arial" w:eastAsia="Times New Roman" w:hAnsi="Arial" w:cs="Arial"/>
                <w:b/>
                <w:bCs/>
                <w:color w:val="000000"/>
                <w:sz w:val="22"/>
              </w:rPr>
              <w:t xml:space="preserve"> (copies/µL)</w:t>
            </w:r>
          </w:p>
        </w:tc>
      </w:tr>
      <w:tr w:rsidR="00A30F23" w:rsidRPr="00A30F23" w14:paraId="055DBA80" w14:textId="77777777" w:rsidTr="00A30F23">
        <w:trPr>
          <w:trHeight w:val="315"/>
        </w:trPr>
        <w:tc>
          <w:tcPr>
            <w:tcW w:w="0" w:type="auto"/>
            <w:tcBorders>
              <w:top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6E2950DE"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0.00025</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42104617"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06E02F77" w14:textId="77777777" w:rsidTr="00A30F23">
        <w:trPr>
          <w:trHeight w:val="315"/>
        </w:trPr>
        <w:tc>
          <w:tcPr>
            <w:tcW w:w="0" w:type="auto"/>
            <w:tcBorders>
              <w:top w:val="single" w:sz="6" w:space="0" w:color="666666"/>
              <w:bottom w:val="single" w:sz="6" w:space="0" w:color="666666"/>
              <w:right w:val="single" w:sz="6" w:space="0" w:color="666666"/>
            </w:tcBorders>
            <w:tcMar>
              <w:top w:w="0" w:type="dxa"/>
              <w:left w:w="100" w:type="dxa"/>
              <w:bottom w:w="0" w:type="dxa"/>
              <w:right w:w="100" w:type="dxa"/>
            </w:tcMar>
            <w:hideMark/>
          </w:tcPr>
          <w:p w14:paraId="77C86151"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0.000025</w:t>
            </w: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5D4A4FB1"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5CDC27F3" w14:textId="77777777" w:rsidTr="00A30F23">
        <w:trPr>
          <w:trHeight w:val="315"/>
        </w:trPr>
        <w:tc>
          <w:tcPr>
            <w:tcW w:w="0" w:type="auto"/>
            <w:tcBorders>
              <w:top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6189ACDD"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2.5E-06</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79B982CF"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2226B4EE" w14:textId="77777777" w:rsidTr="00A30F23">
        <w:trPr>
          <w:trHeight w:val="315"/>
        </w:trPr>
        <w:tc>
          <w:tcPr>
            <w:tcW w:w="0" w:type="auto"/>
            <w:tcBorders>
              <w:top w:val="single" w:sz="6" w:space="0" w:color="666666"/>
              <w:bottom w:val="single" w:sz="6" w:space="0" w:color="666666"/>
              <w:right w:val="single" w:sz="6" w:space="0" w:color="666666"/>
            </w:tcBorders>
            <w:tcMar>
              <w:top w:w="0" w:type="dxa"/>
              <w:left w:w="100" w:type="dxa"/>
              <w:bottom w:w="0" w:type="dxa"/>
              <w:right w:w="100" w:type="dxa"/>
            </w:tcMar>
            <w:hideMark/>
          </w:tcPr>
          <w:p w14:paraId="04F56CB9"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2.5E-07</w:t>
            </w: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5658A7B5"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49C97EC6" w14:textId="77777777" w:rsidTr="00A30F23">
        <w:trPr>
          <w:trHeight w:val="315"/>
        </w:trPr>
        <w:tc>
          <w:tcPr>
            <w:tcW w:w="0" w:type="auto"/>
            <w:tcBorders>
              <w:top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41F7D0B3"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2.5E-08</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5B0E2C61"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59F83CC2" w14:textId="77777777" w:rsidTr="00A30F23">
        <w:trPr>
          <w:trHeight w:val="315"/>
        </w:trPr>
        <w:tc>
          <w:tcPr>
            <w:tcW w:w="0" w:type="auto"/>
            <w:tcBorders>
              <w:top w:val="single" w:sz="6" w:space="0" w:color="666666"/>
              <w:bottom w:val="single" w:sz="6" w:space="0" w:color="666666"/>
              <w:right w:val="single" w:sz="6" w:space="0" w:color="666666"/>
            </w:tcBorders>
            <w:tcMar>
              <w:top w:w="0" w:type="dxa"/>
              <w:left w:w="100" w:type="dxa"/>
              <w:bottom w:w="0" w:type="dxa"/>
              <w:right w:w="100" w:type="dxa"/>
            </w:tcMar>
            <w:hideMark/>
          </w:tcPr>
          <w:p w14:paraId="52113D3B"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2.5E-09</w:t>
            </w: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7A66EF53"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20B17C6D" w14:textId="77777777" w:rsidTr="00A30F23">
        <w:trPr>
          <w:trHeight w:val="315"/>
        </w:trPr>
        <w:tc>
          <w:tcPr>
            <w:tcW w:w="0" w:type="auto"/>
            <w:tcBorders>
              <w:top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233FD730"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2.5E-10</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632F17D0"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4.879513</w:t>
            </w:r>
          </w:p>
        </w:tc>
      </w:tr>
      <w:tr w:rsidR="00A30F23" w:rsidRPr="00A30F23" w14:paraId="2756C173" w14:textId="77777777" w:rsidTr="00A30F23">
        <w:trPr>
          <w:trHeight w:val="315"/>
        </w:trPr>
        <w:tc>
          <w:tcPr>
            <w:tcW w:w="0" w:type="auto"/>
            <w:tcBorders>
              <w:top w:val="single" w:sz="6" w:space="0" w:color="666666"/>
              <w:bottom w:val="single" w:sz="6" w:space="0" w:color="666666"/>
              <w:right w:val="single" w:sz="6" w:space="0" w:color="666666"/>
            </w:tcBorders>
            <w:tcMar>
              <w:top w:w="0" w:type="dxa"/>
              <w:left w:w="100" w:type="dxa"/>
              <w:bottom w:w="0" w:type="dxa"/>
              <w:right w:w="100" w:type="dxa"/>
            </w:tcMar>
            <w:hideMark/>
          </w:tcPr>
          <w:p w14:paraId="53FF30B9"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2.5E-11</w:t>
            </w:r>
          </w:p>
        </w:tc>
        <w:tc>
          <w:tcPr>
            <w:tcW w:w="0" w:type="auto"/>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hideMark/>
          </w:tcPr>
          <w:p w14:paraId="7FFCFBD9"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0.487951</w:t>
            </w:r>
          </w:p>
        </w:tc>
      </w:tr>
      <w:tr w:rsidR="00A30F23" w:rsidRPr="00A30F23" w14:paraId="51D9AFDA" w14:textId="77777777" w:rsidTr="00A30F23">
        <w:trPr>
          <w:trHeight w:val="315"/>
        </w:trPr>
        <w:tc>
          <w:tcPr>
            <w:tcW w:w="0" w:type="auto"/>
            <w:tcBorders>
              <w:top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464817F1"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2.5E-12</w:t>
            </w:r>
          </w:p>
        </w:tc>
        <w:tc>
          <w:tcPr>
            <w:tcW w:w="0" w:type="auto"/>
            <w:tcBorders>
              <w:top w:val="single" w:sz="6" w:space="0" w:color="666666"/>
              <w:left w:val="single" w:sz="6" w:space="0" w:color="666666"/>
              <w:bottom w:val="single" w:sz="6" w:space="0" w:color="666666"/>
              <w:right w:val="single" w:sz="6" w:space="0" w:color="666666"/>
            </w:tcBorders>
            <w:shd w:val="clear" w:color="auto" w:fill="CCCCCC"/>
            <w:tcMar>
              <w:top w:w="0" w:type="dxa"/>
              <w:left w:w="100" w:type="dxa"/>
              <w:bottom w:w="0" w:type="dxa"/>
              <w:right w:w="100" w:type="dxa"/>
            </w:tcMar>
            <w:hideMark/>
          </w:tcPr>
          <w:p w14:paraId="56CB571C" w14:textId="77777777" w:rsidR="00A30F23" w:rsidRPr="00A30F23" w:rsidRDefault="00A30F23" w:rsidP="00A30F23">
            <w:pPr>
              <w:spacing w:after="0" w:line="240" w:lineRule="auto"/>
              <w:ind w:left="360"/>
              <w:rPr>
                <w:rFonts w:ascii="Times New Roman" w:eastAsia="Times New Roman" w:hAnsi="Times New Roman" w:cs="Times New Roman"/>
                <w:szCs w:val="24"/>
              </w:rPr>
            </w:pPr>
            <w:r w:rsidRPr="00A30F23">
              <w:rPr>
                <w:rFonts w:ascii="Arial" w:eastAsia="Times New Roman" w:hAnsi="Arial" w:cs="Arial"/>
                <w:color w:val="000000"/>
                <w:sz w:val="22"/>
              </w:rPr>
              <w:t>0.048795</w:t>
            </w:r>
          </w:p>
        </w:tc>
      </w:tr>
    </w:tbl>
    <w:p w14:paraId="273C2081" w14:textId="26DE99A8"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noProof/>
          <w:color w:val="000000"/>
          <w:sz w:val="22"/>
          <w:bdr w:val="none" w:sz="0" w:space="0" w:color="auto" w:frame="1"/>
          <w:lang w:val="nb-NO" w:eastAsia="nb-NO"/>
        </w:rPr>
        <w:drawing>
          <wp:inline distT="0" distB="0" distL="0" distR="0" wp14:anchorId="05A147F0" wp14:editId="52B5E352">
            <wp:extent cx="4008120" cy="518160"/>
            <wp:effectExtent l="0" t="0" r="0" b="0"/>
            <wp:docPr id="10736643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120" cy="518160"/>
                    </a:xfrm>
                    <a:prstGeom prst="rect">
                      <a:avLst/>
                    </a:prstGeom>
                    <a:noFill/>
                    <a:ln>
                      <a:noFill/>
                    </a:ln>
                  </pic:spPr>
                </pic:pic>
              </a:graphicData>
            </a:graphic>
          </wp:inline>
        </w:drawing>
      </w:r>
    </w:p>
    <w:p w14:paraId="48B7B454" w14:textId="3B7F1027" w:rsidR="001917F6" w:rsidRDefault="001917F6">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149B6E01" w14:textId="77777777" w:rsidR="00A30F23" w:rsidRPr="00A30F23" w:rsidRDefault="00A30F23" w:rsidP="00A30F23">
      <w:pPr>
        <w:spacing w:after="240" w:line="240" w:lineRule="auto"/>
        <w:rPr>
          <w:rFonts w:ascii="Times New Roman" w:eastAsia="Times New Roman" w:hAnsi="Times New Roman" w:cs="Times New Roman"/>
          <w:szCs w:val="24"/>
        </w:rPr>
      </w:pPr>
    </w:p>
    <w:p w14:paraId="4A8DCE96" w14:textId="47E7DEB5"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b/>
          <w:bCs/>
          <w:noProof/>
          <w:color w:val="000000"/>
          <w:sz w:val="22"/>
          <w:bdr w:val="none" w:sz="0" w:space="0" w:color="auto" w:frame="1"/>
          <w:lang w:val="nb-NO" w:eastAsia="nb-NO"/>
        </w:rPr>
        <w:drawing>
          <wp:inline distT="0" distB="0" distL="0" distR="0" wp14:anchorId="17516A0D" wp14:editId="2C976AC5">
            <wp:extent cx="5731510" cy="2748280"/>
            <wp:effectExtent l="0" t="0" r="2540" b="0"/>
            <wp:docPr id="40257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48280"/>
                    </a:xfrm>
                    <a:prstGeom prst="rect">
                      <a:avLst/>
                    </a:prstGeom>
                    <a:noFill/>
                    <a:ln>
                      <a:noFill/>
                    </a:ln>
                  </pic:spPr>
                </pic:pic>
              </a:graphicData>
            </a:graphic>
          </wp:inline>
        </w:drawing>
      </w:r>
    </w:p>
    <w:p w14:paraId="3D3B22B0" w14:textId="29D7DAEE" w:rsidR="00A30F23" w:rsidRDefault="00A30F23" w:rsidP="00A30F23">
      <w:pPr>
        <w:spacing w:after="0" w:line="480" w:lineRule="auto"/>
        <w:rPr>
          <w:rFonts w:ascii="Arial" w:eastAsia="Times New Roman" w:hAnsi="Arial" w:cs="Arial"/>
          <w:color w:val="000000"/>
          <w:sz w:val="22"/>
        </w:rPr>
      </w:pPr>
      <w:r w:rsidRPr="00A30F23">
        <w:rPr>
          <w:rFonts w:ascii="Arial" w:eastAsia="Times New Roman" w:hAnsi="Arial" w:cs="Arial"/>
          <w:b/>
          <w:bCs/>
          <w:color w:val="000000"/>
          <w:sz w:val="22"/>
        </w:rPr>
        <w:t xml:space="preserve">Figure S1. </w:t>
      </w:r>
      <w:r w:rsidRPr="00A30F23">
        <w:rPr>
          <w:rFonts w:ascii="Arial" w:eastAsia="Times New Roman" w:hAnsi="Arial" w:cs="Arial"/>
          <w:color w:val="000000"/>
          <w:sz w:val="22"/>
        </w:rPr>
        <w:t>Estimated Limit of Detection (LOD) and Limit of Quantification (LOQ) for qPCR. The calculations and the figure were generated following the R script provided in</w:t>
      </w:r>
      <w:r w:rsidR="007260FB">
        <w:rPr>
          <w:rFonts w:ascii="Arial" w:eastAsia="Times New Roman" w:hAnsi="Arial" w:cs="Arial"/>
          <w:color w:val="000000"/>
          <w:sz w:val="22"/>
          <w:lang w:val="en-US"/>
        </w:rPr>
        <w:t xml:space="preserve"> </w:t>
      </w:r>
      <w:r w:rsidR="007260FB">
        <w:rPr>
          <w:rFonts w:ascii="Arial" w:eastAsia="Times New Roman" w:hAnsi="Arial" w:cs="Arial"/>
          <w:color w:val="000000"/>
          <w:sz w:val="22"/>
          <w:lang w:val="en-US"/>
        </w:rPr>
        <w:fldChar w:fldCharType="begin"/>
      </w:r>
      <w:r w:rsidR="007260FB">
        <w:rPr>
          <w:rFonts w:ascii="Arial" w:eastAsia="Times New Roman" w:hAnsi="Arial" w:cs="Arial"/>
          <w:color w:val="000000"/>
          <w:sz w:val="22"/>
          <w:lang w:val="en-US"/>
        </w:rPr>
        <w:instrText xml:space="preserve"> ADDIN ZOTERO_ITEM CSL_CITATION {"citationID":"UZVlEs1t","properties":{"formattedCitation":"[1]","plainCitation":"[1]","noteIndex":0},"citationItems":[{"id":873,"uris":["http://zotero.org/users/13225984/items/WZFJZQJS"],"itemData":{"id":873,"type":"article-journal","abstract":"Background: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assays.","container-title":"Environmental DNA","DOI":"10.1002/edn3.29","ISSN":"26374943","issue":"3","page":"271–282","title":"Reporting the limits of detection and quantification for environmental DNA assays","volume":"2","author":[{"family":"Klymus","given":"Katy E."},{"family":"Merkes","given":"Christopher M."},{"family":"Allison","given":"Michael J."},{"family":"Goldberg","given":"Caren S."},{"family":"Helbing","given":"Caren C."},{"family":"Hunter","given":"Margaret E."},{"family":"Jackson","given":"Craig A."},{"family":"Lance","given":"Richard F."},{"family":"Mangan","given":"Anna M."},{"family":"Monroe","given":"Emy M."},{"family":"Piaggio","given":"Antoinette J."},{"family":"Stokdyk","given":"Joel P."},{"family":"Wilson","given":"Chris C."},{"family":"Richter","given":"Catherine A."}],"issued":{"date-parts":[["2020"]]}}}],"schema":"https://github.com/citation-style-language/schema/raw/master/csl-citation.json"} </w:instrText>
      </w:r>
      <w:r w:rsidR="007260FB">
        <w:rPr>
          <w:rFonts w:ascii="Arial" w:eastAsia="Times New Roman" w:hAnsi="Arial" w:cs="Arial"/>
          <w:color w:val="000000"/>
          <w:sz w:val="22"/>
          <w:lang w:val="en-US"/>
        </w:rPr>
        <w:fldChar w:fldCharType="separate"/>
      </w:r>
      <w:r w:rsidR="007260FB" w:rsidRPr="007260FB">
        <w:rPr>
          <w:rFonts w:ascii="Arial" w:hAnsi="Arial" w:cs="Arial"/>
          <w:sz w:val="22"/>
        </w:rPr>
        <w:t>[1]</w:t>
      </w:r>
      <w:r w:rsidR="007260FB">
        <w:rPr>
          <w:rFonts w:ascii="Arial" w:eastAsia="Times New Roman" w:hAnsi="Arial" w:cs="Arial"/>
          <w:color w:val="000000"/>
          <w:sz w:val="22"/>
          <w:lang w:val="en-US"/>
        </w:rPr>
        <w:fldChar w:fldCharType="end"/>
      </w:r>
      <w:r w:rsidRPr="00A30F23">
        <w:rPr>
          <w:rFonts w:ascii="Arial" w:eastAsia="Times New Roman" w:hAnsi="Arial" w:cs="Arial"/>
          <w:color w:val="000000"/>
          <w:sz w:val="22"/>
        </w:rPr>
        <w:t>.</w:t>
      </w:r>
    </w:p>
    <w:p w14:paraId="58F6A9A3" w14:textId="09D6AF81" w:rsidR="001917F6" w:rsidRDefault="001917F6">
      <w:pPr>
        <w:rPr>
          <w:rFonts w:ascii="Arial" w:eastAsia="Times New Roman" w:hAnsi="Arial" w:cs="Arial"/>
          <w:color w:val="000000"/>
          <w:sz w:val="22"/>
        </w:rPr>
      </w:pPr>
      <w:r>
        <w:rPr>
          <w:rFonts w:ascii="Arial" w:eastAsia="Times New Roman" w:hAnsi="Arial" w:cs="Arial"/>
          <w:color w:val="000000"/>
          <w:sz w:val="22"/>
        </w:rPr>
        <w:br w:type="page"/>
      </w:r>
    </w:p>
    <w:p w14:paraId="0C17A0D0" w14:textId="77777777" w:rsidR="001917F6" w:rsidRPr="00A30F23" w:rsidRDefault="001917F6" w:rsidP="00A30F23">
      <w:pPr>
        <w:spacing w:after="0" w:line="480" w:lineRule="auto"/>
        <w:rPr>
          <w:rFonts w:ascii="Times New Roman" w:eastAsia="Times New Roman" w:hAnsi="Times New Roman" w:cs="Times New Roman"/>
          <w:szCs w:val="24"/>
        </w:rPr>
      </w:pPr>
    </w:p>
    <w:p w14:paraId="20AE9DBF" w14:textId="77777777" w:rsidR="00A30F23" w:rsidRPr="00A30F23" w:rsidRDefault="00A30F23" w:rsidP="00A30F23">
      <w:pPr>
        <w:spacing w:after="0" w:line="240" w:lineRule="auto"/>
        <w:rPr>
          <w:rFonts w:ascii="Times New Roman" w:eastAsia="Times New Roman" w:hAnsi="Times New Roman" w:cs="Times New Roman"/>
          <w:szCs w:val="24"/>
        </w:rPr>
      </w:pPr>
    </w:p>
    <w:p w14:paraId="65E659C3" w14:textId="21BB8893"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b/>
          <w:bCs/>
          <w:noProof/>
          <w:color w:val="000000"/>
          <w:sz w:val="22"/>
          <w:bdr w:val="none" w:sz="0" w:space="0" w:color="auto" w:frame="1"/>
          <w:lang w:val="nb-NO" w:eastAsia="nb-NO"/>
        </w:rPr>
        <w:drawing>
          <wp:inline distT="0" distB="0" distL="0" distR="0" wp14:anchorId="295E407A" wp14:editId="541AC319">
            <wp:extent cx="3924300" cy="3703320"/>
            <wp:effectExtent l="0" t="0" r="0" b="0"/>
            <wp:docPr id="590801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703320"/>
                    </a:xfrm>
                    <a:prstGeom prst="rect">
                      <a:avLst/>
                    </a:prstGeom>
                    <a:noFill/>
                    <a:ln>
                      <a:noFill/>
                    </a:ln>
                  </pic:spPr>
                </pic:pic>
              </a:graphicData>
            </a:graphic>
          </wp:inline>
        </w:drawing>
      </w:r>
    </w:p>
    <w:p w14:paraId="510E8294" w14:textId="619EF880" w:rsidR="00A30F23" w:rsidRDefault="00A30F23" w:rsidP="00A30F23">
      <w:pPr>
        <w:spacing w:after="0" w:line="480" w:lineRule="auto"/>
        <w:rPr>
          <w:rFonts w:ascii="Arial" w:eastAsia="Times New Roman" w:hAnsi="Arial" w:cs="Arial"/>
          <w:color w:val="000000"/>
          <w:sz w:val="22"/>
        </w:rPr>
      </w:pPr>
      <w:r w:rsidRPr="00A30F23">
        <w:rPr>
          <w:rFonts w:ascii="Arial" w:eastAsia="Times New Roman" w:hAnsi="Arial" w:cs="Arial"/>
          <w:b/>
          <w:bCs/>
          <w:color w:val="000000"/>
          <w:sz w:val="22"/>
        </w:rPr>
        <w:t xml:space="preserve">Figure S2. </w:t>
      </w:r>
      <w:r w:rsidRPr="00A30F23">
        <w:rPr>
          <w:rFonts w:ascii="Arial" w:eastAsia="Times New Roman" w:hAnsi="Arial" w:cs="Arial"/>
          <w:color w:val="000000"/>
          <w:sz w:val="22"/>
        </w:rPr>
        <w:t xml:space="preserve">Limit of Detection estimation for qPCR. Figure and calculations were performed  following the method outlined in </w:t>
      </w:r>
      <w:r w:rsidR="007260FB">
        <w:rPr>
          <w:rFonts w:ascii="Arial" w:eastAsia="Times New Roman" w:hAnsi="Arial" w:cs="Arial"/>
          <w:color w:val="000000"/>
          <w:sz w:val="22"/>
        </w:rPr>
        <w:fldChar w:fldCharType="begin"/>
      </w:r>
      <w:r w:rsidR="007260FB">
        <w:rPr>
          <w:rFonts w:ascii="Arial" w:eastAsia="Times New Roman" w:hAnsi="Arial" w:cs="Arial"/>
          <w:color w:val="000000"/>
          <w:sz w:val="22"/>
        </w:rPr>
        <w:instrText xml:space="preserve"> ADDIN ZOTERO_ITEM CSL_CITATION {"citationID":"qO1fdY8B","properties":{"formattedCitation":"[2]","plainCitation":"[2]","noteIndex":0},"citationItems":[{"id":3475,"uris":["http://zotero.org/users/13225984/items/K8TC68NW"],"itemData":{"id":3475,"type":"article-journal","abstract":"A set of universal guidelines is needed to determine the limit of detection (LOD) in PCR-based analyses of low-concentration DNA. In particular, environmental DNA (eDNA) studies require sensitive and reliable methods to detect rare and cryptic species through shed genetic material in environmental samples. Current strategies for assessing detection limits of eDNA are either too stringent or subjective, possibly resulting in biased estimates of species’ presence. Here, a conservative LOD analysis grounded in analytical chemistry is proposed to correct for overestimated DNA concentrations predominantly caused by the concentration plateau, a nonlinear relationship between expected and measured DNA concentrations. We have used statistical criteria to establish formal mathematical models for both quantitative and droplet digital PCR. To assess the method, a new Grass Carp (Ctenopharyngodon idella) TaqMan assay was developed and tested on both PCR platforms using eDNA in water samples. The LOD adjustment reduced Grass Carp occupancy and detection estimates while increasing uncertainty—indicating that caution needs to be applied to eDNA data without LOD correction. Compared to quantitative PCR, digital PCR had higher occurrence estimates due to increased sensitivity and dilution of inhibitors at low concentrations. Without accurate LOD correction, species occurrence and detection probabilities based on eDNA estimates are prone to a source of bias that cannot be reduced by an increase in sample size or PCR replicates. Other applications also could benefit from a standardized LOD such as GMO food analysis and forensic and clinical diagnostics.","container-title":"Molecular Ecology Resources","DOI":"10.1111/1755-0998.12619","ISSN":"1755-0998","issue":"2","language":"en","license":"Published 2016. This article is a U.S. Government work and is in the public domain in the USA","note":"_eprint: https://onlinelibrary.wiley.com/doi/pdf/10.1111/1755-0998.12619","page":"221-229","source":"Wiley Online Library","title":"Detection limits of quantitative and digital PCR assays and their influence in presence–absence surveys of environmental DNA","volume":"17","author":[{"family":"Hunter","given":"Margaret E."},{"family":"Dorazio","given":"Robert M."},{"family":"Butterfield","given":"John S. S."},{"family":"Meigs-Friend","given":"Gaia"},{"family":"Nico","given":"Leo G."},{"family":"Ferrante","given":"Jason A."}],"issued":{"date-parts":[["2017"]]}}}],"schema":"https://github.com/citation-style-language/schema/raw/master/csl-citation.json"} </w:instrText>
      </w:r>
      <w:r w:rsidR="007260FB">
        <w:rPr>
          <w:rFonts w:ascii="Arial" w:eastAsia="Times New Roman" w:hAnsi="Arial" w:cs="Arial"/>
          <w:color w:val="000000"/>
          <w:sz w:val="22"/>
        </w:rPr>
        <w:fldChar w:fldCharType="separate"/>
      </w:r>
      <w:r w:rsidR="007260FB" w:rsidRPr="007260FB">
        <w:rPr>
          <w:rFonts w:ascii="Arial" w:hAnsi="Arial" w:cs="Arial"/>
          <w:sz w:val="22"/>
        </w:rPr>
        <w:t>[2]</w:t>
      </w:r>
      <w:r w:rsidR="007260FB">
        <w:rPr>
          <w:rFonts w:ascii="Arial" w:eastAsia="Times New Roman" w:hAnsi="Arial" w:cs="Arial"/>
          <w:color w:val="000000"/>
          <w:sz w:val="22"/>
        </w:rPr>
        <w:fldChar w:fldCharType="end"/>
      </w:r>
      <w:r w:rsidRPr="00A30F23">
        <w:rPr>
          <w:rFonts w:ascii="Arial" w:eastAsia="Times New Roman" w:hAnsi="Arial" w:cs="Arial"/>
          <w:color w:val="000000"/>
          <w:sz w:val="22"/>
        </w:rPr>
        <w:t>.</w:t>
      </w:r>
    </w:p>
    <w:p w14:paraId="2AB03A57" w14:textId="45BAEE67" w:rsidR="001917F6" w:rsidRDefault="001917F6">
      <w:pPr>
        <w:rPr>
          <w:rFonts w:ascii="Arial" w:eastAsia="Times New Roman" w:hAnsi="Arial" w:cs="Arial"/>
          <w:color w:val="000000"/>
          <w:sz w:val="22"/>
        </w:rPr>
      </w:pPr>
      <w:r>
        <w:rPr>
          <w:rFonts w:ascii="Arial" w:eastAsia="Times New Roman" w:hAnsi="Arial" w:cs="Arial"/>
          <w:color w:val="000000"/>
          <w:sz w:val="22"/>
        </w:rPr>
        <w:br w:type="page"/>
      </w:r>
    </w:p>
    <w:p w14:paraId="2F58B43E" w14:textId="7BF2F6CF" w:rsidR="001917F6" w:rsidRDefault="00632130" w:rsidP="00A30F23">
      <w:pPr>
        <w:spacing w:after="0" w:line="480" w:lineRule="auto"/>
        <w:rPr>
          <w:rFonts w:ascii="Times New Roman" w:eastAsia="Times New Roman" w:hAnsi="Times New Roman" w:cs="Times New Roman"/>
          <w:szCs w:val="24"/>
        </w:rPr>
      </w:pPr>
      <w:r w:rsidRPr="00A30F23">
        <w:rPr>
          <w:rFonts w:ascii="Arial" w:eastAsia="Times New Roman" w:hAnsi="Arial" w:cs="Arial"/>
          <w:noProof/>
          <w:color w:val="000000"/>
          <w:sz w:val="22"/>
          <w:bdr w:val="none" w:sz="0" w:space="0" w:color="auto" w:frame="1"/>
          <w:lang w:val="nb-NO" w:eastAsia="nb-NO"/>
        </w:rPr>
        <w:lastRenderedPageBreak/>
        <w:drawing>
          <wp:inline distT="0" distB="0" distL="0" distR="0" wp14:anchorId="5B05808A" wp14:editId="455F6E63">
            <wp:extent cx="3352800" cy="31546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3154680"/>
                    </a:xfrm>
                    <a:prstGeom prst="rect">
                      <a:avLst/>
                    </a:prstGeom>
                    <a:noFill/>
                    <a:ln>
                      <a:noFill/>
                    </a:ln>
                  </pic:spPr>
                </pic:pic>
              </a:graphicData>
            </a:graphic>
          </wp:inline>
        </w:drawing>
      </w:r>
    </w:p>
    <w:p w14:paraId="32F35E9B" w14:textId="77777777" w:rsidR="00632130" w:rsidRDefault="00632130" w:rsidP="00A30F23">
      <w:pPr>
        <w:spacing w:after="0" w:line="480" w:lineRule="auto"/>
        <w:rPr>
          <w:rFonts w:ascii="Times New Roman" w:eastAsia="Times New Roman" w:hAnsi="Times New Roman" w:cs="Times New Roman"/>
          <w:szCs w:val="24"/>
        </w:rPr>
      </w:pPr>
    </w:p>
    <w:p w14:paraId="57AE0186" w14:textId="2214A654" w:rsidR="00632130" w:rsidRDefault="00632130" w:rsidP="00632130">
      <w:pPr>
        <w:spacing w:after="0" w:line="480" w:lineRule="auto"/>
        <w:rPr>
          <w:rFonts w:ascii="Arial" w:eastAsia="Times New Roman" w:hAnsi="Arial" w:cs="Arial"/>
          <w:color w:val="000000"/>
          <w:sz w:val="22"/>
        </w:rPr>
      </w:pPr>
      <w:r>
        <w:rPr>
          <w:rFonts w:ascii="Arial" w:eastAsia="Times New Roman" w:hAnsi="Arial" w:cs="Arial"/>
          <w:b/>
          <w:bCs/>
          <w:color w:val="000000"/>
          <w:sz w:val="22"/>
        </w:rPr>
        <w:t>Figure S3</w:t>
      </w:r>
      <w:r w:rsidRPr="00A30F23">
        <w:rPr>
          <w:rFonts w:ascii="Arial" w:eastAsia="Times New Roman" w:hAnsi="Arial" w:cs="Arial"/>
          <w:b/>
          <w:bCs/>
          <w:color w:val="000000"/>
          <w:sz w:val="22"/>
        </w:rPr>
        <w:t xml:space="preserve">. </w:t>
      </w:r>
      <w:r w:rsidRPr="00A30F23">
        <w:rPr>
          <w:rFonts w:ascii="Arial" w:eastAsia="Times New Roman" w:hAnsi="Arial" w:cs="Arial"/>
          <w:color w:val="000000"/>
          <w:sz w:val="22"/>
        </w:rPr>
        <w:t xml:space="preserve">Limit of detection estimation for </w:t>
      </w:r>
      <w:proofErr w:type="spellStart"/>
      <w:r w:rsidRPr="00A30F23">
        <w:rPr>
          <w:rFonts w:ascii="Arial" w:eastAsia="Times New Roman" w:hAnsi="Arial" w:cs="Arial"/>
          <w:color w:val="000000"/>
          <w:sz w:val="22"/>
        </w:rPr>
        <w:t>dPCR</w:t>
      </w:r>
      <w:proofErr w:type="spellEnd"/>
      <w:r w:rsidRPr="00A30F23">
        <w:rPr>
          <w:rFonts w:ascii="Arial" w:eastAsia="Times New Roman" w:hAnsi="Arial" w:cs="Arial"/>
          <w:color w:val="000000"/>
          <w:sz w:val="22"/>
        </w:rPr>
        <w:t xml:space="preserve">. Figure and calculations were performed following the method outlined in </w:t>
      </w:r>
      <w:r>
        <w:rPr>
          <w:rFonts w:ascii="Arial" w:eastAsia="Times New Roman" w:hAnsi="Arial" w:cs="Arial"/>
          <w:color w:val="000000"/>
          <w:sz w:val="22"/>
        </w:rPr>
        <w:fldChar w:fldCharType="begin"/>
      </w:r>
      <w:r>
        <w:rPr>
          <w:rFonts w:ascii="Arial" w:eastAsia="Times New Roman" w:hAnsi="Arial" w:cs="Arial"/>
          <w:color w:val="000000"/>
          <w:sz w:val="22"/>
        </w:rPr>
        <w:instrText xml:space="preserve"> ADDIN ZOTERO_ITEM CSL_CITATION {"citationID":"AhcZE9Du","properties":{"formattedCitation":"[2]","plainCitation":"[2]","noteIndex":0},"citationItems":[{"id":3475,"uris":["http://zotero.org/users/13225984/items/K8TC68NW"],"itemData":{"id":3475,"type":"article-journal","abstract":"A set of universal guidelines is needed to determine the limit of detection (LOD) in PCR-based analyses of low-concentration DNA. In particular, environmental DNA (eDNA) studies require sensitive and reliable methods to detect rare and cryptic species through shed genetic material in environmental samples. Current strategies for assessing detection limits of eDNA are either too stringent or subjective, possibly resulting in biased estimates of species’ presence. Here, a conservative LOD analysis grounded in analytical chemistry is proposed to correct for overestimated DNA concentrations predominantly caused by the concentration plateau, a nonlinear relationship between expected and measured DNA concentrations. We have used statistical criteria to establish formal mathematical models for both quantitative and droplet digital PCR. To assess the method, a new Grass Carp (Ctenopharyngodon idella) TaqMan assay was developed and tested on both PCR platforms using eDNA in water samples. The LOD adjustment reduced Grass Carp occupancy and detection estimates while increasing uncertainty—indicating that caution needs to be applied to eDNA data without LOD correction. Compared to quantitative PCR, digital PCR had higher occurrence estimates due to increased sensitivity and dilution of inhibitors at low concentrations. Without accurate LOD correction, species occurrence and detection probabilities based on eDNA estimates are prone to a source of bias that cannot be reduced by an increase in sample size or PCR replicates. Other applications also could benefit from a standardized LOD such as GMO food analysis and forensic and clinical diagnostics.","container-title":"Molecular Ecology Resources","DOI":"10.1111/1755-0998.12619","ISSN":"1755-0998","issue":"2","language":"en","license":"Published 2016. This article is a U.S. Government work and is in the public domain in the USA","note":"_eprint: https://onlinelibrary.wiley.com/doi/pdf/10.1111/1755-0998.12619","page":"221-229","source":"Wiley Online Library","title":"Detection limits of quantitative and digital PCR assays and their influence in presence–absence surveys of environmental DNA","volume":"17","author":[{"family":"Hunter","given":"Margaret E."},{"family":"Dorazio","given":"Robert M."},{"family":"Butterfield","given":"John S. S."},{"family":"Meigs-Friend","given":"Gaia"},{"family":"Nico","given":"Leo G."},{"family":"Ferrante","given":"Jason A."}],"issued":{"date-parts":[["2017"]]}}}],"schema":"https://github.com/citation-style-language/schema/raw/master/csl-citation.json"} </w:instrText>
      </w:r>
      <w:r>
        <w:rPr>
          <w:rFonts w:ascii="Arial" w:eastAsia="Times New Roman" w:hAnsi="Arial" w:cs="Arial"/>
          <w:color w:val="000000"/>
          <w:sz w:val="22"/>
        </w:rPr>
        <w:fldChar w:fldCharType="separate"/>
      </w:r>
      <w:r w:rsidRPr="007260FB">
        <w:rPr>
          <w:rFonts w:ascii="Arial" w:hAnsi="Arial" w:cs="Arial"/>
          <w:sz w:val="22"/>
        </w:rPr>
        <w:t>[2]</w:t>
      </w:r>
      <w:r>
        <w:rPr>
          <w:rFonts w:ascii="Arial" w:eastAsia="Times New Roman" w:hAnsi="Arial" w:cs="Arial"/>
          <w:color w:val="000000"/>
          <w:sz w:val="22"/>
        </w:rPr>
        <w:fldChar w:fldCharType="end"/>
      </w:r>
      <w:r w:rsidRPr="00A30F23">
        <w:rPr>
          <w:rFonts w:ascii="Arial" w:eastAsia="Times New Roman" w:hAnsi="Arial" w:cs="Arial"/>
          <w:color w:val="000000"/>
          <w:sz w:val="22"/>
        </w:rPr>
        <w:t>.  </w:t>
      </w:r>
    </w:p>
    <w:p w14:paraId="5213B240" w14:textId="58AA2B33" w:rsidR="00632130" w:rsidRDefault="00632130" w:rsidP="00A30F23">
      <w:pPr>
        <w:spacing w:after="0" w:line="480" w:lineRule="auto"/>
        <w:rPr>
          <w:rFonts w:ascii="Times New Roman" w:eastAsia="Times New Roman" w:hAnsi="Times New Roman" w:cs="Times New Roman"/>
          <w:szCs w:val="24"/>
        </w:rPr>
      </w:pPr>
    </w:p>
    <w:p w14:paraId="1348173A" w14:textId="4FAFBB6D" w:rsidR="00632130" w:rsidRDefault="00632130" w:rsidP="00A30F23">
      <w:pPr>
        <w:spacing w:after="0" w:line="480" w:lineRule="auto"/>
        <w:rPr>
          <w:rFonts w:ascii="Times New Roman" w:eastAsia="Times New Roman" w:hAnsi="Times New Roman" w:cs="Times New Roman"/>
          <w:szCs w:val="24"/>
        </w:rPr>
      </w:pPr>
    </w:p>
    <w:p w14:paraId="23B616A5" w14:textId="1B8F8DD0" w:rsidR="00632130" w:rsidRDefault="00632130" w:rsidP="00A30F23">
      <w:pPr>
        <w:spacing w:after="0" w:line="480" w:lineRule="auto"/>
        <w:rPr>
          <w:rFonts w:ascii="Times New Roman" w:eastAsia="Times New Roman" w:hAnsi="Times New Roman" w:cs="Times New Roman"/>
          <w:szCs w:val="24"/>
        </w:rPr>
      </w:pPr>
    </w:p>
    <w:p w14:paraId="6D401E2E" w14:textId="4FD2BEB3" w:rsidR="00632130" w:rsidRDefault="00632130" w:rsidP="00A30F23">
      <w:pPr>
        <w:spacing w:after="0" w:line="480" w:lineRule="auto"/>
        <w:rPr>
          <w:rFonts w:ascii="Times New Roman" w:eastAsia="Times New Roman" w:hAnsi="Times New Roman" w:cs="Times New Roman"/>
          <w:szCs w:val="24"/>
        </w:rPr>
      </w:pPr>
    </w:p>
    <w:p w14:paraId="62EAB9C2" w14:textId="61E5346C" w:rsidR="00632130" w:rsidRDefault="00632130" w:rsidP="00A30F23">
      <w:pPr>
        <w:spacing w:after="0" w:line="480" w:lineRule="auto"/>
        <w:rPr>
          <w:rFonts w:ascii="Times New Roman" w:eastAsia="Times New Roman" w:hAnsi="Times New Roman" w:cs="Times New Roman"/>
          <w:szCs w:val="24"/>
        </w:rPr>
      </w:pPr>
    </w:p>
    <w:p w14:paraId="3118F11F" w14:textId="77777777" w:rsidR="00632130" w:rsidRPr="00A30F23" w:rsidRDefault="00632130" w:rsidP="00A30F23">
      <w:pPr>
        <w:spacing w:after="0" w:line="480" w:lineRule="auto"/>
        <w:rPr>
          <w:rFonts w:ascii="Times New Roman" w:eastAsia="Times New Roman" w:hAnsi="Times New Roman" w:cs="Times New Roman"/>
          <w:szCs w:val="24"/>
        </w:rPr>
      </w:pPr>
    </w:p>
    <w:p w14:paraId="34B44175" w14:textId="5106E208"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noProof/>
          <w:color w:val="000000"/>
          <w:sz w:val="22"/>
          <w:bdr w:val="none" w:sz="0" w:space="0" w:color="auto" w:frame="1"/>
          <w:lang w:val="nb-NO" w:eastAsia="nb-NO"/>
        </w:rPr>
        <w:lastRenderedPageBreak/>
        <w:drawing>
          <wp:inline distT="0" distB="0" distL="0" distR="0" wp14:anchorId="1FDC544D" wp14:editId="41070534">
            <wp:extent cx="3345180" cy="3169920"/>
            <wp:effectExtent l="0" t="0" r="7620" b="0"/>
            <wp:docPr id="14512097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5180" cy="3169920"/>
                    </a:xfrm>
                    <a:prstGeom prst="rect">
                      <a:avLst/>
                    </a:prstGeom>
                    <a:noFill/>
                    <a:ln>
                      <a:noFill/>
                    </a:ln>
                  </pic:spPr>
                </pic:pic>
              </a:graphicData>
            </a:graphic>
          </wp:inline>
        </w:drawing>
      </w:r>
    </w:p>
    <w:p w14:paraId="023FE93E" w14:textId="7511CD56" w:rsidR="001917F6" w:rsidRDefault="00632130" w:rsidP="00A30F23">
      <w:pPr>
        <w:spacing w:after="0" w:line="480" w:lineRule="auto"/>
        <w:rPr>
          <w:rFonts w:ascii="Arial" w:eastAsia="Times New Roman" w:hAnsi="Arial" w:cs="Arial"/>
          <w:color w:val="000000"/>
          <w:sz w:val="22"/>
        </w:rPr>
      </w:pPr>
      <w:r>
        <w:rPr>
          <w:rFonts w:ascii="Arial" w:eastAsia="Times New Roman" w:hAnsi="Arial" w:cs="Arial"/>
          <w:b/>
          <w:bCs/>
          <w:color w:val="000000"/>
          <w:sz w:val="22"/>
        </w:rPr>
        <w:t>Figure S4</w:t>
      </w:r>
      <w:r w:rsidR="00A30F23" w:rsidRPr="00A30F23">
        <w:rPr>
          <w:rFonts w:ascii="Arial" w:eastAsia="Times New Roman" w:hAnsi="Arial" w:cs="Arial"/>
          <w:b/>
          <w:bCs/>
          <w:color w:val="000000"/>
          <w:sz w:val="22"/>
        </w:rPr>
        <w:t xml:space="preserve">. </w:t>
      </w:r>
      <w:r w:rsidR="00A30F23" w:rsidRPr="00A30F23">
        <w:rPr>
          <w:rFonts w:ascii="Arial" w:eastAsia="Times New Roman" w:hAnsi="Arial" w:cs="Arial"/>
          <w:color w:val="000000"/>
          <w:sz w:val="22"/>
        </w:rPr>
        <w:t>Limit of Detection estimation for ddPCR. Figure and calculations were performed following the method outlined in</w:t>
      </w:r>
      <w:r w:rsidR="007260FB">
        <w:rPr>
          <w:rFonts w:ascii="Arial" w:eastAsia="Times New Roman" w:hAnsi="Arial" w:cs="Arial"/>
          <w:color w:val="000000"/>
          <w:sz w:val="22"/>
          <w:lang w:val="en-US"/>
        </w:rPr>
        <w:t xml:space="preserve"> </w:t>
      </w:r>
      <w:r w:rsidR="007260FB">
        <w:rPr>
          <w:rFonts w:ascii="Arial" w:eastAsia="Times New Roman" w:hAnsi="Arial" w:cs="Arial"/>
          <w:color w:val="000000"/>
          <w:sz w:val="22"/>
          <w:lang w:val="en-US"/>
        </w:rPr>
        <w:fldChar w:fldCharType="begin"/>
      </w:r>
      <w:r w:rsidR="007260FB">
        <w:rPr>
          <w:rFonts w:ascii="Arial" w:eastAsia="Times New Roman" w:hAnsi="Arial" w:cs="Arial"/>
          <w:color w:val="000000"/>
          <w:sz w:val="22"/>
          <w:lang w:val="en-US"/>
        </w:rPr>
        <w:instrText xml:space="preserve"> ADDIN ZOTERO_ITEM CSL_CITATION {"citationID":"ZQYviLNn","properties":{"formattedCitation":"[2]","plainCitation":"[2]","noteIndex":0},"citationItems":[{"id":3475,"uris":["http://zotero.org/users/13225984/items/K8TC68NW"],"itemData":{"id":3475,"type":"article-journal","abstract":"A set of universal guidelines is needed to determine the limit of detection (LOD) in PCR-based analyses of low-concentration DNA. In particular, environmental DNA (eDNA) studies require sensitive and reliable methods to detect rare and cryptic species through shed genetic material in environmental samples. Current strategies for assessing detection limits of eDNA are either too stringent or subjective, possibly resulting in biased estimates of species’ presence. Here, a conservative LOD analysis grounded in analytical chemistry is proposed to correct for overestimated DNA concentrations predominantly caused by the concentration plateau, a nonlinear relationship between expected and measured DNA concentrations. We have used statistical criteria to establish formal mathematical models for both quantitative and droplet digital PCR. To assess the method, a new Grass Carp (Ctenopharyngodon idella) TaqMan assay was developed and tested on both PCR platforms using eDNA in water samples. The LOD adjustment reduced Grass Carp occupancy and detection estimates while increasing uncertainty—indicating that caution needs to be applied to eDNA data without LOD correction. Compared to quantitative PCR, digital PCR had higher occurrence estimates due to increased sensitivity and dilution of inhibitors at low concentrations. Without accurate LOD correction, species occurrence and detection probabilities based on eDNA estimates are prone to a source of bias that cannot be reduced by an increase in sample size or PCR replicates. Other applications also could benefit from a standardized LOD such as GMO food analysis and forensic and clinical diagnostics.","container-title":"Molecular Ecology Resources","DOI":"10.1111/1755-0998.12619","ISSN":"1755-0998","issue":"2","language":"en","license":"Published 2016. This article is a U.S. Government work and is in the public domain in the USA","note":"_eprint: https://onlinelibrary.wiley.com/doi/pdf/10.1111/1755-0998.12619","page":"221-229","source":"Wiley Online Library","title":"Detection limits of quantitative and digital PCR assays and their influence in presence–absence surveys of environmental DNA","volume":"17","author":[{"family":"Hunter","given":"Margaret E."},{"family":"Dorazio","given":"Robert M."},{"family":"Butterfield","given":"John S. S."},{"family":"Meigs-Friend","given":"Gaia"},{"family":"Nico","given":"Leo G."},{"family":"Ferrante","given":"Jason A."}],"issued":{"date-parts":[["2017"]]}}}],"schema":"https://github.com/citation-style-language/schema/raw/master/csl-citation.json"} </w:instrText>
      </w:r>
      <w:r w:rsidR="007260FB">
        <w:rPr>
          <w:rFonts w:ascii="Arial" w:eastAsia="Times New Roman" w:hAnsi="Arial" w:cs="Arial"/>
          <w:color w:val="000000"/>
          <w:sz w:val="22"/>
          <w:lang w:val="en-US"/>
        </w:rPr>
        <w:fldChar w:fldCharType="separate"/>
      </w:r>
      <w:r w:rsidR="007260FB" w:rsidRPr="007260FB">
        <w:rPr>
          <w:rFonts w:ascii="Arial" w:hAnsi="Arial" w:cs="Arial"/>
          <w:sz w:val="22"/>
        </w:rPr>
        <w:t>[2]</w:t>
      </w:r>
      <w:r w:rsidR="007260FB">
        <w:rPr>
          <w:rFonts w:ascii="Arial" w:eastAsia="Times New Roman" w:hAnsi="Arial" w:cs="Arial"/>
          <w:color w:val="000000"/>
          <w:sz w:val="22"/>
          <w:lang w:val="en-US"/>
        </w:rPr>
        <w:fldChar w:fldCharType="end"/>
      </w:r>
      <w:r w:rsidR="00A30F23" w:rsidRPr="00A30F23">
        <w:rPr>
          <w:rFonts w:ascii="Arial" w:eastAsia="Times New Roman" w:hAnsi="Arial" w:cs="Arial"/>
          <w:color w:val="000000"/>
          <w:sz w:val="22"/>
        </w:rPr>
        <w:t>.</w:t>
      </w:r>
    </w:p>
    <w:p w14:paraId="2B34AAE3" w14:textId="77777777" w:rsidR="00632130" w:rsidRDefault="00632130" w:rsidP="00632130">
      <w:pPr>
        <w:rPr>
          <w:rFonts w:ascii="Arial" w:eastAsia="Times New Roman" w:hAnsi="Arial" w:cs="Arial"/>
          <w:color w:val="000000"/>
          <w:sz w:val="22"/>
        </w:rPr>
      </w:pPr>
    </w:p>
    <w:p w14:paraId="136A67F6" w14:textId="77777777" w:rsidR="00632130" w:rsidRDefault="00632130">
      <w:pPr>
        <w:rPr>
          <w:rFonts w:ascii="Arial" w:eastAsia="Times New Roman" w:hAnsi="Arial" w:cs="Arial"/>
          <w:color w:val="000000"/>
          <w:sz w:val="22"/>
        </w:rPr>
      </w:pPr>
      <w:r>
        <w:rPr>
          <w:rFonts w:ascii="Arial" w:eastAsia="Times New Roman" w:hAnsi="Arial" w:cs="Arial"/>
          <w:color w:val="000000"/>
          <w:sz w:val="22"/>
        </w:rPr>
        <w:br w:type="page"/>
      </w:r>
    </w:p>
    <w:p w14:paraId="2981A382" w14:textId="1E8C9CDC" w:rsidR="00A30F23" w:rsidRPr="00632130" w:rsidRDefault="00A30F23" w:rsidP="00632130">
      <w:pPr>
        <w:rPr>
          <w:rFonts w:ascii="Arial" w:eastAsia="Times New Roman" w:hAnsi="Arial" w:cs="Arial"/>
          <w:color w:val="000000"/>
          <w:sz w:val="22"/>
        </w:rPr>
      </w:pPr>
      <w:r w:rsidRPr="00A30F23">
        <w:rPr>
          <w:rFonts w:ascii="Times New Roman" w:eastAsia="Times New Roman" w:hAnsi="Times New Roman" w:cs="Times New Roman"/>
          <w:szCs w:val="24"/>
        </w:rPr>
        <w:lastRenderedPageBreak/>
        <w:br/>
      </w:r>
      <w:r w:rsidRPr="00A30F23">
        <w:rPr>
          <w:rFonts w:ascii="Times New Roman" w:eastAsia="Times New Roman" w:hAnsi="Times New Roman" w:cs="Times New Roman"/>
          <w:szCs w:val="24"/>
        </w:rPr>
        <w:br/>
      </w:r>
    </w:p>
    <w:p w14:paraId="6D6A77FC" w14:textId="756E72A2"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noProof/>
          <w:color w:val="000000"/>
          <w:sz w:val="22"/>
          <w:bdr w:val="none" w:sz="0" w:space="0" w:color="auto" w:frame="1"/>
          <w:lang w:val="nb-NO" w:eastAsia="nb-NO"/>
        </w:rPr>
        <w:drawing>
          <wp:inline distT="0" distB="0" distL="0" distR="0" wp14:anchorId="670A5E4A" wp14:editId="4CB380A5">
            <wp:extent cx="4991100" cy="2918460"/>
            <wp:effectExtent l="0" t="0" r="0" b="0"/>
            <wp:docPr id="1929447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1100" cy="2918460"/>
                    </a:xfrm>
                    <a:prstGeom prst="rect">
                      <a:avLst/>
                    </a:prstGeom>
                    <a:noFill/>
                    <a:ln>
                      <a:noFill/>
                    </a:ln>
                  </pic:spPr>
                </pic:pic>
              </a:graphicData>
            </a:graphic>
          </wp:inline>
        </w:drawing>
      </w:r>
    </w:p>
    <w:p w14:paraId="2889E803" w14:textId="77777777" w:rsidR="00A30F23" w:rsidRPr="00A30F23" w:rsidRDefault="00A30F23" w:rsidP="00A30F23">
      <w:pPr>
        <w:spacing w:after="0" w:line="240" w:lineRule="auto"/>
        <w:rPr>
          <w:rFonts w:ascii="Times New Roman" w:eastAsia="Times New Roman" w:hAnsi="Times New Roman" w:cs="Times New Roman"/>
          <w:szCs w:val="24"/>
        </w:rPr>
      </w:pPr>
    </w:p>
    <w:p w14:paraId="673526A9" w14:textId="757BDD8D" w:rsidR="001917F6" w:rsidRDefault="00A30F23" w:rsidP="00A30F23">
      <w:pPr>
        <w:spacing w:after="0" w:line="480" w:lineRule="auto"/>
        <w:rPr>
          <w:rFonts w:ascii="Arial" w:eastAsia="Times New Roman" w:hAnsi="Arial" w:cs="Arial"/>
          <w:color w:val="000000"/>
          <w:sz w:val="22"/>
        </w:rPr>
      </w:pPr>
      <w:r w:rsidRPr="00A30F23">
        <w:rPr>
          <w:rFonts w:ascii="Arial" w:eastAsia="Times New Roman" w:hAnsi="Arial" w:cs="Arial"/>
          <w:b/>
          <w:bCs/>
          <w:color w:val="000000"/>
          <w:sz w:val="22"/>
        </w:rPr>
        <w:t xml:space="preserve">Figure S5. </w:t>
      </w:r>
      <w:r w:rsidR="00632130">
        <w:rPr>
          <w:rFonts w:ascii="Arial" w:eastAsia="Times New Roman" w:hAnsi="Arial" w:cs="Arial"/>
          <w:color w:val="000000"/>
          <w:sz w:val="22"/>
        </w:rPr>
        <w:t>Limit of Q</w:t>
      </w:r>
      <w:r w:rsidRPr="00A30F23">
        <w:rPr>
          <w:rFonts w:ascii="Arial" w:eastAsia="Times New Roman" w:hAnsi="Arial" w:cs="Arial"/>
          <w:color w:val="000000"/>
          <w:sz w:val="22"/>
        </w:rPr>
        <w:t xml:space="preserve">uantification (LOQ) of </w:t>
      </w:r>
      <w:proofErr w:type="spellStart"/>
      <w:r w:rsidRPr="00A30F23">
        <w:rPr>
          <w:rFonts w:ascii="Arial" w:eastAsia="Times New Roman" w:hAnsi="Arial" w:cs="Arial"/>
          <w:color w:val="000000"/>
          <w:sz w:val="22"/>
        </w:rPr>
        <w:t>dPCR</w:t>
      </w:r>
      <w:proofErr w:type="spellEnd"/>
      <w:r w:rsidRPr="00A30F23">
        <w:rPr>
          <w:rFonts w:ascii="Arial" w:eastAsia="Times New Roman" w:hAnsi="Arial" w:cs="Arial"/>
          <w:color w:val="000000"/>
          <w:sz w:val="22"/>
        </w:rPr>
        <w:t>.</w:t>
      </w:r>
    </w:p>
    <w:p w14:paraId="46C08C8D" w14:textId="77777777" w:rsidR="001917F6" w:rsidRDefault="001917F6">
      <w:pPr>
        <w:rPr>
          <w:rFonts w:ascii="Arial" w:eastAsia="Times New Roman" w:hAnsi="Arial" w:cs="Arial"/>
          <w:color w:val="000000"/>
          <w:sz w:val="22"/>
        </w:rPr>
      </w:pPr>
      <w:r>
        <w:rPr>
          <w:rFonts w:ascii="Arial" w:eastAsia="Times New Roman" w:hAnsi="Arial" w:cs="Arial"/>
          <w:color w:val="000000"/>
          <w:sz w:val="22"/>
        </w:rPr>
        <w:br w:type="page"/>
      </w:r>
    </w:p>
    <w:p w14:paraId="4D9674B6" w14:textId="7D191827" w:rsidR="00A30F23" w:rsidRPr="00A30F23" w:rsidRDefault="00A30F23" w:rsidP="00A30F23">
      <w:pPr>
        <w:spacing w:after="0" w:line="480" w:lineRule="auto"/>
        <w:rPr>
          <w:rFonts w:ascii="Times New Roman" w:eastAsia="Times New Roman" w:hAnsi="Times New Roman" w:cs="Times New Roman"/>
          <w:szCs w:val="24"/>
        </w:rPr>
      </w:pPr>
      <w:r w:rsidRPr="00A30F23">
        <w:rPr>
          <w:rFonts w:ascii="Arial" w:eastAsia="Times New Roman" w:hAnsi="Arial" w:cs="Arial"/>
          <w:noProof/>
          <w:color w:val="000000"/>
          <w:sz w:val="22"/>
          <w:bdr w:val="none" w:sz="0" w:space="0" w:color="auto" w:frame="1"/>
          <w:lang w:val="nb-NO" w:eastAsia="nb-NO"/>
        </w:rPr>
        <w:lastRenderedPageBreak/>
        <w:drawing>
          <wp:inline distT="0" distB="0" distL="0" distR="0" wp14:anchorId="13D038E4" wp14:editId="52A9872C">
            <wp:extent cx="4838700" cy="2819400"/>
            <wp:effectExtent l="0" t="0" r="0" b="0"/>
            <wp:docPr id="91497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8700" cy="2819400"/>
                    </a:xfrm>
                    <a:prstGeom prst="rect">
                      <a:avLst/>
                    </a:prstGeom>
                    <a:noFill/>
                    <a:ln>
                      <a:noFill/>
                    </a:ln>
                  </pic:spPr>
                </pic:pic>
              </a:graphicData>
            </a:graphic>
          </wp:inline>
        </w:drawing>
      </w:r>
    </w:p>
    <w:p w14:paraId="5F5AADE3" w14:textId="4128CC58" w:rsidR="0088548B" w:rsidRDefault="00A30F23" w:rsidP="00A30F23">
      <w:r w:rsidRPr="00A30F23">
        <w:rPr>
          <w:rFonts w:ascii="Times New Roman" w:eastAsia="Times New Roman" w:hAnsi="Times New Roman" w:cs="Times New Roman"/>
          <w:szCs w:val="24"/>
        </w:rPr>
        <w:br/>
      </w:r>
    </w:p>
    <w:p w14:paraId="5534262E" w14:textId="5E023D82" w:rsidR="007260FB" w:rsidRDefault="001917F6" w:rsidP="00A30F23">
      <w:r>
        <w:rPr>
          <w:rFonts w:ascii="Arial" w:eastAsia="Times New Roman" w:hAnsi="Arial" w:cs="Arial"/>
          <w:b/>
          <w:bCs/>
          <w:color w:val="000000"/>
          <w:sz w:val="22"/>
        </w:rPr>
        <w:t>Figure S6</w:t>
      </w:r>
      <w:r w:rsidRPr="00A30F23">
        <w:rPr>
          <w:rFonts w:ascii="Arial" w:eastAsia="Times New Roman" w:hAnsi="Arial" w:cs="Arial"/>
          <w:b/>
          <w:bCs/>
          <w:color w:val="000000"/>
          <w:sz w:val="22"/>
        </w:rPr>
        <w:t xml:space="preserve">. </w:t>
      </w:r>
      <w:r w:rsidR="00632130">
        <w:rPr>
          <w:rFonts w:ascii="Arial" w:eastAsia="Times New Roman" w:hAnsi="Arial" w:cs="Arial"/>
          <w:color w:val="000000"/>
          <w:sz w:val="22"/>
        </w:rPr>
        <w:t>Limit of Q</w:t>
      </w:r>
      <w:r w:rsidRPr="00A30F23">
        <w:rPr>
          <w:rFonts w:ascii="Arial" w:eastAsia="Times New Roman" w:hAnsi="Arial" w:cs="Arial"/>
          <w:color w:val="000000"/>
          <w:sz w:val="22"/>
        </w:rPr>
        <w:t xml:space="preserve">uantification (LOQ) of </w:t>
      </w:r>
      <w:proofErr w:type="spellStart"/>
      <w:r w:rsidRPr="00A30F23">
        <w:rPr>
          <w:rFonts w:ascii="Arial" w:eastAsia="Times New Roman" w:hAnsi="Arial" w:cs="Arial"/>
          <w:color w:val="000000"/>
          <w:sz w:val="22"/>
        </w:rPr>
        <w:t>d</w:t>
      </w:r>
      <w:r>
        <w:rPr>
          <w:rFonts w:ascii="Arial" w:eastAsia="Times New Roman" w:hAnsi="Arial" w:cs="Arial"/>
          <w:color w:val="000000"/>
          <w:sz w:val="22"/>
        </w:rPr>
        <w:t>d</w:t>
      </w:r>
      <w:r w:rsidRPr="00A30F23">
        <w:rPr>
          <w:rFonts w:ascii="Arial" w:eastAsia="Times New Roman" w:hAnsi="Arial" w:cs="Arial"/>
          <w:color w:val="000000"/>
          <w:sz w:val="22"/>
        </w:rPr>
        <w:t>PCR</w:t>
      </w:r>
      <w:proofErr w:type="spellEnd"/>
      <w:r w:rsidRPr="00A30F23">
        <w:rPr>
          <w:rFonts w:ascii="Arial" w:eastAsia="Times New Roman" w:hAnsi="Arial" w:cs="Arial"/>
          <w:color w:val="000000"/>
          <w:sz w:val="22"/>
        </w:rPr>
        <w:t>.</w:t>
      </w:r>
    </w:p>
    <w:p w14:paraId="238120DB" w14:textId="2BD641A9" w:rsidR="007260FB" w:rsidRDefault="007260FB" w:rsidP="00A30F23"/>
    <w:p w14:paraId="55A1AA8A" w14:textId="22E6A16D" w:rsidR="007260FB" w:rsidRDefault="007260FB" w:rsidP="00A30F23"/>
    <w:p w14:paraId="04CB86D4" w14:textId="0F001749" w:rsidR="007260FB" w:rsidRDefault="007260FB" w:rsidP="00A30F23"/>
    <w:p w14:paraId="1189FBB4" w14:textId="06A9E320" w:rsidR="001917F6" w:rsidRDefault="001917F6">
      <w:r>
        <w:br w:type="page"/>
      </w:r>
    </w:p>
    <w:p w14:paraId="3E7AF07B" w14:textId="77777777" w:rsidR="007260FB" w:rsidRDefault="007260FB" w:rsidP="00A30F23"/>
    <w:p w14:paraId="4396D2E6" w14:textId="77777777" w:rsidR="007260FB" w:rsidRPr="001917F6" w:rsidRDefault="007260FB" w:rsidP="00A30F23">
      <w:pPr>
        <w:rPr>
          <w:b/>
        </w:rPr>
      </w:pPr>
    </w:p>
    <w:p w14:paraId="5C95AA3B" w14:textId="0C1EEC6A" w:rsidR="007260FB" w:rsidRPr="001917F6" w:rsidRDefault="007260FB" w:rsidP="00A30F23">
      <w:pPr>
        <w:rPr>
          <w:b/>
        </w:rPr>
      </w:pPr>
      <w:r w:rsidRPr="001917F6">
        <w:rPr>
          <w:b/>
        </w:rPr>
        <w:t>References</w:t>
      </w:r>
    </w:p>
    <w:p w14:paraId="54D9AF9B" w14:textId="77777777" w:rsidR="007260FB" w:rsidRPr="007260FB" w:rsidRDefault="007260FB" w:rsidP="007260FB">
      <w:pPr>
        <w:pStyle w:val="Bibliography"/>
      </w:pPr>
      <w:r>
        <w:fldChar w:fldCharType="begin"/>
      </w:r>
      <w:r>
        <w:instrText xml:space="preserve"> ADDIN ZOTERO_BIBL {"uncited":[],"omitted":[],"custom":[]} CSL_BIBLIOGRAPHY </w:instrText>
      </w:r>
      <w:r>
        <w:fldChar w:fldCharType="separate"/>
      </w:r>
      <w:r w:rsidRPr="007260FB">
        <w:t xml:space="preserve">1. </w:t>
      </w:r>
      <w:r w:rsidRPr="007260FB">
        <w:tab/>
        <w:t>Klymus KE, Merkes CM, Allison MJ, Goldberg CS, Helbing CC, Hunter ME, Jackson CA, Lance RF, Mangan AM, Monroe EM, Piaggio AJ, Stokdyk JP, Wilson CC, Richter CA (2020) Reporting the limits of detection and quantification for environmental DNA assays. Environ DNA 2:271–282. https://doi.org/10.1002/edn3.29</w:t>
      </w:r>
    </w:p>
    <w:p w14:paraId="3E329D68" w14:textId="77777777" w:rsidR="007260FB" w:rsidRPr="007260FB" w:rsidRDefault="007260FB" w:rsidP="007260FB">
      <w:pPr>
        <w:pStyle w:val="Bibliography"/>
      </w:pPr>
      <w:r w:rsidRPr="007260FB">
        <w:t xml:space="preserve">2. </w:t>
      </w:r>
      <w:r w:rsidRPr="007260FB">
        <w:tab/>
        <w:t>Hunter ME, Dorazio RM, Butterfield JSS, Meigs-Friend G, Nico LG, Ferrante JA (2017) Detection limits of quantitative and digital PCR assays and their influence in presence–absence surveys of environmental DNA. Mol Ecol Resour 17:221–229. https://doi.org/10.1111/1755-0998.12619</w:t>
      </w:r>
    </w:p>
    <w:p w14:paraId="36CD7F4A" w14:textId="77777777" w:rsidR="007260FB" w:rsidRPr="007260FB" w:rsidRDefault="007260FB" w:rsidP="007260FB">
      <w:pPr>
        <w:pStyle w:val="Bibliography"/>
      </w:pPr>
      <w:r w:rsidRPr="007260FB">
        <w:t xml:space="preserve">3. </w:t>
      </w:r>
      <w:r w:rsidRPr="007260FB">
        <w:tab/>
        <w:t>Forootan A, Sjöback R, Björkman J, Sjögreen B, Linz L, Kubista M (2017) Methods to determine limit of detection and limit of quantification in quantitative real-time PCR (qPCR). Biomol Detect Quantif 12:1–6. https://doi.org/10.1016/j.bdq.2017.04.001</w:t>
      </w:r>
    </w:p>
    <w:p w14:paraId="049911ED" w14:textId="77777777" w:rsidR="007260FB" w:rsidRPr="007260FB" w:rsidRDefault="007260FB" w:rsidP="007260FB">
      <w:pPr>
        <w:pStyle w:val="Bibliography"/>
      </w:pPr>
      <w:r w:rsidRPr="007260FB">
        <w:t xml:space="preserve">4. </w:t>
      </w:r>
      <w:r w:rsidRPr="007260FB">
        <w:tab/>
        <w:t>Brys R, Halfmaerten D, Neyrinck S, Mauvisseau Q, Auwerx J, Sweet M, Mergeay J (2021) Reliable eDNA detection and quantification of the European weather loach (Misgurnus fossilis). J Fish Biol 98:399–414. https://doi.org/10.1111/jfb.14315</w:t>
      </w:r>
    </w:p>
    <w:p w14:paraId="3384B099" w14:textId="7301B0C0" w:rsidR="007260FB" w:rsidRDefault="007260FB" w:rsidP="00A30F23">
      <w:r>
        <w:fldChar w:fldCharType="end"/>
      </w:r>
    </w:p>
    <w:sectPr w:rsidR="007260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4D16" w14:textId="77777777" w:rsidR="006B154F" w:rsidRDefault="006B154F" w:rsidP="00AC7601">
      <w:pPr>
        <w:spacing w:after="0" w:line="240" w:lineRule="auto"/>
      </w:pPr>
      <w:r>
        <w:separator/>
      </w:r>
    </w:p>
  </w:endnote>
  <w:endnote w:type="continuationSeparator" w:id="0">
    <w:p w14:paraId="3DDAEB88" w14:textId="77777777" w:rsidR="006B154F" w:rsidRDefault="006B154F" w:rsidP="00AC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2FA7" w14:textId="77777777" w:rsidR="006B154F" w:rsidRDefault="006B154F" w:rsidP="00AC7601">
      <w:pPr>
        <w:spacing w:after="0" w:line="240" w:lineRule="auto"/>
      </w:pPr>
      <w:r>
        <w:separator/>
      </w:r>
    </w:p>
  </w:footnote>
  <w:footnote w:type="continuationSeparator" w:id="0">
    <w:p w14:paraId="7ADB528C" w14:textId="77777777" w:rsidR="006B154F" w:rsidRDefault="006B154F" w:rsidP="00AC7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3E"/>
    <w:rsid w:val="00170627"/>
    <w:rsid w:val="001917F6"/>
    <w:rsid w:val="001966BC"/>
    <w:rsid w:val="002E065C"/>
    <w:rsid w:val="00632130"/>
    <w:rsid w:val="006B154F"/>
    <w:rsid w:val="007260FB"/>
    <w:rsid w:val="0088548B"/>
    <w:rsid w:val="008B0D6F"/>
    <w:rsid w:val="00907CBC"/>
    <w:rsid w:val="009835DC"/>
    <w:rsid w:val="00A30F23"/>
    <w:rsid w:val="00A81F38"/>
    <w:rsid w:val="00AC7601"/>
    <w:rsid w:val="00AD45FD"/>
    <w:rsid w:val="00B2243F"/>
    <w:rsid w:val="00CD56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F61C"/>
  <w15:chartTrackingRefBased/>
  <w15:docId w15:val="{8A3A3AC5-6E16-404A-BD7A-4BC32E28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FD"/>
    <w:rPr>
      <w:rFonts w:ascii="Garamond" w:hAnsi="Garamond"/>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B0D6F"/>
    <w:pPr>
      <w:spacing w:after="0" w:line="240" w:lineRule="auto"/>
    </w:pPr>
    <w:rPr>
      <w:rFonts w:ascii="Times New Roman" w:hAnsi="Times New Roman"/>
      <w:sz w:val="24"/>
      <w:lang w:val="en-GB"/>
    </w:rPr>
  </w:style>
  <w:style w:type="paragraph" w:styleId="NormalWeb">
    <w:name w:val="Normal (Web)"/>
    <w:basedOn w:val="Normal"/>
    <w:uiPriority w:val="99"/>
    <w:semiHidden/>
    <w:unhideWhenUsed/>
    <w:rsid w:val="00A30F2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A30F23"/>
    <w:rPr>
      <w:color w:val="0000FF"/>
      <w:u w:val="single"/>
    </w:rPr>
  </w:style>
  <w:style w:type="character" w:customStyle="1" w:styleId="apple-tab-span">
    <w:name w:val="apple-tab-span"/>
    <w:basedOn w:val="DefaultParagraphFont"/>
    <w:rsid w:val="00A30F23"/>
  </w:style>
  <w:style w:type="paragraph" w:styleId="Bibliography">
    <w:name w:val="Bibliography"/>
    <w:basedOn w:val="Normal"/>
    <w:next w:val="Normal"/>
    <w:uiPriority w:val="37"/>
    <w:unhideWhenUsed/>
    <w:rsid w:val="007260FB"/>
  </w:style>
  <w:style w:type="paragraph" w:styleId="Header">
    <w:name w:val="header"/>
    <w:basedOn w:val="Normal"/>
    <w:link w:val="HeaderChar"/>
    <w:uiPriority w:val="99"/>
    <w:unhideWhenUsed/>
    <w:rsid w:val="00AC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01"/>
    <w:rPr>
      <w:rFonts w:ascii="Garamond" w:hAnsi="Garamond"/>
      <w:kern w:val="0"/>
      <w:sz w:val="24"/>
      <w:lang w:val="en-GB"/>
      <w14:ligatures w14:val="none"/>
    </w:rPr>
  </w:style>
  <w:style w:type="paragraph" w:styleId="Footer">
    <w:name w:val="footer"/>
    <w:basedOn w:val="Normal"/>
    <w:link w:val="FooterChar"/>
    <w:uiPriority w:val="99"/>
    <w:unhideWhenUsed/>
    <w:rsid w:val="00AC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01"/>
    <w:rPr>
      <w:rFonts w:ascii="Garamond" w:hAnsi="Garamond"/>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33093">
      <w:bodyDiv w:val="1"/>
      <w:marLeft w:val="0"/>
      <w:marRight w:val="0"/>
      <w:marTop w:val="0"/>
      <w:marBottom w:val="0"/>
      <w:divBdr>
        <w:top w:val="none" w:sz="0" w:space="0" w:color="auto"/>
        <w:left w:val="none" w:sz="0" w:space="0" w:color="auto"/>
        <w:bottom w:val="none" w:sz="0" w:space="0" w:color="auto"/>
        <w:right w:val="none" w:sz="0" w:space="0" w:color="auto"/>
      </w:divBdr>
    </w:div>
    <w:div w:id="18179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039B-4B03-4D8E-9B5D-983164E0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4992</Words>
  <Characters>28458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
  <dc:description/>
  <cp:lastModifiedBy>Laima Bagdonaite</cp:lastModifiedBy>
  <cp:revision>5</cp:revision>
  <dcterms:created xsi:type="dcterms:W3CDTF">2024-03-27T06:21:00Z</dcterms:created>
  <dcterms:modified xsi:type="dcterms:W3CDTF">2025-03-03T22:17:00Z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id="DtXRt5uA"/&gt;&lt;style id="http://www.zotero.org/styles/springer-basic-brackets-no-et-al"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