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61EF" w14:textId="7ACB0B9D" w:rsidR="00B67109" w:rsidRPr="00AA2A77" w:rsidRDefault="00B67109" w:rsidP="0017075F">
      <w:pPr>
        <w:widowControl/>
        <w:spacing w:after="158" w:line="450" w:lineRule="atLeast"/>
        <w:jc w:val="lef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Method</w:t>
      </w:r>
    </w:p>
    <w:p w14:paraId="004FCBB0" w14:textId="62A54EC0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Sample preparation:</w:t>
      </w:r>
      <w:r w:rsidR="0017075F" w:rsidRPr="00AA2A77">
        <w:rPr>
          <w:rFonts w:ascii="Times" w:eastAsia="宋体" w:hAnsi="Times" w:cs="宋体"/>
          <w:color w:val="000000" w:themeColor="text1"/>
          <w:kern w:val="0"/>
          <w:sz w:val="24"/>
        </w:rPr>
        <w:br/>
      </w: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1. Pool QC (PQC) sample preparation: Mix 10μL from each serum sample to create PQC sample, vortex to mix well</w:t>
      </w: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；</w:t>
      </w:r>
    </w:p>
    <w:p w14:paraId="45696562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2. System Suitability Test (SST) sample preparation: Dilute the internal standard working solution five times with a 10% methanol/90% water solution (standard solution) as the SST sample;</w:t>
      </w:r>
    </w:p>
    <w:p w14:paraId="3624F95E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3. Blank solution: Use extraction solvent as a blank solution (methanol pre-cooled in a -80°C freezer for more than half an hour)</w:t>
      </w: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；</w:t>
      </w:r>
    </w:p>
    <w:p w14:paraId="44D822B2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4. Take 20μL supernatant, 20μL PQC, and 20μL blank solution each in a 2ml centrifuge tube, add 20μL internal standard working solution, then add 110μL extraction solvent (methanol pre-cooled in a -80°C freezer for more than half an hour), vortex and shake for 1 minute; place at -20°C for at least half an hour.</w:t>
      </w:r>
    </w:p>
    <w:p w14:paraId="114942C9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5. Centrifuge at 14000xg, 4°C for 10 minutes, transfer the supernatant to a new 2ml centrifuge tube, vacuum freeze-dry, resuspend in 100μL of 10% methanol/90% water solution (standard solution), vortex for 30 seconds, sonicate for 1 minute, centrifuge at 14000xg, 4°C for 10 minutes, transfer the supernatant to a sample vial for mass spectrometry analysis;</w:t>
      </w:r>
    </w:p>
    <w:p w14:paraId="3DBF574A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</w:p>
    <w:p w14:paraId="128BAC58" w14:textId="4293DE2E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Conditions for Chromatography</w:t>
      </w:r>
    </w:p>
    <w:p w14:paraId="20B6C7DD" w14:textId="029ACF74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bookmarkStart w:id="0" w:name="OLE_LINK10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lastRenderedPageBreak/>
        <w:t xml:space="preserve">1.Simultaneous collection was performed in both positive ion mode and negative ion mode using a Waters ACQUITY BEH C18 column (1.7 µm × 2.1 mm × 100 mm). </w:t>
      </w:r>
    </w:p>
    <w:p w14:paraId="517A2679" w14:textId="77777777" w:rsidR="00B67109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2.The mobile phase consisted of A: 0.1% formic acid in water and B: 0.1% formic acid in acetonitrile/methanol (40/60) solution. </w:t>
      </w:r>
    </w:p>
    <w:p w14:paraId="4B8CB325" w14:textId="6F9836E7" w:rsidR="00DB71BB" w:rsidRPr="00AA2A77" w:rsidRDefault="00B67109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3.The column temperature was maintained at 40°C, with an injection volume of 5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μL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, and gradient elution conditions as follows:</w:t>
      </w:r>
      <w:bookmarkEnd w:id="0"/>
    </w:p>
    <w:tbl>
      <w:tblPr>
        <w:tblpPr w:leftFromText="180" w:rightFromText="180" w:vertAnchor="text" w:horzAnchor="page" w:tblpX="1813" w:tblpY="169"/>
        <w:tblOverlap w:val="never"/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518"/>
        <w:gridCol w:w="1701"/>
        <w:gridCol w:w="2268"/>
      </w:tblGrid>
      <w:tr w:rsidR="00AA2A77" w:rsidRPr="00AA2A77" w14:paraId="47615F77" w14:textId="77777777" w:rsidTr="0017075F">
        <w:trPr>
          <w:trHeight w:val="4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C15CD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Time (min)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3B27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Flow (ml/min)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283ED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A 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C0F3D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B (%)</w:t>
            </w:r>
          </w:p>
        </w:tc>
      </w:tr>
      <w:tr w:rsidR="00AA2A77" w:rsidRPr="00AA2A77" w14:paraId="105AD3F1" w14:textId="77777777" w:rsidTr="0017075F">
        <w:trPr>
          <w:trHeight w:val="26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83CEE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67B75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B2139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56933A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</w:t>
            </w:r>
          </w:p>
        </w:tc>
      </w:tr>
      <w:tr w:rsidR="00AA2A77" w:rsidRPr="00AA2A77" w14:paraId="40CA7B23" w14:textId="77777777" w:rsidTr="0017075F">
        <w:trPr>
          <w:trHeight w:val="37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17D0D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70D8E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FAC0B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80953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40</w:t>
            </w:r>
          </w:p>
        </w:tc>
      </w:tr>
      <w:tr w:rsidR="00AA2A77" w:rsidRPr="00AA2A77" w14:paraId="56AD9BF2" w14:textId="77777777" w:rsidTr="0017075F">
        <w:trPr>
          <w:trHeight w:val="26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2BA3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EBB47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370D4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C4D4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95</w:t>
            </w:r>
          </w:p>
        </w:tc>
      </w:tr>
      <w:tr w:rsidR="00AA2A77" w:rsidRPr="00AA2A77" w14:paraId="1A1BE864" w14:textId="77777777" w:rsidTr="0017075F">
        <w:trPr>
          <w:trHeight w:val="2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4761E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4499F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921BE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04CB7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100</w:t>
            </w:r>
          </w:p>
        </w:tc>
      </w:tr>
      <w:tr w:rsidR="00AA2A77" w:rsidRPr="00AA2A77" w14:paraId="1177DE58" w14:textId="77777777" w:rsidTr="0017075F">
        <w:trPr>
          <w:trHeight w:val="33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F0AFC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454A66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417A1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B368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100</w:t>
            </w:r>
          </w:p>
        </w:tc>
      </w:tr>
      <w:tr w:rsidR="00AA2A77" w:rsidRPr="00AA2A77" w14:paraId="6FD61DF7" w14:textId="77777777" w:rsidTr="0017075F">
        <w:trPr>
          <w:trHeight w:val="26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98EC4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C2E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FFF9F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E393A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</w:t>
            </w:r>
          </w:p>
        </w:tc>
      </w:tr>
      <w:tr w:rsidR="00AA2A77" w:rsidRPr="00AA2A77" w14:paraId="3D5A274C" w14:textId="77777777" w:rsidTr="0017075F">
        <w:trPr>
          <w:trHeight w:val="35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879E8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13.5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95F6B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E772C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E8AA9" w14:textId="77777777" w:rsidR="00DB71BB" w:rsidRPr="00AA2A77" w:rsidRDefault="0017075F" w:rsidP="0017075F">
            <w:pPr>
              <w:widowControl/>
              <w:spacing w:after="158" w:line="450" w:lineRule="atLeast"/>
              <w:jc w:val="left"/>
              <w:rPr>
                <w:rFonts w:ascii="Times" w:eastAsia="宋体" w:hAnsi="Times" w:cs="宋体" w:hint="eastAsia"/>
                <w:color w:val="000000" w:themeColor="text1"/>
                <w:kern w:val="0"/>
                <w:sz w:val="24"/>
              </w:rPr>
            </w:pPr>
            <w:r w:rsidRPr="00AA2A77">
              <w:rPr>
                <w:rFonts w:ascii="Times" w:eastAsia="宋体" w:hAnsi="Times" w:cs="宋体"/>
                <w:color w:val="000000" w:themeColor="text1"/>
                <w:kern w:val="0"/>
                <w:sz w:val="24"/>
              </w:rPr>
              <w:t>10</w:t>
            </w:r>
          </w:p>
        </w:tc>
      </w:tr>
    </w:tbl>
    <w:p w14:paraId="6826010F" w14:textId="77777777" w:rsidR="0017075F" w:rsidRPr="00AA2A77" w:rsidRDefault="0017075F" w:rsidP="00B67109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4C146F6" w14:textId="77777777" w:rsidR="00672727" w:rsidRDefault="00672727" w:rsidP="0017075F">
      <w:pPr>
        <w:widowControl/>
        <w:spacing w:after="158" w:line="450" w:lineRule="atLeast"/>
        <w:jc w:val="left"/>
        <w:rPr>
          <w:rFonts w:ascii="Times" w:eastAsia="宋体" w:hAnsi="Times" w:cs="宋体"/>
          <w:color w:val="000000" w:themeColor="text1"/>
          <w:kern w:val="0"/>
          <w:sz w:val="24"/>
          <w:lang w:val="en-GB"/>
        </w:rPr>
      </w:pPr>
    </w:p>
    <w:p w14:paraId="4503E52F" w14:textId="4EE614C0" w:rsidR="00672727" w:rsidRPr="00672727" w:rsidRDefault="00672727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F378DE">
        <w:rPr>
          <w:rFonts w:ascii="Times" w:eastAsia="宋体" w:hAnsi="Times" w:cs="宋体"/>
          <w:color w:val="000000" w:themeColor="text1"/>
          <w:kern w:val="0"/>
          <w:sz w:val="24"/>
        </w:rPr>
        <w:lastRenderedPageBreak/>
        <w:t>LC-MS Analysis</w:t>
      </w:r>
    </w:p>
    <w:p w14:paraId="56D6D791" w14:textId="6BB6EA08" w:rsidR="00F378DE" w:rsidRPr="00672727" w:rsidRDefault="0017075F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Metabolites were separated using a Waters ACQUITY BEH C18 Column (1.7 µmx2.1 mm x100 mm) on a Vanquish Flex UPLC equipped with a refrigerated autosampler (10°C) and column heater (40°C).</w:t>
      </w:r>
    </w:p>
    <w:p w14:paraId="54E6E683" w14:textId="77777777" w:rsidR="0017075F" w:rsidRPr="00AA2A77" w:rsidRDefault="0017075F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4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Two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moblie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phase condition was used to improve the metabolite coverage. For condition 1, solvent A (0.1% formic acid in water) and solvent B (0.1% formic acid in acetonitrile/methanol=4/6) were used to elute the metabolites with a 13.5 min gradient, as follows: 10% B at 0 min, 0.25ml/min; 40% B at 3 min, 0.25ml/min; 95 % B at 5 min, 0.25ml/min; 100 % B at 8 min, 0.6ml/min; 100 % B at 10 min, 0.6ml/min; and back to 10 % B at 10.5 min, 0.25ml/min; and equilibrate for 3min. Samples were analyzed using a Q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Exactive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HF-X (QE-HF-X) mass spectrometry equipped with a heated electro-spray ionization (HESI) source. All the data was acquired in positive and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negtive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switching mode using Full scan detection, and the PQC were also analyzed with Full scan/ddMS2 to acquire MS2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fragementation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for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metaoblite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identificaiton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and annotation. For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conditon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2, solvent A was 6.5mM NH4HCO3 in water, solvent B was 6.5mM NH4HCO3 in methanol. The 12 min gradient was employed: 0 min, 0.25ml/min, 10% B; 4 min, 0.25ml/min, 40%B; 6 min, 0.25ml/min, 95%B; 8 min, 0.4ml/min, 99%B; 8.5 min, 0.4ml/min, 99%B; 8.6 min, 0.25ml/min, 10%B; 12 min, 0.25 ml/min, 10%B. Data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acquisiton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were performed only in negative mode, and Full scan was used for all the samples, and Full scan/ddMS2 was also used for PQC samples.</w:t>
      </w:r>
    </w:p>
    <w:p w14:paraId="39260815" w14:textId="77777777" w:rsidR="0017075F" w:rsidRPr="00AA2A77" w:rsidRDefault="0017075F" w:rsidP="0017075F">
      <w:pPr>
        <w:widowControl/>
        <w:spacing w:after="158" w:line="450" w:lineRule="atLeast"/>
        <w:jc w:val="left"/>
        <w:rPr>
          <w:rFonts w:ascii="Times" w:eastAsia="宋体" w:hAnsi="Times" w:cs="宋体" w:hint="eastAsia"/>
          <w:color w:val="000000" w:themeColor="text1"/>
          <w:kern w:val="0"/>
          <w:sz w:val="23"/>
          <w:szCs w:val="23"/>
        </w:rPr>
      </w:pPr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lastRenderedPageBreak/>
        <w:t xml:space="preserve">The Full Scan settings were as follows: 60,000 resolution, AGC target, 1e6; Maximum IT, 100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ms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; scan range, 60 to 900 m/z. For Full scan/ddMS2(DDA), Top 20 MS/MS spectral (dd-MS2) @ 15000 were generated with AGC target = 2e5, Maximum IT=25 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ms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, and (N)CE/stepped NCE = 10, 40, 80v. </w:t>
      </w:r>
      <w:proofErr w:type="gram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Metabolites</w:t>
      </w:r>
      <w:proofErr w:type="gram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 xml:space="preserve"> detection and identification were performed using MS-dial (ver.5.1.230912) by searching against online database (</w:t>
      </w:r>
      <w:proofErr w:type="spellStart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MoNA</w:t>
      </w:r>
      <w:proofErr w:type="spellEnd"/>
      <w:r w:rsidRPr="00AA2A77">
        <w:rPr>
          <w:rFonts w:ascii="Times" w:eastAsia="宋体" w:hAnsi="Times" w:cs="宋体"/>
          <w:color w:val="000000" w:themeColor="text1"/>
          <w:kern w:val="0"/>
          <w:sz w:val="24"/>
        </w:rPr>
        <w:t>, GNPS, HMDB and MS-dial database) and in-house database.</w:t>
      </w:r>
    </w:p>
    <w:p w14:paraId="5768ABB2" w14:textId="57235651" w:rsidR="00DB71BB" w:rsidRPr="00AA2A77" w:rsidRDefault="00DB71BB" w:rsidP="0017075F">
      <w:pPr>
        <w:rPr>
          <w:rFonts w:ascii="Times" w:eastAsia="宋体" w:hAnsi="Times" w:cs="Times" w:hint="eastAsia"/>
          <w:color w:val="000000" w:themeColor="text1"/>
          <w:sz w:val="15"/>
          <w:szCs w:val="15"/>
          <w:shd w:val="clear" w:color="auto" w:fill="FFFFFF"/>
        </w:rPr>
      </w:pPr>
    </w:p>
    <w:sectPr w:rsidR="00DB71BB" w:rsidRPr="00AA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A7"/>
    <w:multiLevelType w:val="hybridMultilevel"/>
    <w:tmpl w:val="0248FD32"/>
    <w:lvl w:ilvl="0" w:tplc="27AC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442D8E"/>
    <w:multiLevelType w:val="multilevel"/>
    <w:tmpl w:val="E58CDB7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  <w:sz w:val="30"/>
        <w:szCs w:val="30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7476B"/>
    <w:multiLevelType w:val="hybridMultilevel"/>
    <w:tmpl w:val="568C8F48"/>
    <w:lvl w:ilvl="0" w:tplc="86E46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E00C15"/>
    <w:multiLevelType w:val="hybridMultilevel"/>
    <w:tmpl w:val="E3D4BD58"/>
    <w:lvl w:ilvl="0" w:tplc="577EF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04714F"/>
    <w:multiLevelType w:val="hybridMultilevel"/>
    <w:tmpl w:val="D828EF3C"/>
    <w:lvl w:ilvl="0" w:tplc="43BC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BB"/>
    <w:rsid w:val="0017075F"/>
    <w:rsid w:val="00672727"/>
    <w:rsid w:val="00AA2A77"/>
    <w:rsid w:val="00B67109"/>
    <w:rsid w:val="00DB71BB"/>
    <w:rsid w:val="00EB4BFE"/>
    <w:rsid w:val="00F378DE"/>
    <w:rsid w:val="0F3A199C"/>
    <w:rsid w:val="155C2BC0"/>
    <w:rsid w:val="156F29B6"/>
    <w:rsid w:val="1E5B7F7C"/>
    <w:rsid w:val="22573150"/>
    <w:rsid w:val="2982122C"/>
    <w:rsid w:val="47890CEF"/>
    <w:rsid w:val="6CBA5778"/>
    <w:rsid w:val="6D013069"/>
    <w:rsid w:val="7130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06895"/>
  <w15:docId w15:val="{790E660E-CCE1-A44B-890A-39A83292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B67109"/>
    <w:pPr>
      <w:widowControl/>
      <w:ind w:firstLineChars="200" w:firstLine="420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zfq</dc:creator>
  <cp:lastModifiedBy>Ting Pan</cp:lastModifiedBy>
  <cp:revision>6</cp:revision>
  <dcterms:created xsi:type="dcterms:W3CDTF">2025-01-27T13:56:00Z</dcterms:created>
  <dcterms:modified xsi:type="dcterms:W3CDTF">2025-02-01T13:30:00Z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eyJoZGlkIjoiNGYzYWZkODc5NzBjMjE0NDRhMWFmMzIwNDAzMjcxNWIiLCJ1c2VySWQiOiI0NzQ2NTYwMTgifQ==</vt:lpwstr>
  </property>
  <property fmtid="{D5CDD505-2E9C-101B-9397-08002B2CF9AE}" pid="4" name="ICV">
    <vt:lpwstr>AF290A6273C54263A2ED0E08DCA6B07C_12</vt:lpwstr>
  </property>
</Properties>
</file>