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jc w:val="left"/>
        <w:rPr>
          <w:rFonts w:ascii="Times New Roman" w:hAnsi="Times New Roman" w:cs="Times New Roman"/>
          <w:sz w:val="24"/>
        </w:rPr>
      </w:pPr>
      <w:bookmarkStart w:id="0" w:name="OLE_LINK30"/>
      <w:r>
        <w:rPr>
          <w:rFonts w:ascii="Times New Roman" w:hAnsi="Times New Roman" w:eastAsia="Arial" w:cs="Times New Roman"/>
          <w:sz w:val="24"/>
        </w:rPr>
        <w:t>The determination of the biochemistry index is fulfilled by the central lab according to the</w:t>
      </w:r>
      <w:r>
        <w:rPr>
          <w:rFonts w:ascii="Times New Roman" w:hAnsi="Times New Roman" w:cs="Times New Roman"/>
          <w:sz w:val="24"/>
        </w:rPr>
        <w:t xml:space="preserve"> uniform method of quality control. Each subject received venous blood drawn early in the morning after fasting for 10 hours to detect</w:t>
      </w:r>
      <w:bookmarkStart w:id="1" w:name="OLE_LINK49"/>
      <w:r>
        <w:rPr>
          <w:rFonts w:ascii="Times New Roman" w:hAnsi="Times New Roman" w:cs="Times New Roman"/>
          <w:sz w:val="24"/>
        </w:rPr>
        <w:t xml:space="preserve"> total cholesterol (TC), triglyceride (TG), </w:t>
      </w:r>
      <w:bookmarkStart w:id="2" w:name="OLE_LINK7"/>
      <w:r>
        <w:rPr>
          <w:rFonts w:ascii="Times New Roman" w:hAnsi="Times New Roman" w:cs="Times New Roman"/>
          <w:sz w:val="24"/>
        </w:rPr>
        <w:t>high-density lipoprotein cholesterol (HDL-C)</w:t>
      </w:r>
      <w:bookmarkEnd w:id="2"/>
      <w:r>
        <w:rPr>
          <w:rFonts w:ascii="Times New Roman" w:hAnsi="Times New Roman" w:cs="Times New Roman"/>
          <w:sz w:val="24"/>
        </w:rPr>
        <w:t xml:space="preserve">, low-density lipoprotein cholesterol (LDL-C) and uric acid (UA) by the automatic biochemistry analyzer. Fasting blood glucose (FBG) is determined by the glucose oxidase method. </w:t>
      </w:r>
      <w:bookmarkEnd w:id="0"/>
      <w:bookmarkEnd w:id="1"/>
    </w:p>
    <w:p>
      <w:pPr>
        <w:ind w:firstLine="480" w:firstLineChars="200"/>
        <w:jc w:val="left"/>
        <w:rPr>
          <w:rFonts w:ascii="Times New Roman" w:hAnsi="Times New Roman" w:eastAsia="Arial" w:cs="Times New Roman"/>
          <w:sz w:val="24"/>
        </w:rPr>
      </w:pPr>
      <w:r>
        <w:rPr>
          <w:rFonts w:ascii="Times New Roman" w:hAnsi="Times New Roman" w:cs="Times New Roman"/>
          <w:sz w:val="24"/>
        </w:rPr>
        <w:t>Height and weight are measured using an accurate standardized weight and height measuring instrument. Weight is accurate to 0.1kg, height is accurate to 0.1cm. Body mass index (BMI) was calculated by dividing body weight in kilograms by height in meters squared (kg/m2). According to the prevention and control guide of Chinese adults overweight and obesit</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&lt;EndNote&gt;&lt;Cite&gt;&lt;Author&gt;Zhou&lt;/Author&gt;&lt;Year&gt;2002&lt;/Year&gt;&lt;RecNum&gt;83&lt;/RecNum&gt;&lt;DisplayText&gt;(Zhou 2002)&lt;/DisplayText&gt;&lt;record&gt;&lt;rec-number&gt;83&lt;/rec-number&gt;&lt;foreign-keys&gt;&lt;key app="EN" db-id="ssztx5st8setfmepve95eedwtea0v9wxfzzp" timestamp="1716032893"&gt;83&lt;/key&gt;&lt;/foreign-keys&gt;&lt;ref-type name="Journal Article"&gt;17&lt;/ref-type&gt;&lt;contributors&gt;&lt;authors&gt;&lt;author&gt;Zhou, B. F.&lt;/author&gt;&lt;/authors&gt;&lt;/contributors&gt;&lt;auth-address&gt;Institute of Cardiovascular Disease, Chinese Academy of Medical Sciences.&lt;/auth-address&gt;&lt;titles&gt;&lt;title&gt;Predictive values of body mass index and waist circumference for risk factors of certain related diseases in Chinese adults--study on optimal cut-off points of body mass index and waist circumference in Chinese adults&lt;/title&gt;&lt;secondary-title&gt;Biomed Environ Sci&lt;/secondary-title&gt;&lt;/titles&gt;&lt;periodical&gt;&lt;full-title&gt;Biomed Environ Sci&lt;/full-title&gt;&lt;/periodical&gt;&lt;pages&gt;83-96&lt;/pages&gt;&lt;volume&gt;15&lt;/volume&gt;&lt;number&gt;1&lt;/number&gt;&lt;keywords&gt;&lt;keyword&gt;Adult&lt;/keyword&gt;&lt;keyword&gt;Aged&lt;/keyword&gt;&lt;keyword&gt;*Body Mass Index&lt;/keyword&gt;&lt;keyword&gt;Body Weight&lt;/keyword&gt;&lt;keyword&gt;China&lt;/keyword&gt;&lt;keyword&gt;Diabetes Mellitus/epidemiology/ethnology&lt;/keyword&gt;&lt;keyword&gt;Female&lt;/keyword&gt;&lt;keyword&gt;Health Surveys&lt;/keyword&gt;&lt;keyword&gt;Humans&lt;/keyword&gt;&lt;keyword&gt;Hypertension/epidemiology/ethnology&lt;/keyword&gt;&lt;keyword&gt;Male&lt;/keyword&gt;&lt;keyword&gt;Middle Aged&lt;/keyword&gt;&lt;keyword&gt;Obesity/classification/*complications/*ethnology&lt;/keyword&gt;&lt;keyword&gt;Reference Values&lt;/keyword&gt;&lt;keyword&gt;Risk Factors&lt;/keyword&gt;&lt;keyword&gt;Sex Factors&lt;/keyword&gt;&lt;keyword&gt;Thorax/anatomy &amp;amp; histology&lt;/keyword&gt;&lt;/keywords&gt;&lt;dates&gt;&lt;year&gt;2002&lt;/year&gt;&lt;pub-dates&gt;&lt;date&gt;Mar&lt;/date&gt;&lt;/pub-dates&gt;&lt;/dates&gt;&lt;isbn&gt;0895-3988 (Print)&amp;#xD;0895-3988&lt;/isbn&gt;&lt;accession-num&gt;12046553&lt;/accession-num&gt;&lt;urls&gt;&lt;/urls&gt;&lt;remote-database-provider&gt;NLM&lt;/remote-database-provider&gt;&lt;language&gt;eng&lt;/language&gt;&lt;/record&gt;&lt;/Cite&gt;&lt;/EndNote&gt;</w:instrText>
      </w:r>
      <w:r>
        <w:rPr>
          <w:rFonts w:ascii="Times New Roman" w:hAnsi="Times New Roman" w:cs="Times New Roman"/>
          <w:sz w:val="24"/>
        </w:rPr>
        <w:fldChar w:fldCharType="separate"/>
      </w:r>
      <w:r>
        <w:rPr>
          <w:rFonts w:ascii="Times New Roman" w:hAnsi="Times New Roman" w:cs="Times New Roman"/>
          <w:sz w:val="24"/>
        </w:rPr>
        <w:t>(</w:t>
      </w:r>
      <w:r>
        <w:fldChar w:fldCharType="begin"/>
      </w:r>
      <w:r>
        <w:instrText xml:space="preserve"> HYPERLINK \l "_ENREF_1" \o "Zhou, 2002 #83" </w:instrText>
      </w:r>
      <w:r>
        <w:fldChar w:fldCharType="separate"/>
      </w:r>
      <w:r>
        <w:rPr>
          <w:rFonts w:ascii="Times New Roman" w:hAnsi="Times New Roman" w:cs="Times New Roman"/>
          <w:color w:val="4472C4" w:themeColor="accent1"/>
          <w:sz w:val="24"/>
          <w14:textFill>
            <w14:solidFill>
              <w14:schemeClr w14:val="accent1"/>
            </w14:solidFill>
          </w14:textFill>
        </w:rPr>
        <w:t>Zhou 2002</w:t>
      </w:r>
      <w:r>
        <w:rPr>
          <w:rFonts w:ascii="Times New Roman" w:hAnsi="Times New Roman" w:cs="Times New Roman"/>
          <w:color w:val="4472C4" w:themeColor="accent1"/>
          <w:sz w:val="24"/>
          <w14:textFill>
            <w14:solidFill>
              <w14:schemeClr w14:val="accent1"/>
            </w14:solidFill>
          </w14:textFill>
        </w:rPr>
        <w:fldChar w:fldCharType="end"/>
      </w:r>
      <w:r>
        <w:rPr>
          <w:rFonts w:ascii="Times New Roman" w:hAnsi="Times New Roman" w:cs="Times New Roman"/>
          <w:color w:val="4472C4" w:themeColor="accent1"/>
          <w:sz w:val="24"/>
          <w14:textFill>
            <w14:solidFill>
              <w14:schemeClr w14:val="accent1"/>
            </w14:solidFill>
          </w14:textFill>
        </w:rPr>
        <w:t>)</w:t>
      </w:r>
      <w:r>
        <w:rPr>
          <w:rFonts w:ascii="Times New Roman" w:hAnsi="Times New Roman" w:cs="Times New Roman"/>
          <w:sz w:val="24"/>
        </w:rPr>
        <w:fldChar w:fldCharType="end"/>
      </w:r>
      <w:r>
        <w:rPr>
          <w:rFonts w:ascii="Times New Roman" w:hAnsi="Times New Roman" w:cs="Times New Roman"/>
          <w:sz w:val="24"/>
        </w:rPr>
        <w:t>, normal body weight, overweight, and obesity are defined as 18.5&lt;BMI&lt;23.9, 24≤BMI&lt;27.9, and BMI≥28, respectively. Triglyceride (TG) ≥200mg/dL, total cholesterol (TC) ≥240mg/dL, high-density lipoprotein cholesterol (HDL-C) &lt;40mg/dL, any of the three will be considered dyslipidemia</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&lt;EndNote&gt;&lt;Cite&gt;&lt;Author&gt;Zhu&lt;/Author&gt;&lt;Year&gt;2018&lt;/Year&gt;&lt;RecNum&gt;72&lt;/RecNum&gt;&lt;DisplayText&gt;(Zhu et al. 2018)&lt;/DisplayText&gt;&lt;record&gt;&lt;rec-number&gt;72&lt;/rec-number&gt;&lt;foreign-keys&gt;&lt;key app="EN" db-id="ssztx5st8setfmepve95eedwtea0v9wxfzzp" timestamp="1716002604"&gt;72&lt;/key&gt;&lt;/foreign-keys&gt;&lt;ref-type name="Journal Article"&gt;17&lt;/ref-type&gt;&lt;contributors&gt;&lt;authors&gt;&lt;author&gt;Zhu, Jun Ren&lt;/author&gt;&lt;author&gt;Gao, Run Lin&lt;/author&gt;&lt;author&gt;Zhao, Shui Ping&lt;/author&gt;&lt;author&gt;Guoping, L. U.&lt;/author&gt;&lt;author&gt;Zhao, Dong&lt;/author&gt;&lt;author&gt;Jianjun, L. I.&lt;/author&gt;&lt;author&gt;Zhu, Jun Ren&lt;/author&gt;&lt;author&gt;Gao, Run Lin&lt;/author&gt;&lt;author&gt;Zhao, Shui Ping&lt;/author&gt;&lt;author&gt;Guoping, L. U.&lt;/author&gt;&lt;/authors&gt;&lt;/contributors&gt;&lt;titles&gt;&lt;title&gt;2016 Chinese guidelines for the management of dyslipidemia in adults&lt;/title&gt;&lt;secondary-title&gt;Journal of Geriatric Cardiology Jgc&lt;/secondary-title&gt;&lt;/titles&gt;&lt;periodical&gt;&lt;full-title&gt;Journal of Geriatric Cardiology Jgc&lt;/full-title&gt;&lt;/periodical&gt;&lt;pages&gt;1-29&lt;/pages&gt;&lt;volume&gt;15&lt;/volume&gt;&lt;number&gt;1&lt;/number&gt;&lt;dates&gt;&lt;year&gt;2018&lt;/year&gt;&lt;/dates&gt;&lt;urls&gt;&lt;/urls&gt;&lt;/record&gt;&lt;/Cite&gt;&lt;/EndNote&gt;</w:instrText>
      </w:r>
      <w:r>
        <w:rPr>
          <w:rFonts w:ascii="Times New Roman" w:hAnsi="Times New Roman" w:cs="Times New Roman"/>
          <w:sz w:val="24"/>
        </w:rPr>
        <w:fldChar w:fldCharType="separate"/>
      </w:r>
      <w:r>
        <w:rPr>
          <w:rFonts w:ascii="Times New Roman" w:hAnsi="Times New Roman" w:cs="Times New Roman"/>
          <w:sz w:val="24"/>
        </w:rPr>
        <w:t>(</w:t>
      </w:r>
      <w:r>
        <w:fldChar w:fldCharType="begin"/>
      </w:r>
      <w:r>
        <w:instrText xml:space="preserve"> HYPERLINK \l "_ENREF_2" \o "Zhu, 2018 #72" </w:instrText>
      </w:r>
      <w:r>
        <w:fldChar w:fldCharType="separate"/>
      </w:r>
      <w:r>
        <w:rPr>
          <w:rFonts w:ascii="Times New Roman" w:hAnsi="Times New Roman" w:cs="Times New Roman"/>
          <w:color w:val="227ACB"/>
          <w:sz w:val="24"/>
        </w:rPr>
        <w:t>Zhu et al. 2018</w:t>
      </w:r>
      <w:r>
        <w:rPr>
          <w:rFonts w:ascii="Times New Roman" w:hAnsi="Times New Roman" w:cs="Times New Roman"/>
          <w:color w:val="227ACB"/>
          <w:sz w:val="24"/>
        </w:rPr>
        <w:fldChar w:fldCharType="end"/>
      </w:r>
      <w:r>
        <w:rPr>
          <w:rFonts w:ascii="Times New Roman" w:hAnsi="Times New Roman" w:cs="Times New Roman"/>
          <w:sz w:val="24"/>
        </w:rPr>
        <w:t>)</w:t>
      </w:r>
      <w:r>
        <w:rPr>
          <w:rFonts w:ascii="Times New Roman" w:hAnsi="Times New Roman" w:cs="Times New Roman"/>
          <w:sz w:val="24"/>
        </w:rPr>
        <w:fldChar w:fldCharType="end"/>
      </w:r>
      <w:r>
        <w:rPr>
          <w:rFonts w:ascii="Times New Roman" w:hAnsi="Times New Roman" w:cs="Times New Roman"/>
          <w:sz w:val="24"/>
        </w:rPr>
        <w:t>.</w:t>
      </w:r>
      <w:r>
        <w:rPr>
          <w:rFonts w:ascii="Times New Roman" w:hAnsi="Times New Roman" w:eastAsia="Arial" w:cs="Times New Roman"/>
          <w:sz w:val="24"/>
        </w:rPr>
        <w:t xml:space="preserve"> Hypertension is diagnosed if blood pressure</w:t>
      </w:r>
      <w:r>
        <w:rPr>
          <w:rFonts w:ascii="Times New Roman" w:hAnsi="Times New Roman" w:cs="Times New Roman"/>
          <w:sz w:val="24"/>
        </w:rPr>
        <w:t>(BP)</w:t>
      </w:r>
      <w:r>
        <w:rPr>
          <w:rFonts w:ascii="Times New Roman" w:hAnsi="Times New Roman" w:eastAsia="Arial" w:cs="Times New Roman"/>
          <w:sz w:val="24"/>
        </w:rPr>
        <w:t xml:space="preserve"> </w:t>
      </w:r>
      <w:r>
        <w:rPr>
          <w:rFonts w:ascii="Times New Roman" w:hAnsi="Times New Roman" w:cs="Times New Roman"/>
          <w:sz w:val="24"/>
        </w:rPr>
        <w:t xml:space="preserve">≥140/90mmHg </w:t>
      </w:r>
      <w:r>
        <w:rPr>
          <w:rFonts w:ascii="Times New Roman" w:hAnsi="Times New Roman" w:eastAsia="Arial" w:cs="Times New Roman"/>
          <w:sz w:val="24"/>
        </w:rPr>
        <w:t xml:space="preserve">or if </w:t>
      </w:r>
      <w:r>
        <w:rPr>
          <w:rFonts w:ascii="Times New Roman" w:hAnsi="Times New Roman" w:cs="Times New Roman"/>
          <w:sz w:val="24"/>
        </w:rPr>
        <w:t>subjects</w:t>
      </w:r>
      <w:r>
        <w:rPr>
          <w:rFonts w:ascii="Times New Roman" w:hAnsi="Times New Roman" w:eastAsia="Arial" w:cs="Times New Roman"/>
          <w:sz w:val="24"/>
        </w:rPr>
        <w:t xml:space="preserve"> have taken blood pressure medication in the last two weeks</w:t>
      </w:r>
      <w:r>
        <w:rPr>
          <w:rFonts w:ascii="Times New Roman" w:hAnsi="Times New Roman" w:eastAsia="Arial" w:cs="Times New Roman"/>
          <w:sz w:val="24"/>
        </w:rPr>
        <w:fldChar w:fldCharType="begin"/>
      </w:r>
      <w:r>
        <w:rPr>
          <w:rFonts w:ascii="Times New Roman" w:hAnsi="Times New Roman" w:eastAsia="Arial" w:cs="Times New Roman"/>
          <w:sz w:val="24"/>
        </w:rPr>
        <w:instrText xml:space="preserve"> ADDIN EN.CITE &lt;EndNote&gt;&lt;Cite&gt;&lt;Author&gt;Orimoloye&lt;/Author&gt;&lt;Year&gt;2019&lt;/Year&gt;&lt;RecNum&gt;73&lt;/RecNum&gt;&lt;DisplayText&gt;(Orimoloye et al. 2019)&lt;/DisplayText&gt;&lt;record&gt;&lt;rec-number&gt;73&lt;/rec-number&gt;&lt;foreign-keys&gt;&lt;key app="EN" db-id="ssztx5st8setfmepve95eedwtea0v9wxfzzp" timestamp="1716002604"&gt;73&lt;/key&gt;&lt;/foreign-keys&gt;&lt;ref-type name="Journal Article"&gt;17&lt;/ref-type&gt;&lt;contributors&gt;&lt;authors&gt;&lt;author&gt;Orimoloye, Olusola A.&lt;/author&gt;&lt;author&gt;Mirbolouk, Mohammadhassan&lt;/author&gt;&lt;author&gt;Uddin, S. M. Iftekhar&lt;/author&gt;&lt;author&gt;Dardari, Zeina A.&lt;/author&gt;&lt;author&gt;Blaha, Michael J.&lt;/author&gt;&lt;/authors&gt;&lt;/contributors&gt;&lt;titles&gt;&lt;title&gt;Association Between Self-rated Health, Coronary Artery Calcium Scores, and Atherosclerotic Cardiovascular Disease Risk: The Multi-Ethnic Study of Atherosclerosis (MESA)&lt;/title&gt;&lt;secondary-title&gt;JAMA Network Open&lt;/secondary-title&gt;&lt;/titles&gt;&lt;periodical&gt;&lt;full-title&gt;JAMA Network Open&lt;/full-title&gt;&lt;/periodical&gt;&lt;pages&gt;e188023&lt;/pages&gt;&lt;volume&gt;2&lt;/volume&gt;&lt;number&gt;2&lt;/number&gt;&lt;dates&gt;&lt;year&gt;2019&lt;/year&gt;&lt;/dates&gt;&lt;urls&gt;&lt;/urls&gt;&lt;/record&gt;&lt;/Cite&gt;&lt;/EndNote&gt;</w:instrText>
      </w:r>
      <w:r>
        <w:rPr>
          <w:rFonts w:ascii="Times New Roman" w:hAnsi="Times New Roman" w:eastAsia="Arial" w:cs="Times New Roman"/>
          <w:sz w:val="24"/>
        </w:rPr>
        <w:fldChar w:fldCharType="separate"/>
      </w:r>
      <w:r>
        <w:rPr>
          <w:rFonts w:ascii="Times New Roman" w:hAnsi="Times New Roman" w:eastAsia="Arial" w:cs="Times New Roman"/>
          <w:sz w:val="24"/>
        </w:rPr>
        <w:t>(</w:t>
      </w:r>
      <w:r>
        <w:fldChar w:fldCharType="begin"/>
      </w:r>
      <w:r>
        <w:instrText xml:space="preserve"> HYPERLINK \l "_ENREF_3" \o "Orimoloye, 2019 #73" </w:instrText>
      </w:r>
      <w:r>
        <w:fldChar w:fldCharType="separate"/>
      </w:r>
      <w:r>
        <w:rPr>
          <w:rFonts w:ascii="Times New Roman" w:hAnsi="Times New Roman" w:eastAsia="Arial" w:cs="Times New Roman"/>
          <w:color w:val="227ACB"/>
          <w:sz w:val="24"/>
        </w:rPr>
        <w:t>Orimoloye et al. 2019</w:t>
      </w:r>
      <w:r>
        <w:rPr>
          <w:rFonts w:ascii="Times New Roman" w:hAnsi="Times New Roman" w:eastAsia="Arial" w:cs="Times New Roman"/>
          <w:color w:val="227ACB"/>
          <w:sz w:val="24"/>
        </w:rPr>
        <w:fldChar w:fldCharType="end"/>
      </w:r>
      <w:r>
        <w:rPr>
          <w:rFonts w:ascii="Times New Roman" w:hAnsi="Times New Roman" w:eastAsia="Arial" w:cs="Times New Roman"/>
          <w:sz w:val="24"/>
        </w:rPr>
        <w:t>)</w:t>
      </w:r>
      <w:r>
        <w:rPr>
          <w:rFonts w:ascii="Times New Roman" w:hAnsi="Times New Roman" w:eastAsia="Arial" w:cs="Times New Roman"/>
          <w:sz w:val="24"/>
        </w:rPr>
        <w:fldChar w:fldCharType="end"/>
      </w:r>
      <w:r>
        <w:rPr>
          <w:rFonts w:ascii="Times New Roman" w:hAnsi="Times New Roman" w:cs="Times New Roman"/>
          <w:sz w:val="24"/>
        </w:rPr>
        <w:t>. F</w:t>
      </w:r>
      <w:r>
        <w:rPr>
          <w:rFonts w:ascii="Times New Roman" w:hAnsi="Times New Roman" w:eastAsia="Arial" w:cs="Times New Roman"/>
          <w:sz w:val="24"/>
        </w:rPr>
        <w:t xml:space="preserve">asting plasma glucose (FPG) ≥ </w:t>
      </w:r>
      <w:r>
        <w:rPr>
          <w:rFonts w:ascii="Times New Roman" w:hAnsi="Times New Roman" w:cs="Times New Roman"/>
          <w:sz w:val="24"/>
        </w:rPr>
        <w:t>126mg/dL is considered hyperglycemia</w:t>
      </w:r>
      <w:r>
        <w:rPr>
          <w:rFonts w:ascii="Times New Roman" w:hAnsi="Times New Roman" w:cs="Times New Roman"/>
          <w:sz w:val="24"/>
        </w:rPr>
        <w:fldChar w:fldCharType="begin">
          <w:fldData xml:space="preserve">PEVuZE5vdGU+PENpdGU+PEF1dGhvcj5XYW5nPC9BdXRob3I+PFllYXI+MjAxOTwvWWVhcj48UmVj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</w:fldData>
        </w:fldChar>
      </w:r>
      <w:r>
        <w:rPr>
          <w:rFonts w:ascii="Times New Roman" w:hAnsi="Times New Roman" w:cs="Times New Roman"/>
          <w:sz w:val="24"/>
        </w:rPr>
        <w:instrText xml:space="preserve"> ADDIN EN.CITE </w:instrText>
      </w:r>
      <w:r>
        <w:rPr>
          <w:rFonts w:ascii="Times New Roman" w:hAnsi="Times New Roman" w:cs="Times New Roman"/>
          <w:sz w:val="24"/>
        </w:rPr>
        <w:fldChar w:fldCharType="begin">
          <w:fldData xml:space="preserve">PEVuZE5vdGU+PENpdGU+PEF1dGhvcj5XYW5nPC9BdXRob3I+PFllYXI+MjAxOTwvWWVhcj48UmVj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</w:fldData>
        </w:fldChar>
      </w:r>
      <w:r>
        <w:rPr>
          <w:rFonts w:ascii="Times New Roman" w:hAnsi="Times New Roman" w:cs="Times New Roman"/>
          <w:sz w:val="24"/>
        </w:rPr>
        <w:instrText xml:space="preserve"> ADDIN EN.CITE.DATA </w:instrText>
      </w:r>
      <w:r>
        <w:rPr>
          <w:rFonts w:ascii="Times New Roman" w:hAnsi="Times New Roman" w:cs="Times New Roman"/>
          <w:sz w:val="24"/>
        </w:rPr>
        <w:fldChar w:fldCharType="end"/>
      </w:r>
      <w:r>
        <w:rPr>
          <w:rFonts w:ascii="Times New Roman" w:hAnsi="Times New Roman" w:cs="Times New Roman"/>
          <w:sz w:val="24"/>
        </w:rPr>
        <w:fldChar w:fldCharType="separate"/>
      </w:r>
      <w:r>
        <w:rPr>
          <w:rFonts w:ascii="Times New Roman" w:hAnsi="Times New Roman" w:cs="Times New Roman"/>
          <w:sz w:val="24"/>
        </w:rPr>
        <w:t>(</w:t>
      </w:r>
      <w:r>
        <w:fldChar w:fldCharType="begin"/>
      </w:r>
      <w:r>
        <w:instrText xml:space="preserve"> HYPERLINK \l "_ENREF_4" \o "Wang, 2019 #82" </w:instrText>
      </w:r>
      <w:r>
        <w:fldChar w:fldCharType="separate"/>
      </w:r>
      <w:r>
        <w:rPr>
          <w:rFonts w:ascii="Times New Roman" w:hAnsi="Times New Roman" w:cs="Times New Roman"/>
          <w:color w:val="4472C4" w:themeColor="accent1"/>
          <w:sz w:val="24"/>
          <w14:textFill>
            <w14:solidFill>
              <w14:schemeClr w14:val="accent1"/>
            </w14:solidFill>
          </w14:textFill>
        </w:rPr>
        <w:t>Wang et al. 2019</w:t>
      </w:r>
      <w:r>
        <w:rPr>
          <w:rFonts w:ascii="Times New Roman" w:hAnsi="Times New Roman" w:cs="Times New Roman"/>
          <w:color w:val="4472C4" w:themeColor="accent1"/>
          <w:sz w:val="24"/>
          <w14:textFill>
            <w14:solidFill>
              <w14:schemeClr w14:val="accent1"/>
            </w14:solidFill>
          </w14:textFill>
        </w:rPr>
        <w:fldChar w:fldCharType="end"/>
      </w:r>
      <w:r>
        <w:rPr>
          <w:rFonts w:ascii="Times New Roman" w:hAnsi="Times New Roman" w:cs="Times New Roman"/>
          <w:sz w:val="24"/>
        </w:rPr>
        <w:t>)</w:t>
      </w:r>
      <w:r>
        <w:rPr>
          <w:rFonts w:ascii="Times New Roman" w:hAnsi="Times New Roman" w:cs="Times New Roman"/>
          <w:sz w:val="24"/>
        </w:rPr>
        <w:fldChar w:fldCharType="end"/>
      </w:r>
      <w:r>
        <w:rPr>
          <w:rFonts w:ascii="Times New Roman" w:hAnsi="Times New Roman" w:cs="Times New Roman"/>
          <w:sz w:val="24"/>
        </w:rPr>
        <w:t>.</w:t>
      </w:r>
      <w:r>
        <w:rPr>
          <w:rFonts w:ascii="Times New Roman" w:hAnsi="Times New Roman" w:eastAsia="Arial" w:cs="Times New Roman"/>
          <w:sz w:val="24"/>
        </w:rPr>
        <w:t xml:space="preserve"> </w:t>
      </w:r>
    </w:p>
    <w:p>
      <w:pPr>
        <w:ind w:firstLine="480" w:firstLineChars="200"/>
        <w:jc w:val="left"/>
        <w:rPr>
          <w:rFonts w:ascii="Times New Roman" w:hAnsi="Times New Roman" w:cs="Times New Roman"/>
          <w:sz w:val="24"/>
        </w:rPr>
      </w:pPr>
      <w:r>
        <w:rPr>
          <w:rFonts w:ascii="Times New Roman" w:hAnsi="Times New Roman" w:eastAsia="Arial" w:cs="Times New Roman"/>
          <w:sz w:val="24"/>
        </w:rPr>
        <w:t>According to the World Health Organization, smokers are defined as those who have smoked continuously or cumulatively for six months or more in their lifetime</w:t>
      </w:r>
      <w:r>
        <w:rPr>
          <w:rFonts w:ascii="Times New Roman" w:hAnsi="Times New Roman" w:eastAsia="Arial" w:cs="Times New Roman"/>
          <w:sz w:val="24"/>
        </w:rPr>
        <w:fldChar w:fldCharType="begin"/>
      </w:r>
      <w:r>
        <w:rPr>
          <w:rFonts w:ascii="Times New Roman" w:hAnsi="Times New Roman" w:eastAsia="Arial" w:cs="Times New Roman"/>
          <w:sz w:val="24"/>
        </w:rPr>
        <w:instrText xml:space="preserve"> ADDIN EN.CITE &lt;EndNote&gt;&lt;Cite&gt;&lt;Author&gt;World Health&lt;/Author&gt;&lt;Year&gt;1998&lt;/Year&gt;&lt;RecNum&gt;77&lt;/RecNum&gt;&lt;DisplayText&gt;(World Health 1998)&lt;/DisplayText&gt;&lt;record&gt;&lt;rec-number&gt;77&lt;/rec-number&gt;&lt;foreign-keys&gt;&lt;key app="EN" db-id="ssztx5st8setfmepve95eedwtea0v9wxfzzp" timestamp="1716004173"&gt;77&lt;/key&gt;&lt;/foreign-keys&gt;&lt;ref-type name="Generic"&gt;13&lt;/ref-type&gt;&lt;contributors&gt;&lt;authors&gt;&lt;author&gt;World Health, Organization&lt;/author&gt;&lt;/authors&gt;&lt;/contributors&gt;&lt;titles&gt;&lt;title&gt;Guidelines for controlling and monitoring the tobacco epidemic&lt;/title&gt;&lt;/titles&gt;&lt;section&gt;190 p.&lt;/section&gt;&lt;keywords&gt;&lt;keyword&gt;Smoking&lt;/keyword&gt;&lt;keyword&gt;Tobacco Industry&lt;/keyword&gt;&lt;keyword&gt;Data Collection&lt;/keyword&gt;&lt;keyword&gt;Guideline&lt;/keyword&gt;&lt;keyword&gt;prevention and control&lt;/keyword&gt;&lt;keyword&gt;legislation&lt;/keyword&gt;&lt;keyword&gt;methods&lt;/keyword&gt;&lt;/keywords&gt;&lt;dates&gt;&lt;year&gt;1998&lt;/year&gt;&lt;pub-dates&gt;&lt;date&gt;1998&lt;/date&gt;&lt;/pub-dates&gt;&lt;/dates&gt;&lt;pub-location&gt;Geneva&lt;/pub-location&gt;&lt;publisher&gt;World Health Organization&lt;/publisher&gt;&lt;isbn&gt;9241545089&amp;#xD;522503313x (Russian)&lt;/isbn&gt;&lt;urls&gt;&lt;related-urls&gt;&lt;url&gt;https://iris.who.int/handle/10665/42049&lt;/url&gt;&lt;/related-urls&gt;&lt;/urls&gt;&lt;remote-database-name&gt;WHO IRIS&lt;/remote-database-name&gt;&lt;remote-database-provider&gt;http://iris.who.int/&lt;/remote-database-provider&gt;&lt;language&gt;en&amp;#xD;zh&amp;#xD;ru&lt;/language&gt;&lt;/record&gt;&lt;/Cite&gt;&lt;/EndNote&gt;</w:instrText>
      </w:r>
      <w:r>
        <w:rPr>
          <w:rFonts w:ascii="Times New Roman" w:hAnsi="Times New Roman" w:eastAsia="Arial" w:cs="Times New Roman"/>
          <w:sz w:val="24"/>
        </w:rPr>
        <w:fldChar w:fldCharType="separate"/>
      </w:r>
      <w:r>
        <w:rPr>
          <w:rFonts w:ascii="Times New Roman" w:hAnsi="Times New Roman" w:eastAsia="Arial" w:cs="Times New Roman"/>
          <w:sz w:val="24"/>
        </w:rPr>
        <w:t>(</w:t>
      </w:r>
      <w:r>
        <w:fldChar w:fldCharType="begin"/>
      </w:r>
      <w:r>
        <w:instrText xml:space="preserve"> HYPERLINK \l "_ENREF_5" \o "World Health, 1998 #77" </w:instrText>
      </w:r>
      <w:r>
        <w:fldChar w:fldCharType="separate"/>
      </w:r>
      <w:r>
        <w:rPr>
          <w:rFonts w:ascii="Times New Roman" w:hAnsi="Times New Roman" w:eastAsia="Arial" w:cs="Times New Roman"/>
          <w:color w:val="227ACB"/>
          <w:sz w:val="24"/>
        </w:rPr>
        <w:t>World Health 1998</w:t>
      </w:r>
      <w:r>
        <w:rPr>
          <w:rFonts w:ascii="Times New Roman" w:hAnsi="Times New Roman" w:eastAsia="Arial" w:cs="Times New Roman"/>
          <w:color w:val="227ACB"/>
          <w:sz w:val="24"/>
        </w:rPr>
        <w:fldChar w:fldCharType="end"/>
      </w:r>
      <w:r>
        <w:rPr>
          <w:rFonts w:ascii="Times New Roman" w:hAnsi="Times New Roman" w:eastAsia="Arial" w:cs="Times New Roman"/>
          <w:sz w:val="24"/>
        </w:rPr>
        <w:t>)</w:t>
      </w:r>
      <w:r>
        <w:rPr>
          <w:rFonts w:ascii="Times New Roman" w:hAnsi="Times New Roman" w:eastAsia="Arial" w:cs="Times New Roman"/>
          <w:sz w:val="24"/>
        </w:rPr>
        <w:fldChar w:fldCharType="end"/>
      </w:r>
      <w:r>
        <w:rPr>
          <w:rFonts w:ascii="Times New Roman" w:hAnsi="Times New Roman" w:eastAsia="Arial" w:cs="Times New Roman"/>
          <w:sz w:val="24"/>
        </w:rPr>
        <w:t>. According to the World Health Organization, the following is the definition of physical activity: people aged 5-17 years old average at least 60 minutes per day per week of moderate to vigorous intensity physical activity, mainly aerobic exercise, at least 3 days per week of vigorous intensity aerobic exercise; People aged 65 years and older do 150-300 minutes of moderate-intensity aerobic activity or 75-150 minutes of vigorous-intensity aerobic activity per day, or an equivalent combination of these moderate-intensity and vigorous-intensity activities over the course of a week, and do muscle-strengthening activities at least 2 days per week</w:t>
      </w:r>
      <w:r>
        <w:rPr>
          <w:rFonts w:ascii="Times New Roman" w:hAnsi="Times New Roman" w:eastAsia="Arial" w:cs="Times New Roman"/>
          <w:sz w:val="24"/>
        </w:rPr>
        <w:fldChar w:fldCharType="begin"/>
      </w:r>
      <w:r>
        <w:rPr>
          <w:rFonts w:ascii="Times New Roman" w:hAnsi="Times New Roman" w:eastAsia="Arial" w:cs="Times New Roman"/>
          <w:sz w:val="24"/>
        </w:rPr>
        <w:instrText xml:space="preserve"> ADDIN EN.CITE &lt;EndNote&gt;&lt;Cite&gt;&lt;Author&gt;World Health&lt;/Author&gt;&lt;Year&gt;2020&lt;/Year&gt;&lt;RecNum&gt;78&lt;/RecNum&gt;&lt;DisplayText&gt;(World Health 2020)&lt;/DisplayText&gt;&lt;record&gt;&lt;rec-number&gt;78&lt;/rec-number&gt;&lt;foreign-keys&gt;&lt;key app="EN" db-id="ssztx5st8setfmepve95eedwtea0v9wxfzzp" timestamp="1716004185"&gt;78&lt;/key&gt;&lt;/foreign-keys&gt;&lt;ref-type name="Book"&gt;6&lt;/ref-type&gt;&lt;contributors&gt;&lt;authors&gt;&lt;author&gt;World Health, Organization&lt;/author&gt;&lt;/authors&gt;&lt;/contributors&gt;&lt;titles&gt;&lt;title&gt;WHO guidelines on physical activity and sedentary behaviour&lt;/title&gt;&lt;/titles&gt;&lt;section&gt;viii, 93 p.&amp;#xD;The Basque version is published by the Basque Government’s Physical Activity and Sports Office.&amp;#xD;The Thai version is published by is the Ministry of Health in Thailand.&amp;#xD;The Japanese version is published by the National Institute of Health and Nutrition (NIHN).&lt;/section&gt;&lt;keywords&gt;&lt;keyword&gt;WHO guideline&lt;/keyword&gt;&lt;keyword&gt;Sedentary Behavior&lt;/keyword&gt;&lt;keyword&gt;Physical Fitness&lt;/keyword&gt;&lt;keyword&gt;Exercise&lt;/keyword&gt;&lt;keyword&gt;Guideline&lt;/keyword&gt;&lt;/keywords&gt;&lt;dates&gt;&lt;year&gt;2020&lt;/year&gt;&lt;pub-dates&gt;&lt;date&gt;2020&lt;/date&gt;&lt;/pub-dates&gt;&lt;/dates&gt;&lt;pub-location&gt;Geneva&lt;/pub-location&gt;&lt;publisher&gt;World Health Organization&lt;/publisher&gt;&lt;isbn&gt;9789240015128 (electronic version)&amp;#xD;9789240015135 (print edition)&amp;#xD;9786161146009 (Thai)&amp;#xD;9789240032156</w:instrText>
      </w:r>
      <w:r>
        <w:rPr>
          <w:rFonts w:ascii="Times New Roman" w:hAnsi="Times New Roman" w:eastAsia="宋体" w:cs="Times New Roman"/>
          <w:sz w:val="24"/>
        </w:rPr>
        <w:instrText xml:space="preserve">（网络版）</w:instrText>
      </w:r>
      <w:r>
        <w:rPr>
          <w:rFonts w:ascii="Times New Roman" w:hAnsi="Times New Roman" w:eastAsia="Arial" w:cs="Times New Roman"/>
          <w:sz w:val="24"/>
        </w:rPr>
        <w:instrText xml:space="preserve">&amp;#xD;9789240032163</w:instrText>
      </w:r>
      <w:r>
        <w:rPr>
          <w:rFonts w:ascii="Times New Roman" w:hAnsi="Times New Roman" w:eastAsia="宋体" w:cs="Times New Roman"/>
          <w:sz w:val="24"/>
        </w:rPr>
        <w:instrText xml:space="preserve">（印刷版）</w:instrText>
      </w:r>
      <w:r>
        <w:rPr>
          <w:rFonts w:ascii="Times New Roman" w:hAnsi="Times New Roman" w:eastAsia="Arial" w:cs="Times New Roman"/>
          <w:sz w:val="24"/>
        </w:rPr>
        <w:instrText xml:space="preserve">&amp;#xD;9789240032170 (Онлайн-версия)&amp;#xD;9789240032187 (Версия для печати)&lt;/isbn&gt;&lt;urls&gt;&lt;related-urls&gt;&lt;url&gt;https://iris.who.int/handle/10665/336656&lt;/url&gt;&lt;/related-urls&gt;&lt;/urls&gt;&lt;custom6&gt;CC BY-NC-SA 3.0 IGO&lt;/custom6&gt;&lt;custom7&gt;https://creativecommons.org/licenses/by-nc-sa/3.0/igo&lt;/custom7&gt;&lt;remote-database-name&gt;WHO IRIS&lt;/remote-database-name&gt;&lt;remote-database-provider&gt;http://iris.who.int/&lt;/remote-database-provider&gt;&lt;language&gt;en&amp;#xD;eu&amp;#xD;th&amp;#xD;zh&amp;#xD;ru&amp;#xD;ja&lt;/language&gt;&lt;modified-date&gt;World Health Organization&lt;/modified-date&gt;&lt;/record&gt;&lt;/Cite&gt;&lt;/EndNote&gt;</w:instrText>
      </w:r>
      <w:r>
        <w:rPr>
          <w:rFonts w:ascii="Times New Roman" w:hAnsi="Times New Roman" w:eastAsia="Arial" w:cs="Times New Roman"/>
          <w:sz w:val="24"/>
        </w:rPr>
        <w:fldChar w:fldCharType="separate"/>
      </w:r>
      <w:r>
        <w:rPr>
          <w:rFonts w:ascii="Times New Roman" w:hAnsi="Times New Roman" w:eastAsia="Arial" w:cs="Times New Roman"/>
          <w:sz w:val="24"/>
        </w:rPr>
        <w:t>(</w:t>
      </w:r>
      <w:r>
        <w:fldChar w:fldCharType="begin"/>
      </w:r>
      <w:r>
        <w:instrText xml:space="preserve"> HYPERLINK \l "_ENREF_6" \o "World Health, 2020 #78" </w:instrText>
      </w:r>
      <w:r>
        <w:fldChar w:fldCharType="separate"/>
      </w:r>
      <w:r>
        <w:rPr>
          <w:rFonts w:ascii="Times New Roman" w:hAnsi="Times New Roman" w:eastAsia="Arial" w:cs="Times New Roman"/>
          <w:color w:val="227ACB"/>
          <w:sz w:val="24"/>
        </w:rPr>
        <w:t>World Health 2020</w:t>
      </w:r>
      <w:r>
        <w:rPr>
          <w:rFonts w:ascii="Times New Roman" w:hAnsi="Times New Roman" w:eastAsia="Arial" w:cs="Times New Roman"/>
          <w:color w:val="227ACB"/>
          <w:sz w:val="24"/>
        </w:rPr>
        <w:fldChar w:fldCharType="end"/>
      </w:r>
      <w:r>
        <w:rPr>
          <w:rFonts w:ascii="Times New Roman" w:hAnsi="Times New Roman" w:eastAsia="Arial" w:cs="Times New Roman"/>
          <w:sz w:val="24"/>
        </w:rPr>
        <w:t>)</w:t>
      </w:r>
      <w:r>
        <w:rPr>
          <w:rFonts w:ascii="Times New Roman" w:hAnsi="Times New Roman" w:eastAsia="Arial" w:cs="Times New Roman"/>
          <w:sz w:val="24"/>
        </w:rPr>
        <w:fldChar w:fldCharType="end"/>
      </w:r>
      <w:r>
        <w:rPr>
          <w:rFonts w:ascii="Times New Roman" w:hAnsi="Times New Roman" w:eastAsia="Arial" w:cs="Times New Roman"/>
          <w:sz w:val="24"/>
        </w:rPr>
        <w:t>. Drinking is defined as a history of alcohol consumption in the last six months, and the amount of alcohol consumed is consistent with no more than 140g per week for men and no more than 70g per week for women</w:t>
      </w:r>
      <w:r>
        <w:rPr>
          <w:rFonts w:ascii="Times New Roman" w:hAnsi="Times New Roman" w:eastAsia="Arial" w:cs="Times New Roman"/>
          <w:sz w:val="24"/>
        </w:rPr>
        <w:fldChar w:fldCharType="begin"/>
      </w:r>
      <w:r>
        <w:rPr>
          <w:rFonts w:ascii="Times New Roman" w:hAnsi="Times New Roman" w:eastAsia="Arial" w:cs="Times New Roman"/>
          <w:sz w:val="24"/>
        </w:rPr>
        <w:instrText xml:space="preserve"> ADDIN EN.CITE &lt;EndNote&gt;&lt;Cite&gt;&lt;Author&gt;World Health&lt;/Author&gt;&lt;Year&gt;1994&lt;/Year&gt;&lt;RecNum&gt;79&lt;/RecNum&gt;&lt;DisplayText&gt;(World Health 1994)&lt;/DisplayText&gt;&lt;record&gt;&lt;rec-number&gt;79&lt;/rec-number&gt;&lt;foreign-keys&gt;&lt;key app="EN" db-id="ssztx5st8setfmepve95eedwtea0v9wxfzzp" timestamp="1716004195"&gt;79&lt;/key&gt;&lt;/foreign-keys&gt;&lt;ref-type name="Generic"&gt;13&lt;/ref-type&gt;&lt;contributors&gt;&lt;authors&gt;&lt;author&gt;World Health, Organization&lt;/author&gt;&lt;/authors&gt;&lt;/contributors&gt;&lt;titles&gt;&lt;title&gt;Lexicon of alcohol and drug terms&lt;/title&gt;&lt;alt-title&gt;Glosario de términos de alcohol y drogas&lt;/alt-title&gt;&lt;/titles&gt;&lt;section&gt;Companion volume to: Lexicon of psychiatric and mental health terms. 2nd ed., 1994&amp;#xD;65 p.&lt;/section&gt;&lt;keywords&gt;&lt;keyword&gt;Ethanol&lt;/keyword&gt;&lt;keyword&gt;Tobacco&lt;/keyword&gt;&lt;keyword&gt;Substance-Related Disorders&lt;/keyword&gt;&lt;keyword&gt;terminology&lt;/keyword&gt;&lt;/keywords&gt;&lt;dates&gt;&lt;year&gt;1994&lt;/year&gt;&lt;pub-dates&gt;&lt;date&gt;1994&lt;/date&gt;&lt;/pub-dates&gt;&lt;/dates&gt;&lt;pub-location&gt;Geneva&lt;/pub-location&gt;&lt;publisher&gt;World Health Organization&lt;/publisher&gt;&lt;isbn&gt;9241544686&amp;#xD;5225035825 (Russian)&amp;#xD;8385705325 (pol)&amp;#xD;9789604520954 (Greek)&lt;/isbn&gt;&lt;urls&gt;&lt;related-urls&gt;&lt;url&gt;https://iris.who.int/handle/10665/39461&lt;/url&gt;&lt;/related-urls&gt;&lt;/urls&gt;&lt;remote-database-name&gt;WHO IRIS&lt;/remote-database-name&gt;&lt;remote-database-provider&gt;http://iris.who.int/&lt;/remote-database-provider&gt;&lt;language&gt;en&amp;#xD;cs&amp;#xD;de&amp;#xD;el&amp;#xD;pl&amp;#xD;pt&amp;#xD;ru&amp;#xD;es&lt;/language&gt;&lt;/record&gt;&lt;/Cite&gt;&lt;/EndNote&gt;</w:instrText>
      </w:r>
      <w:r>
        <w:rPr>
          <w:rFonts w:ascii="Times New Roman" w:hAnsi="Times New Roman" w:eastAsia="Arial" w:cs="Times New Roman"/>
          <w:sz w:val="24"/>
        </w:rPr>
        <w:fldChar w:fldCharType="separate"/>
      </w:r>
      <w:r>
        <w:rPr>
          <w:rFonts w:ascii="Times New Roman" w:hAnsi="Times New Roman" w:eastAsia="Arial" w:cs="Times New Roman"/>
          <w:sz w:val="24"/>
        </w:rPr>
        <w:t>(</w:t>
      </w:r>
      <w:r>
        <w:fldChar w:fldCharType="begin"/>
      </w:r>
      <w:r>
        <w:instrText xml:space="preserve"> HYPERLINK \l "_ENREF_7" \o "World Health, 1994 #79" </w:instrText>
      </w:r>
      <w:r>
        <w:fldChar w:fldCharType="separate"/>
      </w:r>
      <w:r>
        <w:rPr>
          <w:rFonts w:ascii="Times New Roman" w:hAnsi="Times New Roman" w:eastAsia="Arial" w:cs="Times New Roman"/>
          <w:color w:val="227ACB"/>
          <w:sz w:val="24"/>
        </w:rPr>
        <w:t>World Health 1994</w:t>
      </w:r>
      <w:r>
        <w:rPr>
          <w:rFonts w:ascii="Times New Roman" w:hAnsi="Times New Roman" w:eastAsia="Arial" w:cs="Times New Roman"/>
          <w:color w:val="227ACB"/>
          <w:sz w:val="24"/>
        </w:rPr>
        <w:fldChar w:fldCharType="end"/>
      </w:r>
      <w:r>
        <w:rPr>
          <w:rFonts w:ascii="Times New Roman" w:hAnsi="Times New Roman" w:eastAsia="Arial" w:cs="Times New Roman"/>
          <w:sz w:val="24"/>
        </w:rPr>
        <w:t>)</w:t>
      </w:r>
      <w:r>
        <w:rPr>
          <w:rFonts w:ascii="Times New Roman" w:hAnsi="Times New Roman" w:eastAsia="Arial" w:cs="Times New Roman"/>
          <w:sz w:val="24"/>
        </w:rPr>
        <w:fldChar w:fldCharType="end"/>
      </w:r>
      <w:r>
        <w:rPr>
          <w:rFonts w:ascii="Times New Roman" w:hAnsi="Times New Roman" w:eastAsia="Arial" w:cs="Times New Roman"/>
          <w:sz w:val="24"/>
        </w:rPr>
        <w:t>.</w:t>
      </w:r>
    </w:p>
    <w:p>
      <w:pPr>
        <w:tabs>
          <w:tab w:val="left" w:pos="3576"/>
        </w:tabs>
        <w:jc w:val="left"/>
        <w:rPr>
          <w:rFonts w:hint="eastAsia" w:ascii="Times New Roman" w:hAnsi="Times New Roman" w:cs="Times New Roman" w:eastAsiaTheme="minorEastAsia"/>
          <w:sz w:val="24"/>
          <w:lang w:eastAsia="zh-CN"/>
        </w:rPr>
      </w:pPr>
      <w:r>
        <w:rPr>
          <w:rFonts w:hint="eastAsia" w:ascii="Times New Roman" w:hAnsi="Times New Roman" w:cs="Times New Roman"/>
          <w:sz w:val="24"/>
          <w:lang w:eastAsia="zh-CN"/>
        </w:rPr>
        <w:tab/>
      </w:r>
      <w:bookmarkStart w:id="10" w:name="_GoBack"/>
      <w:bookmarkEnd w:id="10"/>
    </w:p>
    <w:p>
      <w:pPr>
        <w:jc w:val="left"/>
        <w:rPr>
          <w:rFonts w:hint="eastAsia" w:ascii="Times New Roman" w:hAnsi="Times New Roman" w:cs="Times New Roman"/>
          <w:sz w:val="24"/>
        </w:rPr>
      </w:pPr>
    </w:p>
    <w:p>
      <w:pPr>
        <w:jc w:val="left"/>
        <w:rPr>
          <w:rFonts w:hint="eastAsia" w:ascii="Times New Roman" w:hAnsi="Times New Roman" w:cs="Times New Roman"/>
          <w:sz w:val="24"/>
        </w:rPr>
      </w:pPr>
      <w:r>
        <w:rPr>
          <w:rFonts w:hint="eastAsia" w:ascii="Times New Roman" w:hAnsi="Times New Roman" w:cs="Times New Roman"/>
          <w:sz w:val="24"/>
        </w:rPr>
        <w:t>REFERENCE:</w:t>
      </w:r>
    </w:p>
    <w:p>
      <w:pPr>
        <w:pStyle w:val="8"/>
        <w:ind w:left="720" w:hanging="720"/>
        <w:jc w:val="both"/>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ADDIN EN.REFLIST </w:instrText>
      </w:r>
      <w:r>
        <w:rPr>
          <w:rFonts w:ascii="Times New Roman" w:hAnsi="Times New Roman" w:cs="Times New Roman"/>
          <w:sz w:val="24"/>
        </w:rPr>
        <w:fldChar w:fldCharType="separate"/>
      </w:r>
      <w:bookmarkStart w:id="3" w:name="_ENREF_1"/>
      <w:r>
        <w:rPr>
          <w:rFonts w:ascii="Times New Roman" w:hAnsi="Times New Roman" w:cs="Times New Roman"/>
          <w:sz w:val="24"/>
        </w:rPr>
        <w:t>Zhou BF. 2002. Predictive values of body mass index and waist circumference for risk factors of certain related diseases in Chinese adults--study on optimal cut-off points of body mass index and waist circumference in Chinese adults.</w:t>
      </w:r>
      <w:r>
        <w:rPr>
          <w:rFonts w:ascii="Times New Roman" w:hAnsi="Times New Roman" w:cs="Times New Roman"/>
          <w:i/>
          <w:sz w:val="24"/>
        </w:rPr>
        <w:t xml:space="preserve"> Biomed Environ Sci</w:t>
      </w:r>
      <w:r>
        <w:rPr>
          <w:rFonts w:ascii="Times New Roman" w:hAnsi="Times New Roman" w:cs="Times New Roman"/>
          <w:sz w:val="24"/>
        </w:rPr>
        <w:t xml:space="preserve"> 15:83-96. </w:t>
      </w:r>
      <w:bookmarkEnd w:id="3"/>
    </w:p>
    <w:p>
      <w:pPr>
        <w:pStyle w:val="8"/>
        <w:ind w:left="720" w:hanging="720"/>
        <w:rPr>
          <w:rFonts w:ascii="Times New Roman" w:hAnsi="Times New Roman" w:cs="Times New Roman"/>
          <w:sz w:val="24"/>
        </w:rPr>
      </w:pPr>
      <w:bookmarkStart w:id="4" w:name="_ENREF_2"/>
      <w:r>
        <w:rPr>
          <w:rFonts w:ascii="Times New Roman" w:hAnsi="Times New Roman" w:cs="Times New Roman"/>
          <w:sz w:val="24"/>
        </w:rPr>
        <w:t>Zhu JR, Gao RL, Zhao SP, Guoping LU, Zhao D, Jianjun LI, Zhu JR, Gao RL, Zhao SP, and Guoping LU. 2018. 2016 Chinese guidelines for the management of dyslipidemia in adults.</w:t>
      </w:r>
      <w:r>
        <w:rPr>
          <w:rFonts w:ascii="Times New Roman" w:hAnsi="Times New Roman" w:cs="Times New Roman"/>
          <w:i/>
          <w:sz w:val="24"/>
        </w:rPr>
        <w:t xml:space="preserve"> Journal of Geriatric Cardiology Jgc</w:t>
      </w:r>
      <w:r>
        <w:rPr>
          <w:rFonts w:ascii="Times New Roman" w:hAnsi="Times New Roman" w:cs="Times New Roman"/>
          <w:sz w:val="24"/>
        </w:rPr>
        <w:t xml:space="preserve"> 15:1-29. </w:t>
      </w:r>
      <w:bookmarkEnd w:id="4"/>
    </w:p>
    <w:p>
      <w:pPr>
        <w:pStyle w:val="8"/>
        <w:ind w:left="720" w:hanging="720"/>
        <w:rPr>
          <w:rFonts w:ascii="Times New Roman" w:hAnsi="Times New Roman" w:cs="Times New Roman"/>
          <w:sz w:val="24"/>
        </w:rPr>
      </w:pPr>
      <w:bookmarkStart w:id="5" w:name="_ENREF_3"/>
      <w:r>
        <w:rPr>
          <w:rFonts w:ascii="Times New Roman" w:hAnsi="Times New Roman" w:cs="Times New Roman"/>
          <w:sz w:val="24"/>
        </w:rPr>
        <w:t>Orimoloye OA, Mirbolouk M, Uddin SMI, Dardari ZA, and Blaha MJ. 2019. Association Between Self-rated Health, Coronary Artery Calcium Scores, and Atherosclerotic Cardiovascular Disease Risk: The Multi-Ethnic Study of Atherosclerosis (MESA).</w:t>
      </w:r>
      <w:r>
        <w:rPr>
          <w:rFonts w:ascii="Times New Roman" w:hAnsi="Times New Roman" w:cs="Times New Roman"/>
          <w:i/>
          <w:sz w:val="24"/>
        </w:rPr>
        <w:t xml:space="preserve"> JAMA Network Open</w:t>
      </w:r>
      <w:r>
        <w:rPr>
          <w:rFonts w:ascii="Times New Roman" w:hAnsi="Times New Roman" w:cs="Times New Roman"/>
          <w:sz w:val="24"/>
        </w:rPr>
        <w:t xml:space="preserve"> 2:e188023. </w:t>
      </w:r>
      <w:bookmarkEnd w:id="5"/>
    </w:p>
    <w:p>
      <w:pPr>
        <w:pStyle w:val="8"/>
        <w:ind w:left="720" w:hanging="720"/>
        <w:rPr>
          <w:rFonts w:ascii="Times New Roman" w:hAnsi="Times New Roman" w:cs="Times New Roman"/>
          <w:sz w:val="24"/>
        </w:rPr>
      </w:pPr>
      <w:bookmarkStart w:id="6" w:name="_ENREF_4"/>
      <w:r>
        <w:rPr>
          <w:rFonts w:ascii="Times New Roman" w:hAnsi="Times New Roman" w:cs="Times New Roman"/>
          <w:sz w:val="24"/>
        </w:rPr>
        <w:t>Wang L, Niu JY, Zhao ZY, Li M, Xu M, Lu JL, Wang TG, Chen YH, Wang SY, Dai M, Li L, Liu SS, Wang WQ, Xu Y, and Bi YF. 2019. Ideal Cardiovascular Health is Inversely Associated with Subclinical Atherosclerosis: A Prospective Analysis.</w:t>
      </w:r>
      <w:r>
        <w:rPr>
          <w:rFonts w:ascii="Times New Roman" w:hAnsi="Times New Roman" w:cs="Times New Roman"/>
          <w:i/>
          <w:sz w:val="24"/>
        </w:rPr>
        <w:t xml:space="preserve"> Biomed Environ Sci</w:t>
      </w:r>
      <w:r>
        <w:rPr>
          <w:rFonts w:ascii="Times New Roman" w:hAnsi="Times New Roman" w:cs="Times New Roman"/>
          <w:sz w:val="24"/>
        </w:rPr>
        <w:t xml:space="preserve"> 32:260-271. 10.3967/bes2019.036</w:t>
      </w:r>
      <w:bookmarkEnd w:id="6"/>
    </w:p>
    <w:p>
      <w:pPr>
        <w:pStyle w:val="8"/>
        <w:ind w:left="720" w:hanging="720"/>
        <w:rPr>
          <w:rFonts w:ascii="Times New Roman" w:hAnsi="Times New Roman" w:cs="Times New Roman"/>
          <w:sz w:val="24"/>
        </w:rPr>
      </w:pPr>
      <w:bookmarkStart w:id="7" w:name="_ENREF_5"/>
      <w:r>
        <w:rPr>
          <w:rFonts w:ascii="Times New Roman" w:hAnsi="Times New Roman" w:cs="Times New Roman"/>
          <w:sz w:val="24"/>
        </w:rPr>
        <w:t>World Health O. 1998. Guidelines for controlling and monitoring the tobacco epidemic. Geneva: World Health Organization.</w:t>
      </w:r>
      <w:bookmarkEnd w:id="7"/>
    </w:p>
    <w:p>
      <w:pPr>
        <w:pStyle w:val="8"/>
        <w:ind w:left="720" w:hanging="720"/>
        <w:rPr>
          <w:rFonts w:ascii="Times New Roman" w:hAnsi="Times New Roman" w:cs="Times New Roman"/>
          <w:sz w:val="24"/>
        </w:rPr>
      </w:pPr>
      <w:bookmarkStart w:id="8" w:name="_ENREF_6"/>
      <w:r>
        <w:rPr>
          <w:rFonts w:ascii="Times New Roman" w:hAnsi="Times New Roman" w:cs="Times New Roman"/>
          <w:sz w:val="24"/>
        </w:rPr>
        <w:t xml:space="preserve">World Health O. 2020. </w:t>
      </w:r>
      <w:r>
        <w:rPr>
          <w:rFonts w:ascii="Times New Roman" w:hAnsi="Times New Roman" w:cs="Times New Roman"/>
          <w:i/>
          <w:sz w:val="24"/>
        </w:rPr>
        <w:t>WHO guidelines on physical activity and sedentary behaviour</w:t>
      </w:r>
      <w:r>
        <w:rPr>
          <w:rFonts w:ascii="Times New Roman" w:hAnsi="Times New Roman" w:cs="Times New Roman"/>
          <w:sz w:val="24"/>
        </w:rPr>
        <w:t>. Geneva: World Health Organization.</w:t>
      </w:r>
      <w:bookmarkEnd w:id="8"/>
    </w:p>
    <w:p>
      <w:pPr>
        <w:pStyle w:val="8"/>
        <w:ind w:left="720" w:hanging="720"/>
        <w:rPr>
          <w:rFonts w:ascii="Times New Roman" w:hAnsi="Times New Roman" w:cs="Times New Roman"/>
          <w:sz w:val="24"/>
        </w:rPr>
      </w:pPr>
      <w:bookmarkStart w:id="9" w:name="_ENREF_7"/>
      <w:r>
        <w:rPr>
          <w:rFonts w:ascii="Times New Roman" w:hAnsi="Times New Roman" w:cs="Times New Roman"/>
          <w:sz w:val="24"/>
        </w:rPr>
        <w:t>World Health O. 1994. Lexicon of alcohol and drug terms. Geneva: World Health Organization.</w:t>
      </w:r>
      <w:bookmarkEnd w:id="9"/>
    </w:p>
    <w:p>
      <w:pPr>
        <w:jc w:val="left"/>
        <w:rPr>
          <w:rFonts w:ascii="Times New Roman" w:hAnsi="Times New Roman" w:cs="Times New Roman"/>
          <w:sz w:val="24"/>
        </w:rPr>
      </w:pPr>
      <w:r>
        <w:rPr>
          <w:rFonts w:ascii="Times New Roman" w:hAnsi="Times New Roman" w:cs="Times New Roman"/>
          <w:sz w:val="24"/>
        </w:rPr>
        <w:fldChar w:fldCharType="end"/>
      </w:r>
    </w:p>
    <w:sectPr>
      <w:pgSz w:w="12240" w:h="15840"/>
      <w:pgMar w:top="1440" w:right="1418" w:bottom="1418" w:left="1440" w:header="851" w:footer="992" w:gutter="0"/>
      <w:lnNumType w:countBy="1" w:restart="continuou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4M2EzOWNlMTMyOTI2M2QzMWEwMGY4MTI1OGFmMDAifQ=="/>
    <w:docVar w:name="EN.InstantFormat" w:val="&lt;ENInstantFormat&gt;&lt;Enabled&gt;1&lt;/Enabled&gt;&lt;ScanUnformatted&gt;1&lt;/ScanUnformatted&gt;&lt;ScanChanges&gt;1&lt;/ScanChanges&gt;&lt;Suspended&gt;0&lt;/Suspended&gt;&lt;/ENInstantFormat&gt;"/>
    <w:docVar w:name="EN.Layout" w:val="&lt;ENLayout&gt;&lt;Style&gt;PeerJ Copy 1&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sztx5st8setfmepve95eedwtea0v9wxfzzp&quot;&gt;My EndNote Library&lt;record-ids&gt;&lt;item&gt;72&lt;/item&gt;&lt;item&gt;73&lt;/item&gt;&lt;item&gt;77&lt;/item&gt;&lt;item&gt;78&lt;/item&gt;&lt;item&gt;79&lt;/item&gt;&lt;item&gt;82&lt;/item&gt;&lt;item&gt;83&lt;/item&gt;&lt;/record-ids&gt;&lt;/item&gt;&lt;/Libraries&gt;"/>
  </w:docVars>
  <w:rsids>
    <w:rsidRoot w:val="00F0793B"/>
    <w:rsid w:val="0001068B"/>
    <w:rsid w:val="000F1D1A"/>
    <w:rsid w:val="00300CAA"/>
    <w:rsid w:val="00304CC3"/>
    <w:rsid w:val="00384603"/>
    <w:rsid w:val="006A3EA3"/>
    <w:rsid w:val="0076173C"/>
    <w:rsid w:val="00A62772"/>
    <w:rsid w:val="00CB5F8D"/>
    <w:rsid w:val="00F0793B"/>
    <w:rsid w:val="00F47ACF"/>
    <w:rsid w:val="19DF0F5A"/>
    <w:rsid w:val="4D567C6D"/>
    <w:rsid w:val="7F716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14:ligatures w14:val="standardContextual"/>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line number"/>
    <w:basedOn w:val="3"/>
    <w:autoRedefine/>
    <w:semiHidden/>
    <w:unhideWhenUsed/>
    <w:qFormat/>
    <w:uiPriority w:val="99"/>
  </w:style>
  <w:style w:type="character" w:styleId="5">
    <w:name w:val="Hyperlink"/>
    <w:basedOn w:val="3"/>
    <w:autoRedefine/>
    <w:unhideWhenUsed/>
    <w:qFormat/>
    <w:uiPriority w:val="99"/>
    <w:rPr>
      <w:color w:val="0563C1" w:themeColor="hyperlink"/>
      <w:u w:val="single"/>
      <w14:textFill>
        <w14:solidFill>
          <w14:schemeClr w14:val="hlink"/>
        </w14:solidFill>
      </w14:textFill>
    </w:rPr>
  </w:style>
  <w:style w:type="paragraph" w:customStyle="1" w:styleId="6">
    <w:name w:val="EndNote Bibliography Title"/>
    <w:basedOn w:val="1"/>
    <w:link w:val="7"/>
    <w:autoRedefine/>
    <w:qFormat/>
    <w:uiPriority w:val="0"/>
    <w:pPr>
      <w:jc w:val="center"/>
    </w:pPr>
    <w:rPr>
      <w:rFonts w:ascii="等线" w:hAnsi="等线" w:eastAsia="等线"/>
      <w:sz w:val="20"/>
    </w:rPr>
  </w:style>
  <w:style w:type="character" w:customStyle="1" w:styleId="7">
    <w:name w:val="EndNote Bibliography Title 字符"/>
    <w:basedOn w:val="3"/>
    <w:link w:val="6"/>
    <w:uiPriority w:val="0"/>
    <w:rPr>
      <w:rFonts w:ascii="等线" w:hAnsi="等线" w:eastAsia="等线"/>
      <w:sz w:val="20"/>
      <w:szCs w:val="24"/>
    </w:rPr>
  </w:style>
  <w:style w:type="paragraph" w:customStyle="1" w:styleId="8">
    <w:name w:val="EndNote Bibliography"/>
    <w:basedOn w:val="1"/>
    <w:link w:val="9"/>
    <w:autoRedefine/>
    <w:qFormat/>
    <w:uiPriority w:val="0"/>
    <w:rPr>
      <w:rFonts w:ascii="等线" w:hAnsi="等线" w:eastAsia="等线"/>
      <w:sz w:val="20"/>
    </w:rPr>
  </w:style>
  <w:style w:type="character" w:customStyle="1" w:styleId="9">
    <w:name w:val="EndNote Bibliography 字符"/>
    <w:basedOn w:val="3"/>
    <w:link w:val="8"/>
    <w:autoRedefine/>
    <w:qFormat/>
    <w:uiPriority w:val="0"/>
    <w:rPr>
      <w:rFonts w:ascii="等线" w:hAnsi="等线" w:eastAsia="等线"/>
      <w:sz w:val="20"/>
      <w:szCs w:val="24"/>
    </w:rPr>
  </w:style>
  <w:style w:type="character" w:customStyle="1" w:styleId="10">
    <w:name w:val="未处理的提及1"/>
    <w:basedOn w:val="3"/>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1897</Words>
  <Characters>10816</Characters>
  <Lines>90</Lines>
  <Paragraphs>25</Paragraphs>
  <TotalTime>37</TotalTime>
  <ScaleCrop>false</ScaleCrop>
  <LinksUpToDate>false</LinksUpToDate>
  <CharactersWithSpaces>12688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2024-05-18T03:20:00Z</dcterms:created>
  <dc:creator>强 周</dc:creator>
  <cp:lastModifiedBy>汪玉洁</cp:lastModifiedBy>
  <dcterms:modified xsi:type="dcterms:W3CDTF">2024-05-18T14:13:20Z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A170F26031DF4C5898CE1064FEA3B550_12</vt:lpwstr>
  </property>
</Properties>
</file>