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1EFBC" w14:textId="77EF6013" w:rsidR="00E93343" w:rsidRPr="000477BD" w:rsidRDefault="00E93343" w:rsidP="00E93343">
      <w:pPr>
        <w:spacing w:before="120" w:after="120"/>
        <w:jc w:val="both"/>
        <w:rPr>
          <w:rFonts w:ascii="Times New Roman" w:hAnsi="Times New Roman" w:cs="Times New Roman"/>
          <w:szCs w:val="22"/>
        </w:rPr>
      </w:pPr>
      <w:r w:rsidRPr="000477BD">
        <w:rPr>
          <w:rFonts w:ascii="Times New Roman" w:hAnsi="Times New Roman" w:cs="Times New Roman"/>
          <w:b/>
          <w:bCs/>
          <w:szCs w:val="22"/>
        </w:rPr>
        <w:t>S</w:t>
      </w:r>
      <w:r w:rsidR="00E47AAA" w:rsidRPr="000477BD">
        <w:rPr>
          <w:rFonts w:ascii="Times New Roman" w:hAnsi="Times New Roman" w:cs="Times New Roman"/>
          <w:b/>
          <w:bCs/>
          <w:szCs w:val="22"/>
        </w:rPr>
        <w:t>upplemental</w:t>
      </w:r>
      <w:r w:rsidR="00AD6170">
        <w:rPr>
          <w:rFonts w:ascii="Times New Roman" w:hAnsi="Times New Roman" w:cs="Times New Roman"/>
          <w:b/>
          <w:bCs/>
          <w:szCs w:val="22"/>
        </w:rPr>
        <w:t xml:space="preserve"> </w:t>
      </w:r>
      <w:r w:rsidR="00E47AAA" w:rsidRPr="000477BD">
        <w:rPr>
          <w:rFonts w:ascii="Times New Roman" w:hAnsi="Times New Roman" w:cs="Times New Roman"/>
          <w:b/>
          <w:bCs/>
          <w:szCs w:val="22"/>
        </w:rPr>
        <w:t>Table</w:t>
      </w:r>
      <w:r w:rsidR="00AD6170">
        <w:rPr>
          <w:rFonts w:ascii="Times New Roman" w:hAnsi="Times New Roman" w:cs="Times New Roman"/>
          <w:b/>
          <w:bCs/>
          <w:szCs w:val="22"/>
        </w:rPr>
        <w:t xml:space="preserve"> </w:t>
      </w:r>
      <w:r w:rsidRPr="000477BD">
        <w:rPr>
          <w:rFonts w:ascii="Times New Roman" w:hAnsi="Times New Roman" w:cs="Times New Roman"/>
          <w:b/>
          <w:bCs/>
          <w:szCs w:val="22"/>
        </w:rPr>
        <w:t xml:space="preserve">1. </w:t>
      </w:r>
      <w:r w:rsidRPr="000477BD">
        <w:rPr>
          <w:rFonts w:ascii="Times New Roman" w:hAnsi="Times New Roman" w:cs="Times New Roman"/>
          <w:szCs w:val="22"/>
        </w:rPr>
        <w:t xml:space="preserve">Primers used in this </w:t>
      </w:r>
      <w:r w:rsidR="003B41A9" w:rsidRPr="000477BD">
        <w:rPr>
          <w:rFonts w:ascii="Times New Roman" w:hAnsi="Times New Roman" w:cs="Times New Roman"/>
          <w:szCs w:val="22"/>
        </w:rPr>
        <w:t>experiment.</w:t>
      </w:r>
    </w:p>
    <w:tbl>
      <w:tblPr>
        <w:tblStyle w:val="TableGrid"/>
        <w:tblW w:w="9356" w:type="dxa"/>
        <w:tblInd w:w="-5" w:type="dxa"/>
        <w:tblLayout w:type="fixed"/>
        <w:tblLook w:val="04A0" w:firstRow="1" w:lastRow="0" w:firstColumn="1" w:lastColumn="0" w:noHBand="0" w:noVBand="1"/>
      </w:tblPr>
      <w:tblGrid>
        <w:gridCol w:w="2070"/>
        <w:gridCol w:w="3742"/>
        <w:gridCol w:w="851"/>
        <w:gridCol w:w="850"/>
        <w:gridCol w:w="1843"/>
      </w:tblGrid>
      <w:tr w:rsidR="00E93343" w:rsidRPr="000477BD" w14:paraId="2977EF06" w14:textId="77777777" w:rsidTr="000477BD">
        <w:tc>
          <w:tcPr>
            <w:tcW w:w="2070" w:type="dxa"/>
          </w:tcPr>
          <w:p w14:paraId="33B6E7D3" w14:textId="77777777" w:rsidR="00E93343" w:rsidRPr="000477BD" w:rsidRDefault="00E93343" w:rsidP="004914B4">
            <w:pPr>
              <w:jc w:val="center"/>
              <w:rPr>
                <w:rFonts w:ascii="Times New Roman" w:hAnsi="Times New Roman" w:cs="Times New Roman"/>
                <w:b/>
                <w:bCs/>
                <w:szCs w:val="22"/>
              </w:rPr>
            </w:pPr>
            <w:r w:rsidRPr="000477BD">
              <w:rPr>
                <w:rFonts w:ascii="Times New Roman" w:hAnsi="Times New Roman" w:cs="Times New Roman"/>
                <w:b/>
                <w:bCs/>
                <w:szCs w:val="22"/>
              </w:rPr>
              <w:t>Target</w:t>
            </w:r>
          </w:p>
        </w:tc>
        <w:tc>
          <w:tcPr>
            <w:tcW w:w="3742" w:type="dxa"/>
          </w:tcPr>
          <w:p w14:paraId="0AE84C0B" w14:textId="77777777" w:rsidR="00E93343" w:rsidRPr="000477BD" w:rsidRDefault="00E93343" w:rsidP="004914B4">
            <w:pPr>
              <w:jc w:val="center"/>
              <w:rPr>
                <w:rFonts w:ascii="Times New Roman" w:hAnsi="Times New Roman" w:cs="Times New Roman"/>
                <w:b/>
                <w:bCs/>
                <w:szCs w:val="22"/>
              </w:rPr>
            </w:pPr>
            <w:r w:rsidRPr="000477BD">
              <w:rPr>
                <w:rFonts w:ascii="Times New Roman" w:hAnsi="Times New Roman" w:cs="Times New Roman"/>
                <w:b/>
                <w:bCs/>
                <w:szCs w:val="22"/>
              </w:rPr>
              <w:t>Sequence (5’→3’)</w:t>
            </w:r>
          </w:p>
        </w:tc>
        <w:tc>
          <w:tcPr>
            <w:tcW w:w="851" w:type="dxa"/>
          </w:tcPr>
          <w:p w14:paraId="0CB9F2ED" w14:textId="77777777" w:rsidR="00E93343" w:rsidRPr="000477BD" w:rsidRDefault="00E93343" w:rsidP="004914B4">
            <w:pPr>
              <w:jc w:val="center"/>
              <w:rPr>
                <w:rFonts w:ascii="Times New Roman" w:hAnsi="Times New Roman" w:cs="Times New Roman"/>
                <w:b/>
                <w:bCs/>
                <w:szCs w:val="22"/>
              </w:rPr>
            </w:pPr>
            <w:r w:rsidRPr="000477BD">
              <w:rPr>
                <w:rFonts w:ascii="Times New Roman" w:hAnsi="Times New Roman" w:cs="Times New Roman"/>
                <w:b/>
                <w:bCs/>
                <w:szCs w:val="22"/>
              </w:rPr>
              <w:t>Tm</w:t>
            </w:r>
          </w:p>
          <w:p w14:paraId="54A93906" w14:textId="77777777" w:rsidR="00E93343" w:rsidRPr="000477BD" w:rsidRDefault="00E93343" w:rsidP="004914B4">
            <w:pPr>
              <w:jc w:val="center"/>
              <w:rPr>
                <w:rFonts w:ascii="Times New Roman" w:hAnsi="Times New Roman" w:cs="Times New Roman"/>
                <w:b/>
                <w:bCs/>
                <w:szCs w:val="22"/>
              </w:rPr>
            </w:pPr>
            <w:r w:rsidRPr="000477BD">
              <w:rPr>
                <w:rFonts w:ascii="Times New Roman" w:hAnsi="Times New Roman" w:cs="Times New Roman"/>
                <w:b/>
                <w:bCs/>
                <w:szCs w:val="22"/>
              </w:rPr>
              <w:t>(°C)</w:t>
            </w:r>
          </w:p>
        </w:tc>
        <w:tc>
          <w:tcPr>
            <w:tcW w:w="850" w:type="dxa"/>
          </w:tcPr>
          <w:p w14:paraId="7AFD8D98" w14:textId="77777777" w:rsidR="00E93343" w:rsidRPr="000477BD" w:rsidRDefault="00E93343" w:rsidP="004914B4">
            <w:pPr>
              <w:jc w:val="center"/>
              <w:rPr>
                <w:rFonts w:ascii="Times New Roman" w:hAnsi="Times New Roman" w:cs="Times New Roman"/>
                <w:b/>
                <w:bCs/>
                <w:szCs w:val="22"/>
              </w:rPr>
            </w:pPr>
            <w:r w:rsidRPr="000477BD">
              <w:rPr>
                <w:rFonts w:ascii="Times New Roman" w:hAnsi="Times New Roman" w:cs="Times New Roman"/>
                <w:b/>
                <w:bCs/>
                <w:szCs w:val="22"/>
              </w:rPr>
              <w:t>Size</w:t>
            </w:r>
          </w:p>
          <w:p w14:paraId="6C2DE811" w14:textId="77777777" w:rsidR="00E93343" w:rsidRPr="000477BD" w:rsidRDefault="00E93343" w:rsidP="004914B4">
            <w:pPr>
              <w:jc w:val="center"/>
              <w:rPr>
                <w:rFonts w:ascii="Times New Roman" w:hAnsi="Times New Roman" w:cs="Times New Roman"/>
                <w:b/>
                <w:bCs/>
                <w:szCs w:val="22"/>
              </w:rPr>
            </w:pPr>
            <w:r w:rsidRPr="000477BD">
              <w:rPr>
                <w:rFonts w:ascii="Times New Roman" w:hAnsi="Times New Roman" w:cs="Times New Roman"/>
                <w:b/>
                <w:bCs/>
                <w:szCs w:val="22"/>
              </w:rPr>
              <w:t>(bp)</w:t>
            </w:r>
          </w:p>
        </w:tc>
        <w:tc>
          <w:tcPr>
            <w:tcW w:w="1843" w:type="dxa"/>
          </w:tcPr>
          <w:p w14:paraId="382CCB16" w14:textId="77777777" w:rsidR="00E93343" w:rsidRPr="000477BD" w:rsidRDefault="00E93343" w:rsidP="004914B4">
            <w:pPr>
              <w:jc w:val="center"/>
              <w:rPr>
                <w:rFonts w:ascii="Times New Roman" w:hAnsi="Times New Roman" w:cs="Times New Roman"/>
                <w:b/>
                <w:bCs/>
                <w:szCs w:val="22"/>
              </w:rPr>
            </w:pPr>
            <w:r w:rsidRPr="000477BD">
              <w:rPr>
                <w:rFonts w:ascii="Times New Roman" w:hAnsi="Times New Roman" w:cs="Times New Roman"/>
                <w:b/>
                <w:bCs/>
                <w:szCs w:val="22"/>
              </w:rPr>
              <w:t>Reference</w:t>
            </w:r>
          </w:p>
        </w:tc>
      </w:tr>
      <w:tr w:rsidR="00E93343" w:rsidRPr="000477BD" w14:paraId="4DA97E15" w14:textId="77777777" w:rsidTr="000477BD">
        <w:tc>
          <w:tcPr>
            <w:tcW w:w="2070" w:type="dxa"/>
          </w:tcPr>
          <w:p w14:paraId="79197F76" w14:textId="77777777" w:rsidR="00E93343" w:rsidRPr="000477BD" w:rsidRDefault="00E93343" w:rsidP="004914B4">
            <w:pPr>
              <w:rPr>
                <w:rFonts w:ascii="Times New Roman" w:hAnsi="Times New Roman" w:cs="Times New Roman"/>
                <w:szCs w:val="22"/>
              </w:rPr>
            </w:pPr>
            <w:r w:rsidRPr="000477BD">
              <w:rPr>
                <w:rFonts w:ascii="Times New Roman" w:hAnsi="Times New Roman" w:cs="Times New Roman"/>
                <w:szCs w:val="22"/>
              </w:rPr>
              <w:t>TiLV Segment9</w:t>
            </w:r>
          </w:p>
        </w:tc>
        <w:tc>
          <w:tcPr>
            <w:tcW w:w="3742" w:type="dxa"/>
          </w:tcPr>
          <w:p w14:paraId="623BBA3E" w14:textId="60807CCE" w:rsidR="00E93343" w:rsidRPr="000477BD" w:rsidRDefault="00A6211F" w:rsidP="004914B4">
            <w:pPr>
              <w:rPr>
                <w:rFonts w:ascii="Times New Roman" w:hAnsi="Times New Roman" w:cs="Times New Roman"/>
                <w:szCs w:val="22"/>
              </w:rPr>
            </w:pPr>
            <w:r>
              <w:rPr>
                <w:rFonts w:ascii="Times New Roman" w:hAnsi="Times New Roman" w:cs="Times New Roman"/>
                <w:szCs w:val="22"/>
              </w:rPr>
              <w:t>TiLV-S9-</w:t>
            </w:r>
            <w:proofErr w:type="gramStart"/>
            <w:r>
              <w:rPr>
                <w:rFonts w:ascii="Times New Roman" w:hAnsi="Times New Roman" w:cs="Times New Roman"/>
                <w:szCs w:val="22"/>
              </w:rPr>
              <w:t>qF</w:t>
            </w:r>
            <w:r w:rsidR="00E93343" w:rsidRPr="000477BD">
              <w:rPr>
                <w:rFonts w:ascii="Times New Roman" w:hAnsi="Times New Roman" w:cs="Times New Roman"/>
                <w:szCs w:val="22"/>
              </w:rPr>
              <w:t>;</w:t>
            </w:r>
            <w:proofErr w:type="gramEnd"/>
            <w:r w:rsidR="00E93343" w:rsidRPr="000477BD">
              <w:rPr>
                <w:rFonts w:ascii="Times New Roman" w:hAnsi="Times New Roman" w:cs="Times New Roman"/>
                <w:szCs w:val="22"/>
              </w:rPr>
              <w:t xml:space="preserve"> </w:t>
            </w:r>
          </w:p>
          <w:p w14:paraId="2864B76A" w14:textId="77777777" w:rsidR="00E93343" w:rsidRPr="000477BD" w:rsidRDefault="00E93343" w:rsidP="004914B4">
            <w:pPr>
              <w:rPr>
                <w:rFonts w:ascii="Times New Roman" w:hAnsi="Times New Roman" w:cs="Times New Roman"/>
                <w:szCs w:val="22"/>
              </w:rPr>
            </w:pPr>
            <w:r w:rsidRPr="000477BD">
              <w:rPr>
                <w:rFonts w:ascii="Times New Roman" w:hAnsi="Times New Roman" w:cs="Times New Roman"/>
                <w:szCs w:val="22"/>
              </w:rPr>
              <w:t>CTAGACAATGTTTTCGATCCAG</w:t>
            </w:r>
          </w:p>
          <w:p w14:paraId="3ADD1DA6" w14:textId="3C40E5B8" w:rsidR="00E93343" w:rsidRPr="000477BD" w:rsidRDefault="00A6211F" w:rsidP="004914B4">
            <w:pPr>
              <w:rPr>
                <w:rFonts w:ascii="Times New Roman" w:hAnsi="Times New Roman" w:cs="Times New Roman"/>
                <w:szCs w:val="22"/>
              </w:rPr>
            </w:pPr>
            <w:r>
              <w:rPr>
                <w:rFonts w:ascii="Times New Roman" w:hAnsi="Times New Roman" w:cs="Times New Roman"/>
                <w:szCs w:val="22"/>
              </w:rPr>
              <w:t>TiLV-S9-</w:t>
            </w:r>
            <w:proofErr w:type="gramStart"/>
            <w:r>
              <w:rPr>
                <w:rFonts w:ascii="Times New Roman" w:hAnsi="Times New Roman" w:cs="Times New Roman"/>
                <w:szCs w:val="22"/>
              </w:rPr>
              <w:t>qR</w:t>
            </w:r>
            <w:r w:rsidR="00E93343" w:rsidRPr="000477BD">
              <w:rPr>
                <w:rFonts w:ascii="Times New Roman" w:hAnsi="Times New Roman" w:cs="Times New Roman"/>
                <w:szCs w:val="22"/>
              </w:rPr>
              <w:t>;</w:t>
            </w:r>
            <w:proofErr w:type="gramEnd"/>
            <w:r w:rsidR="00E93343" w:rsidRPr="000477BD">
              <w:rPr>
                <w:rFonts w:ascii="Times New Roman" w:hAnsi="Times New Roman" w:cs="Times New Roman"/>
                <w:szCs w:val="22"/>
              </w:rPr>
              <w:t xml:space="preserve"> </w:t>
            </w:r>
          </w:p>
          <w:p w14:paraId="4FC72F5D" w14:textId="77777777" w:rsidR="00E93343" w:rsidRPr="000477BD" w:rsidRDefault="00E93343" w:rsidP="004914B4">
            <w:pPr>
              <w:rPr>
                <w:rFonts w:ascii="Times New Roman" w:hAnsi="Times New Roman" w:cs="Times New Roman"/>
                <w:szCs w:val="22"/>
              </w:rPr>
            </w:pPr>
            <w:r w:rsidRPr="000477BD">
              <w:rPr>
                <w:rFonts w:ascii="Times New Roman" w:hAnsi="Times New Roman" w:cs="Times New Roman"/>
                <w:szCs w:val="22"/>
              </w:rPr>
              <w:t>TTCTGTGTCAGTAATCTTGACAG</w:t>
            </w:r>
          </w:p>
        </w:tc>
        <w:tc>
          <w:tcPr>
            <w:tcW w:w="851" w:type="dxa"/>
          </w:tcPr>
          <w:p w14:paraId="2770D642" w14:textId="77777777" w:rsidR="00E93343" w:rsidRPr="000477BD" w:rsidRDefault="00E93343" w:rsidP="004914B4">
            <w:pPr>
              <w:jc w:val="center"/>
              <w:rPr>
                <w:rFonts w:ascii="Times New Roman" w:hAnsi="Times New Roman" w:cs="Times New Roman"/>
                <w:szCs w:val="22"/>
              </w:rPr>
            </w:pPr>
            <w:r w:rsidRPr="000477BD">
              <w:rPr>
                <w:rFonts w:ascii="Times New Roman" w:hAnsi="Times New Roman" w:cs="Times New Roman"/>
                <w:szCs w:val="22"/>
              </w:rPr>
              <w:t>54.9</w:t>
            </w:r>
          </w:p>
          <w:p w14:paraId="2ED862CA" w14:textId="77777777" w:rsidR="00E93343" w:rsidRPr="000477BD" w:rsidRDefault="00E93343" w:rsidP="004914B4">
            <w:pPr>
              <w:jc w:val="center"/>
              <w:rPr>
                <w:rFonts w:ascii="Times New Roman" w:hAnsi="Times New Roman" w:cs="Times New Roman"/>
                <w:szCs w:val="22"/>
              </w:rPr>
            </w:pPr>
          </w:p>
          <w:p w14:paraId="3E52BDCB" w14:textId="77777777" w:rsidR="00E93343" w:rsidRPr="000477BD" w:rsidRDefault="00E93343" w:rsidP="004914B4">
            <w:pPr>
              <w:jc w:val="center"/>
              <w:rPr>
                <w:rFonts w:ascii="Times New Roman" w:hAnsi="Times New Roman" w:cs="Times New Roman"/>
                <w:szCs w:val="22"/>
              </w:rPr>
            </w:pPr>
            <w:r w:rsidRPr="000477BD">
              <w:rPr>
                <w:rFonts w:ascii="Times New Roman" w:hAnsi="Times New Roman" w:cs="Times New Roman"/>
                <w:szCs w:val="22"/>
              </w:rPr>
              <w:t>56.2</w:t>
            </w:r>
          </w:p>
        </w:tc>
        <w:tc>
          <w:tcPr>
            <w:tcW w:w="850" w:type="dxa"/>
            <w:vAlign w:val="center"/>
          </w:tcPr>
          <w:p w14:paraId="0747E97E" w14:textId="77777777" w:rsidR="00E93343" w:rsidRPr="000477BD" w:rsidRDefault="00E93343" w:rsidP="004914B4">
            <w:pPr>
              <w:jc w:val="center"/>
              <w:rPr>
                <w:rFonts w:ascii="Times New Roman" w:hAnsi="Times New Roman" w:cs="Times New Roman"/>
                <w:szCs w:val="22"/>
              </w:rPr>
            </w:pPr>
            <w:r w:rsidRPr="000477BD">
              <w:rPr>
                <w:rFonts w:ascii="Times New Roman" w:hAnsi="Times New Roman" w:cs="Times New Roman"/>
                <w:szCs w:val="22"/>
              </w:rPr>
              <w:t>137</w:t>
            </w:r>
          </w:p>
        </w:tc>
        <w:tc>
          <w:tcPr>
            <w:tcW w:w="1843" w:type="dxa"/>
            <w:vAlign w:val="center"/>
          </w:tcPr>
          <w:p w14:paraId="6CD54AF5" w14:textId="26877A15" w:rsidR="00E93343" w:rsidRPr="000477BD" w:rsidRDefault="0024245E" w:rsidP="00E43491">
            <w:pPr>
              <w:rPr>
                <w:rFonts w:ascii="Times New Roman" w:hAnsi="Times New Roman" w:cs="Times New Roman"/>
                <w:szCs w:val="22"/>
              </w:rPr>
            </w:pPr>
            <w:r>
              <w:rPr>
                <w:rFonts w:ascii="Times New Roman" w:hAnsi="Times New Roman" w:cs="Times New Roman"/>
                <w:color w:val="000000" w:themeColor="text1"/>
                <w:szCs w:val="22"/>
              </w:rPr>
              <w:fldChar w:fldCharType="begin"/>
            </w:r>
            <w:r w:rsidR="00E43491">
              <w:rPr>
                <w:rFonts w:ascii="Times New Roman" w:hAnsi="Times New Roman" w:cs="Times New Roman"/>
                <w:color w:val="000000" w:themeColor="text1"/>
                <w:szCs w:val="22"/>
              </w:rPr>
              <w:instrText xml:space="preserve"> ADDIN ZOTERO_ITEM CSL_CITATION {"citationID":"92kXtkZE","properties":{"formattedCitation":"(Taengphu et al., 2022)","plainCitation":"(Taengphu et al., 2022)","noteIndex":0},"citationItems":[{"id":"V5XVddnm/WyJw0p5h","uris":["http://zotero.org/users/5346318/items/UPKM7GUH"],"itemData":{"id":942,"type":"article-journal","abstract":"Background Tilapia tilapinevirus, also known as tilapia lake virus (TiLV), is a significant virus that is responsible for the die-off of farmed tilapia across the globe. The detection and quantification of the virus using environmental RNA (eRNA) from pond water samples represents a potentially non-invasive and routine strategy for monitoring pathogens and early disease forecasting in aquaculture systems. Methods Here, we report a simple iron flocculation method for concentrating viruses in water, together with a newly-developed hydrolysis probe quantitative RT-qPCR method for the detection and quantification of TiLV. Results The RT-qPCR method designed to target a conserved region of the TiLV genome segment 9 has a detection limit of 10 viral copies per µL of template. The method had a 100% analytical specificity and sensitivity for TiLV. The optimized iron flocculation method was able to recover 16.11 ± 3.3% of the virus from water samples spiked with viral cultures. Tilapia and water samples were collected for use in the detection and quantification of TiLV disease during outbreaks in an open-caged river farming system and two earthen fish farms. TiLV was detected from both clinically sick and asymptomatic fish. Most importantly, the virus was successfully detected from water samples collected from different locations in the affected farms (i.e., river water samples from affected cages (8.50 × 103 to 2.79 × 105 copies/L) and fish-rearing water samples, sewage, and reservoir (4.29 × 103 to 3.53 × 104 copies/L)). By contrast, TiLV was not detected in fish or water samples collected from two farms that had previously experienced TiLV outbreaks and from one farm that had never experienced a TiLV outbreak. In summary, this study suggests that the eRNA detection system using iron flocculation, coupled with probe based-RT-qPCR, is feasible for use in the concentration and quantification of TiLV from water. This approach may be useful for the non-invasive monitoring of TiLV in tilapia aquaculture systems and may support evidence-based decisions on biosecurity interventions needed.","container-title":"PeerJ","DOI":"10.7717/peerj.13157","ISSN":"2167-8359","journalAbbreviation":"PeerJ","language":"en","note":"publisher: PeerJ Inc.","page":"e13157","source":"peerj.com","title":"Concentration and quantification of Tilapia tilapinevirus from water using a simple iron flocculation coupled with probe-based RT-qPCR","volume":"10","author":[{"family":"Taengphu","given":"Suwimon"},{"family":"Kayansamruaj","given":"Pattanapon"},{"family":"Kawato","given":"Yasuhiko"},{"family":"Delamare-Deboutteville","given":"Jerome"},{"family":"Mohan","given":"Chadag Vishnumurthy"},{"family":"Dong","given":"Ha Thanh"},{"family":"Senapin","given":"Saengchan"}],"issued":{"date-parts":[["2022",4,18]]}}}],"schema":"https://github.com/citation-style-language/schema/raw/master/csl-citation.json"} </w:instrText>
            </w:r>
            <w:r>
              <w:rPr>
                <w:rFonts w:ascii="Times New Roman" w:hAnsi="Times New Roman" w:cs="Times New Roman"/>
                <w:color w:val="000000" w:themeColor="text1"/>
                <w:szCs w:val="22"/>
              </w:rPr>
              <w:fldChar w:fldCharType="separate"/>
            </w:r>
            <w:r w:rsidR="00E43491" w:rsidRPr="00E43491">
              <w:rPr>
                <w:rFonts w:ascii="Times New Roman" w:hAnsi="Times New Roman" w:cs="Times New Roman"/>
              </w:rPr>
              <w:t>(</w:t>
            </w:r>
            <w:proofErr w:type="spellStart"/>
            <w:r w:rsidR="00E43491" w:rsidRPr="00E43491">
              <w:rPr>
                <w:rFonts w:ascii="Times New Roman" w:hAnsi="Times New Roman" w:cs="Times New Roman"/>
              </w:rPr>
              <w:t>Taengphu</w:t>
            </w:r>
            <w:proofErr w:type="spellEnd"/>
            <w:r w:rsidR="00E43491" w:rsidRPr="00E43491">
              <w:rPr>
                <w:rFonts w:ascii="Times New Roman" w:hAnsi="Times New Roman" w:cs="Times New Roman"/>
              </w:rPr>
              <w:t xml:space="preserve"> et al., 2022)</w:t>
            </w:r>
            <w:r>
              <w:rPr>
                <w:rFonts w:ascii="Times New Roman" w:hAnsi="Times New Roman" w:cs="Times New Roman"/>
                <w:color w:val="000000" w:themeColor="text1"/>
                <w:szCs w:val="22"/>
              </w:rPr>
              <w:fldChar w:fldCharType="end"/>
            </w:r>
          </w:p>
        </w:tc>
      </w:tr>
      <w:tr w:rsidR="00E93343" w:rsidRPr="000477BD" w14:paraId="7D51CC2B" w14:textId="77777777" w:rsidTr="000477BD">
        <w:tc>
          <w:tcPr>
            <w:tcW w:w="2070" w:type="dxa"/>
          </w:tcPr>
          <w:p w14:paraId="7A56C6D0" w14:textId="77777777" w:rsidR="00E93343" w:rsidRPr="000477BD" w:rsidRDefault="00E93343" w:rsidP="004914B4">
            <w:pPr>
              <w:rPr>
                <w:rFonts w:ascii="Times New Roman" w:hAnsi="Times New Roman" w:cs="Times New Roman"/>
                <w:szCs w:val="22"/>
              </w:rPr>
            </w:pPr>
            <w:r w:rsidRPr="000477BD">
              <w:rPr>
                <w:rFonts w:ascii="Times New Roman" w:hAnsi="Times New Roman" w:cs="Times New Roman"/>
                <w:szCs w:val="22"/>
              </w:rPr>
              <w:t>ISKNV - major capsid protein gene (</w:t>
            </w:r>
            <w:r w:rsidRPr="000477BD">
              <w:rPr>
                <w:rFonts w:ascii="Times New Roman" w:hAnsi="Times New Roman" w:cs="Times New Roman"/>
                <w:i/>
                <w:szCs w:val="22"/>
              </w:rPr>
              <w:t>MCP</w:t>
            </w:r>
            <w:r w:rsidRPr="000477BD">
              <w:rPr>
                <w:rFonts w:ascii="Times New Roman" w:hAnsi="Times New Roman" w:cs="Times New Roman"/>
                <w:szCs w:val="22"/>
              </w:rPr>
              <w:t>)</w:t>
            </w:r>
          </w:p>
        </w:tc>
        <w:tc>
          <w:tcPr>
            <w:tcW w:w="3742" w:type="dxa"/>
          </w:tcPr>
          <w:p w14:paraId="6E161BEF" w14:textId="77777777" w:rsidR="00E93343" w:rsidRPr="000477BD" w:rsidRDefault="00E93343" w:rsidP="004914B4">
            <w:pPr>
              <w:rPr>
                <w:rFonts w:ascii="Times New Roman" w:hAnsi="Times New Roman" w:cs="Times New Roman"/>
                <w:szCs w:val="22"/>
              </w:rPr>
            </w:pPr>
            <w:r w:rsidRPr="000477BD">
              <w:rPr>
                <w:rFonts w:ascii="Times New Roman" w:hAnsi="Times New Roman" w:cs="Times New Roman"/>
                <w:szCs w:val="22"/>
              </w:rPr>
              <w:t>Meg-</w:t>
            </w:r>
            <w:proofErr w:type="gramStart"/>
            <w:r w:rsidRPr="000477BD">
              <w:rPr>
                <w:rFonts w:ascii="Times New Roman" w:hAnsi="Times New Roman" w:cs="Times New Roman"/>
                <w:szCs w:val="22"/>
              </w:rPr>
              <w:t>MCP160F;</w:t>
            </w:r>
            <w:proofErr w:type="gramEnd"/>
            <w:r w:rsidRPr="000477BD">
              <w:rPr>
                <w:rFonts w:ascii="Times New Roman" w:hAnsi="Times New Roman" w:cs="Times New Roman"/>
                <w:szCs w:val="22"/>
              </w:rPr>
              <w:t xml:space="preserve"> </w:t>
            </w:r>
          </w:p>
          <w:p w14:paraId="613AA21F" w14:textId="77777777" w:rsidR="00E93343" w:rsidRPr="000477BD" w:rsidRDefault="00E93343" w:rsidP="004914B4">
            <w:pPr>
              <w:rPr>
                <w:rFonts w:ascii="Times New Roman" w:hAnsi="Times New Roman" w:cs="Times New Roman"/>
                <w:szCs w:val="22"/>
              </w:rPr>
            </w:pPr>
            <w:r w:rsidRPr="000477BD">
              <w:rPr>
                <w:rFonts w:ascii="Times New Roman" w:hAnsi="Times New Roman" w:cs="Times New Roman"/>
                <w:szCs w:val="22"/>
              </w:rPr>
              <w:t>TCAAAACAGACTGGCCATGC</w:t>
            </w:r>
          </w:p>
          <w:p w14:paraId="216A7AAC" w14:textId="77777777" w:rsidR="00E93343" w:rsidRPr="000477BD" w:rsidRDefault="00E93343" w:rsidP="004914B4">
            <w:pPr>
              <w:rPr>
                <w:rFonts w:ascii="Times New Roman" w:hAnsi="Times New Roman" w:cs="Times New Roman"/>
                <w:szCs w:val="22"/>
              </w:rPr>
            </w:pPr>
            <w:r w:rsidRPr="000477BD">
              <w:rPr>
                <w:rFonts w:ascii="Times New Roman" w:hAnsi="Times New Roman" w:cs="Times New Roman"/>
                <w:szCs w:val="22"/>
              </w:rPr>
              <w:t>Meg-</w:t>
            </w:r>
            <w:proofErr w:type="gramStart"/>
            <w:r w:rsidRPr="000477BD">
              <w:rPr>
                <w:rFonts w:ascii="Times New Roman" w:hAnsi="Times New Roman" w:cs="Times New Roman"/>
                <w:szCs w:val="22"/>
              </w:rPr>
              <w:t>MCP349R;</w:t>
            </w:r>
            <w:proofErr w:type="gramEnd"/>
            <w:r w:rsidRPr="000477BD">
              <w:rPr>
                <w:rFonts w:ascii="Times New Roman" w:hAnsi="Times New Roman" w:cs="Times New Roman"/>
                <w:szCs w:val="22"/>
              </w:rPr>
              <w:t xml:space="preserve"> </w:t>
            </w:r>
          </w:p>
          <w:p w14:paraId="0CF0D22F" w14:textId="77777777" w:rsidR="00E93343" w:rsidRPr="000477BD" w:rsidRDefault="00E93343" w:rsidP="004914B4">
            <w:pPr>
              <w:rPr>
                <w:rFonts w:ascii="Times New Roman" w:hAnsi="Times New Roman" w:cs="Times New Roman"/>
                <w:szCs w:val="22"/>
              </w:rPr>
            </w:pPr>
            <w:r w:rsidRPr="000477BD">
              <w:rPr>
                <w:rFonts w:ascii="Times New Roman" w:hAnsi="Times New Roman" w:cs="Times New Roman"/>
                <w:szCs w:val="22"/>
              </w:rPr>
              <w:t>TAAATGACACCGACACCTCCTC</w:t>
            </w:r>
          </w:p>
        </w:tc>
        <w:tc>
          <w:tcPr>
            <w:tcW w:w="851" w:type="dxa"/>
          </w:tcPr>
          <w:p w14:paraId="0DBC034F" w14:textId="77777777" w:rsidR="00E93343" w:rsidRPr="000477BD" w:rsidRDefault="00E93343" w:rsidP="004914B4">
            <w:pPr>
              <w:jc w:val="center"/>
              <w:rPr>
                <w:rFonts w:ascii="Times New Roman" w:hAnsi="Times New Roman" w:cs="Times New Roman"/>
                <w:szCs w:val="22"/>
              </w:rPr>
            </w:pPr>
            <w:r w:rsidRPr="000477BD">
              <w:rPr>
                <w:rFonts w:ascii="Times New Roman" w:hAnsi="Times New Roman" w:cs="Times New Roman"/>
                <w:szCs w:val="22"/>
              </w:rPr>
              <w:t>59.0</w:t>
            </w:r>
          </w:p>
          <w:p w14:paraId="00D7A3F4" w14:textId="77777777" w:rsidR="00E93343" w:rsidRPr="000477BD" w:rsidRDefault="00E93343" w:rsidP="004914B4">
            <w:pPr>
              <w:jc w:val="center"/>
              <w:rPr>
                <w:rFonts w:ascii="Times New Roman" w:hAnsi="Times New Roman" w:cs="Times New Roman"/>
                <w:szCs w:val="22"/>
              </w:rPr>
            </w:pPr>
          </w:p>
          <w:p w14:paraId="6BB9683B" w14:textId="77777777" w:rsidR="00E93343" w:rsidRPr="000477BD" w:rsidRDefault="00E93343" w:rsidP="004914B4">
            <w:pPr>
              <w:jc w:val="center"/>
              <w:rPr>
                <w:rFonts w:ascii="Times New Roman" w:hAnsi="Times New Roman" w:cs="Times New Roman"/>
                <w:szCs w:val="22"/>
              </w:rPr>
            </w:pPr>
            <w:r w:rsidRPr="000477BD">
              <w:rPr>
                <w:rFonts w:ascii="Times New Roman" w:hAnsi="Times New Roman" w:cs="Times New Roman"/>
                <w:szCs w:val="22"/>
              </w:rPr>
              <w:t>59.7</w:t>
            </w:r>
          </w:p>
        </w:tc>
        <w:tc>
          <w:tcPr>
            <w:tcW w:w="850" w:type="dxa"/>
            <w:vAlign w:val="center"/>
          </w:tcPr>
          <w:p w14:paraId="42E0A029" w14:textId="77777777" w:rsidR="00E93343" w:rsidRPr="000477BD" w:rsidRDefault="00E93343" w:rsidP="004914B4">
            <w:pPr>
              <w:jc w:val="center"/>
              <w:rPr>
                <w:rFonts w:ascii="Times New Roman" w:hAnsi="Times New Roman" w:cs="Times New Roman"/>
                <w:szCs w:val="22"/>
              </w:rPr>
            </w:pPr>
            <w:r w:rsidRPr="000477BD">
              <w:rPr>
                <w:rFonts w:ascii="Times New Roman" w:hAnsi="Times New Roman" w:cs="Times New Roman"/>
                <w:szCs w:val="22"/>
              </w:rPr>
              <w:t>190</w:t>
            </w:r>
          </w:p>
        </w:tc>
        <w:tc>
          <w:tcPr>
            <w:tcW w:w="1843" w:type="dxa"/>
            <w:vAlign w:val="center"/>
          </w:tcPr>
          <w:p w14:paraId="3E6D2C85" w14:textId="28CCC10D" w:rsidR="00E93343" w:rsidRPr="000477BD" w:rsidRDefault="004F1222" w:rsidP="00E43491">
            <w:pPr>
              <w:rPr>
                <w:rFonts w:ascii="Times New Roman" w:hAnsi="Times New Roman" w:cs="Times New Roman"/>
                <w:szCs w:val="22"/>
              </w:rPr>
            </w:pPr>
            <w:r>
              <w:rPr>
                <w:rFonts w:ascii="Times New Roman" w:hAnsi="Times New Roman" w:cs="Times New Roman"/>
                <w:szCs w:val="22"/>
              </w:rPr>
              <w:fldChar w:fldCharType="begin"/>
            </w:r>
            <w:r w:rsidR="00E43491">
              <w:rPr>
                <w:rFonts w:ascii="Times New Roman" w:hAnsi="Times New Roman" w:cs="Times New Roman"/>
                <w:szCs w:val="22"/>
              </w:rPr>
              <w:instrText xml:space="preserve"> ADDIN ZOTERO_ITEM CSL_CITATION {"citationID":"SvpB2Hfu","properties":{"formattedCitation":"(Kawato et al., 2021)","plainCitation":"(Kawato et al., 2021)","noteIndex":0},"citationItems":[{"id":4849,"uris":["http://zotero.org/groups/5085102/items/WIE5MU6K"],"itemData":{"id":4849,"type":"article-journal","abstract":"In the present study, two real-time PCR assays (Cummins and Kawato-1) were newly developed for the detection of broad range of Megalocytivirus (MCV) genotypes. ​The analytical sensitivity (ASe) and analytical specificity (ASp) of four real-time PCR assays, including two previously reported assays (Kawato-2 and Mohr), targeting the major capsid protein gene were compared across the four MCV genotypes including infectious spleen and kidney necrosis virus (ISKNV), red sea bream iridovirus (RSIV), turbot reddish body iridovirus (TRBIV), and threespine stickleback iridovirus (TSIV). ​The four assays were tested using artificially synthesized plasmids containing seven different representative nucleotide sequences of the target region from the genotypes. ​The ASe and ASp for the detection of each MCV genotype differed between assays while the three assays other than Kawato-2 detected all ISKNV, RSIV, and TRBIV targets to a detection limit of approximately 2 plasmid copies per reaction. ​Diagnostic capability of each assay was validated using spontaneously RSIV-infected Japanese amberjack Seriola quinqueradiata. ​Diagnostic sensitivity in the dead fish of RSIV infection was equivalent among the four assays. ​However, in the asymptomatic fish, the detection rate of Cummins assay was higher than that of Kawato-1 assay and had equivalent sensitivity to previously reported assays. ​Thus, in addition to screening with synthesized plasmids, diagnostic capability of the assays should be tested using fish infected with the other MCV genotypes depending on target of host and the viral genotypes.","container-title":"Fish Pathology","DOI":"10.3147/jsfp.56.177","issue":"4","page":"177-186","source":"J-Stage","title":"Development of New Real-time PCR Assays for Detecting &lt;i&gt;Megalocytivirus&lt;/i&gt; Across Multiple Genotypes","volume":"56","author":[{"family":"Kawato","given":"Yasuhiko"},{"family":"Cummins","given":"David M."},{"family":"Valdeter","given":"Stacey"},{"family":"Mohr","given":"Peter G."},{"family":"Ito","given":"Takafumi"},{"family":"Mizuno","given":"Kaori"},{"family":"Kawakami","given":"Hidemasa"},{"family":"Williams","given":"Lynette M."},{"family":"Crane","given":"Mark St J."},{"family":"Moody","given":"Nicholas J. G."}],"issued":{"date-parts":[["2021"]]}}}],"schema":"https://github.com/citation-style-language/schema/raw/master/csl-citation.json"} </w:instrText>
            </w:r>
            <w:r>
              <w:rPr>
                <w:rFonts w:ascii="Times New Roman" w:hAnsi="Times New Roman" w:cs="Times New Roman"/>
                <w:szCs w:val="22"/>
              </w:rPr>
              <w:fldChar w:fldCharType="separate"/>
            </w:r>
            <w:r w:rsidR="00E43491" w:rsidRPr="00E43491">
              <w:rPr>
                <w:rFonts w:ascii="Times New Roman" w:hAnsi="Times New Roman" w:cs="Times New Roman"/>
              </w:rPr>
              <w:t>(</w:t>
            </w:r>
            <w:proofErr w:type="spellStart"/>
            <w:r w:rsidR="00E43491" w:rsidRPr="00E43491">
              <w:rPr>
                <w:rFonts w:ascii="Times New Roman" w:hAnsi="Times New Roman" w:cs="Times New Roman"/>
              </w:rPr>
              <w:t>Kawato</w:t>
            </w:r>
            <w:proofErr w:type="spellEnd"/>
            <w:r w:rsidR="00E43491" w:rsidRPr="00E43491">
              <w:rPr>
                <w:rFonts w:ascii="Times New Roman" w:hAnsi="Times New Roman" w:cs="Times New Roman"/>
              </w:rPr>
              <w:t xml:space="preserve"> et al., 2021)</w:t>
            </w:r>
            <w:r>
              <w:rPr>
                <w:rFonts w:ascii="Times New Roman" w:hAnsi="Times New Roman" w:cs="Times New Roman"/>
                <w:szCs w:val="22"/>
              </w:rPr>
              <w:fldChar w:fldCharType="end"/>
            </w:r>
          </w:p>
        </w:tc>
      </w:tr>
      <w:tr w:rsidR="00E93343" w:rsidRPr="000477BD" w14:paraId="5B9ADAA3" w14:textId="77777777" w:rsidTr="000477BD">
        <w:tc>
          <w:tcPr>
            <w:tcW w:w="2070" w:type="dxa"/>
          </w:tcPr>
          <w:p w14:paraId="4612965D" w14:textId="77777777" w:rsidR="00E93343" w:rsidRPr="000477BD" w:rsidRDefault="00E93343" w:rsidP="004914B4">
            <w:pPr>
              <w:rPr>
                <w:rFonts w:ascii="Times New Roman" w:hAnsi="Times New Roman" w:cs="Times New Roman"/>
                <w:i/>
                <w:iCs/>
                <w:szCs w:val="22"/>
              </w:rPr>
            </w:pPr>
            <w:r w:rsidRPr="000477BD">
              <w:rPr>
                <w:rFonts w:ascii="Times New Roman" w:hAnsi="Times New Roman" w:cs="Times New Roman"/>
                <w:i/>
                <w:iCs/>
                <w:szCs w:val="22"/>
              </w:rPr>
              <w:t>F. orientalis -</w:t>
            </w:r>
            <w:r w:rsidRPr="000477BD">
              <w:rPr>
                <w:rFonts w:ascii="Times New Roman" w:hAnsi="Times New Roman" w:cs="Times New Roman"/>
                <w:szCs w:val="22"/>
              </w:rPr>
              <w:t>hypothetical protein (</w:t>
            </w:r>
            <w:r w:rsidRPr="000477BD">
              <w:rPr>
                <w:rFonts w:ascii="Times New Roman" w:hAnsi="Times New Roman" w:cs="Times New Roman"/>
                <w:i/>
                <w:szCs w:val="22"/>
              </w:rPr>
              <w:t>HP</w:t>
            </w:r>
            <w:r w:rsidRPr="000477BD">
              <w:rPr>
                <w:rFonts w:ascii="Times New Roman" w:hAnsi="Times New Roman" w:cs="Times New Roman"/>
                <w:szCs w:val="22"/>
              </w:rPr>
              <w:t>) gene</w:t>
            </w:r>
          </w:p>
        </w:tc>
        <w:tc>
          <w:tcPr>
            <w:tcW w:w="3742" w:type="dxa"/>
          </w:tcPr>
          <w:p w14:paraId="521F5AA8" w14:textId="77777777" w:rsidR="00E93343" w:rsidRPr="000477BD" w:rsidRDefault="00E93343" w:rsidP="004914B4">
            <w:pPr>
              <w:rPr>
                <w:rFonts w:ascii="Times New Roman" w:hAnsi="Times New Roman" w:cs="Times New Roman"/>
                <w:szCs w:val="22"/>
              </w:rPr>
            </w:pPr>
            <w:r w:rsidRPr="000477BD">
              <w:rPr>
                <w:rFonts w:ascii="Times New Roman" w:hAnsi="Times New Roman" w:cs="Times New Roman"/>
                <w:szCs w:val="22"/>
              </w:rPr>
              <w:t>Francis-n-o-</w:t>
            </w:r>
            <w:proofErr w:type="gramStart"/>
            <w:r w:rsidRPr="000477BD">
              <w:rPr>
                <w:rFonts w:ascii="Times New Roman" w:hAnsi="Times New Roman" w:cs="Times New Roman"/>
                <w:szCs w:val="22"/>
              </w:rPr>
              <w:t>F1;</w:t>
            </w:r>
            <w:proofErr w:type="gramEnd"/>
            <w:r w:rsidRPr="000477BD">
              <w:rPr>
                <w:rFonts w:ascii="Times New Roman" w:hAnsi="Times New Roman" w:cs="Times New Roman"/>
                <w:szCs w:val="22"/>
              </w:rPr>
              <w:t xml:space="preserve"> </w:t>
            </w:r>
          </w:p>
          <w:p w14:paraId="17E5B5F3" w14:textId="77777777" w:rsidR="00E93343" w:rsidRPr="000477BD" w:rsidRDefault="00E93343" w:rsidP="004914B4">
            <w:pPr>
              <w:rPr>
                <w:rFonts w:ascii="Times New Roman" w:hAnsi="Times New Roman" w:cs="Times New Roman"/>
                <w:szCs w:val="22"/>
              </w:rPr>
            </w:pPr>
            <w:r w:rsidRPr="000477BD">
              <w:rPr>
                <w:rFonts w:ascii="Times New Roman" w:hAnsi="Times New Roman" w:cs="Times New Roman"/>
                <w:szCs w:val="22"/>
              </w:rPr>
              <w:t>GGCGTAACTCCTTTTAGCTTCC</w:t>
            </w:r>
          </w:p>
          <w:p w14:paraId="6281F9BA" w14:textId="77777777" w:rsidR="00E93343" w:rsidRPr="000477BD" w:rsidRDefault="00E93343" w:rsidP="004914B4">
            <w:pPr>
              <w:rPr>
                <w:rFonts w:ascii="Times New Roman" w:hAnsi="Times New Roman" w:cs="Times New Roman"/>
                <w:szCs w:val="22"/>
              </w:rPr>
            </w:pPr>
            <w:r w:rsidRPr="000477BD">
              <w:rPr>
                <w:rFonts w:ascii="Times New Roman" w:hAnsi="Times New Roman" w:cs="Times New Roman"/>
                <w:szCs w:val="22"/>
              </w:rPr>
              <w:t>Francis-n-o-</w:t>
            </w:r>
            <w:proofErr w:type="gramStart"/>
            <w:r w:rsidRPr="000477BD">
              <w:rPr>
                <w:rFonts w:ascii="Times New Roman" w:hAnsi="Times New Roman" w:cs="Times New Roman"/>
                <w:szCs w:val="22"/>
              </w:rPr>
              <w:t>R1;</w:t>
            </w:r>
            <w:proofErr w:type="gramEnd"/>
            <w:r w:rsidRPr="000477BD">
              <w:rPr>
                <w:rFonts w:ascii="Times New Roman" w:hAnsi="Times New Roman" w:cs="Times New Roman"/>
                <w:szCs w:val="22"/>
              </w:rPr>
              <w:t xml:space="preserve"> </w:t>
            </w:r>
          </w:p>
          <w:p w14:paraId="2F56353B" w14:textId="77777777" w:rsidR="00E93343" w:rsidRPr="000477BD" w:rsidRDefault="00E93343" w:rsidP="004914B4">
            <w:pPr>
              <w:rPr>
                <w:rFonts w:ascii="Times New Roman" w:hAnsi="Times New Roman" w:cs="Times New Roman"/>
                <w:szCs w:val="22"/>
              </w:rPr>
            </w:pPr>
            <w:r w:rsidRPr="000477BD">
              <w:rPr>
                <w:rFonts w:ascii="Times New Roman" w:hAnsi="Times New Roman" w:cs="Times New Roman"/>
                <w:szCs w:val="22"/>
              </w:rPr>
              <w:t xml:space="preserve">TTAGAGGAGCTTGGAAAAGCA </w:t>
            </w:r>
          </w:p>
        </w:tc>
        <w:tc>
          <w:tcPr>
            <w:tcW w:w="851" w:type="dxa"/>
          </w:tcPr>
          <w:p w14:paraId="1944D80D" w14:textId="77777777" w:rsidR="00E93343" w:rsidRPr="000477BD" w:rsidRDefault="00E93343" w:rsidP="004914B4">
            <w:pPr>
              <w:jc w:val="center"/>
              <w:rPr>
                <w:rFonts w:ascii="Times New Roman" w:hAnsi="Times New Roman" w:cs="Times New Roman"/>
                <w:szCs w:val="22"/>
              </w:rPr>
            </w:pPr>
            <w:r w:rsidRPr="000477BD">
              <w:rPr>
                <w:rFonts w:ascii="Times New Roman" w:hAnsi="Times New Roman" w:cs="Times New Roman"/>
                <w:szCs w:val="22"/>
              </w:rPr>
              <w:t>59.3</w:t>
            </w:r>
          </w:p>
          <w:p w14:paraId="0121265F" w14:textId="77777777" w:rsidR="00E93343" w:rsidRPr="000477BD" w:rsidRDefault="00E93343" w:rsidP="004914B4">
            <w:pPr>
              <w:jc w:val="center"/>
              <w:rPr>
                <w:rFonts w:ascii="Times New Roman" w:hAnsi="Times New Roman" w:cs="Times New Roman"/>
                <w:szCs w:val="22"/>
              </w:rPr>
            </w:pPr>
          </w:p>
          <w:p w14:paraId="6FC9AE1A" w14:textId="77777777" w:rsidR="00E93343" w:rsidRPr="000477BD" w:rsidRDefault="00E93343" w:rsidP="004914B4">
            <w:pPr>
              <w:jc w:val="center"/>
              <w:rPr>
                <w:rFonts w:ascii="Times New Roman" w:hAnsi="Times New Roman" w:cs="Times New Roman"/>
                <w:szCs w:val="22"/>
              </w:rPr>
            </w:pPr>
            <w:r w:rsidRPr="000477BD">
              <w:rPr>
                <w:rFonts w:ascii="Times New Roman" w:hAnsi="Times New Roman" w:cs="Times New Roman"/>
                <w:szCs w:val="22"/>
              </w:rPr>
              <w:t>57.2</w:t>
            </w:r>
          </w:p>
        </w:tc>
        <w:tc>
          <w:tcPr>
            <w:tcW w:w="850" w:type="dxa"/>
            <w:vAlign w:val="center"/>
          </w:tcPr>
          <w:p w14:paraId="27290001" w14:textId="77777777" w:rsidR="00E93343" w:rsidRPr="000477BD" w:rsidRDefault="00E93343" w:rsidP="004914B4">
            <w:pPr>
              <w:jc w:val="center"/>
              <w:rPr>
                <w:rFonts w:ascii="Times New Roman" w:hAnsi="Times New Roman" w:cs="Times New Roman"/>
                <w:szCs w:val="22"/>
              </w:rPr>
            </w:pPr>
            <w:r w:rsidRPr="000477BD">
              <w:rPr>
                <w:rFonts w:ascii="Times New Roman" w:hAnsi="Times New Roman" w:cs="Times New Roman"/>
                <w:szCs w:val="22"/>
              </w:rPr>
              <w:t>203</w:t>
            </w:r>
          </w:p>
        </w:tc>
        <w:tc>
          <w:tcPr>
            <w:tcW w:w="1843" w:type="dxa"/>
            <w:vAlign w:val="center"/>
          </w:tcPr>
          <w:p w14:paraId="6AF1DC3C" w14:textId="0C241485" w:rsidR="00E93343" w:rsidRPr="000477BD" w:rsidRDefault="0024245E" w:rsidP="00E43491">
            <w:pPr>
              <w:rPr>
                <w:rFonts w:ascii="Times New Roman" w:hAnsi="Times New Roman" w:cs="Times New Roman"/>
                <w:szCs w:val="22"/>
              </w:rPr>
            </w:pPr>
            <w:r>
              <w:rPr>
                <w:rFonts w:ascii="Times New Roman" w:hAnsi="Times New Roman" w:cs="Times New Roman"/>
                <w:szCs w:val="22"/>
              </w:rPr>
              <w:fldChar w:fldCharType="begin"/>
            </w:r>
            <w:r w:rsidR="00E43491">
              <w:rPr>
                <w:rFonts w:ascii="Times New Roman" w:hAnsi="Times New Roman" w:cs="Times New Roman"/>
                <w:szCs w:val="22"/>
              </w:rPr>
              <w:instrText xml:space="preserve"> ADDIN ZOTERO_ITEM CSL_CITATION {"citationID":"ISSRp3o3","properties":{"formattedCitation":"(Dong et al., 2016)","plainCitation":"(Dong et al., 2016)","noteIndex":0},"citationItems":[{"id":4839,"uris":["http://zotero.org/groups/5085102/items/YEP4ZW8N"],"itemData":{"id":4839,"type":"article-journal","abstract":"Conventional isolation and identification based on phenotypic characteristics is challenging with the highly fastidious, intracellular bacterium Francisella noatunensis subsp. orientalis (Fno). Here, we developed a duplex PCR method for simultaneous detection of the Francisella genus and Fno in one PCR reaction and an in situ hybridization method for paraffin section based diagnosis of Fno. The PCR results showed genus- and species-specific bands (1140 and 203 bp) from Fno but only one genus-specific band (1140 bp) from F. noatunensis subsp. noatunensis. Sensitivity of the duplex PCR assay revealed a detection limit of 20 to 200 fg genomic DNA (~10 to 100 genome equivalents) depending on DNA template extraction methods. The newly developed duplex PCR assay could be used to detect Fno from clinically sick fish exhibiting signs of visceral granulomas and would also be able to detect Fno infection in naturally diseased fish without symptoms of francisellosis, indicating potential application for diagnosis of field samples. The in situ hybridization assay using Fno species-specific probe revealed positive signals in multiple organs including the spleen, liver, kidney, gills and intestine of infected fish.","container-title":"Diseases of Aquatic Organisms","DOI":"10.3354/dao03021","ISSN":"0177-5103","issue":"1","journalAbbreviation":"Dis Aquat Organ","language":"eng","note":"PMID: 27304869","page":"39-47","source":"PubMed","title":"Duplex PCR assay and in situ hybridization for detection of Francisella spp. and Francisella noatunensis subsp. orientalis in red tilapia","volume":"120","author":[{"family":"Dong","given":"Ha T."},{"family":"Gangnonngiw","given":"Warachin"},{"family":"Phiwsaiya","given":"Kornsunee"},{"family":"Charoensapsri","given":"Walaiporn"},{"family":"Nguyen","given":"Vuong V."},{"family":"Nilsen","given":"Pål"},{"family":"Pradeep","given":"Padmaja J."},{"family":"Withyachumnarnkul","given":"Boonsirm"},{"family":"Senapin","given":"Saengchan"},{"family":"Rodkhum","given":"Channarong"}],"issued":{"date-parts":[["2016",6,15]]}}}],"schema":"https://github.com/citation-style-language/schema/raw/master/csl-citation.json"} </w:instrText>
            </w:r>
            <w:r>
              <w:rPr>
                <w:rFonts w:ascii="Times New Roman" w:hAnsi="Times New Roman" w:cs="Times New Roman"/>
                <w:szCs w:val="22"/>
              </w:rPr>
              <w:fldChar w:fldCharType="separate"/>
            </w:r>
            <w:r w:rsidR="00E43491" w:rsidRPr="00E43491">
              <w:rPr>
                <w:rFonts w:ascii="Times New Roman" w:hAnsi="Times New Roman" w:cs="Times New Roman"/>
              </w:rPr>
              <w:t>(Dong et al., 2016)</w:t>
            </w:r>
            <w:r>
              <w:rPr>
                <w:rFonts w:ascii="Times New Roman" w:hAnsi="Times New Roman" w:cs="Times New Roman"/>
                <w:szCs w:val="22"/>
              </w:rPr>
              <w:fldChar w:fldCharType="end"/>
            </w:r>
          </w:p>
        </w:tc>
      </w:tr>
      <w:tr w:rsidR="00E93343" w:rsidRPr="000477BD" w14:paraId="3295F979" w14:textId="77777777" w:rsidTr="000477BD">
        <w:tc>
          <w:tcPr>
            <w:tcW w:w="2070" w:type="dxa"/>
          </w:tcPr>
          <w:p w14:paraId="5EC28E55" w14:textId="77777777" w:rsidR="00E93343" w:rsidRPr="000477BD" w:rsidRDefault="00E93343" w:rsidP="004914B4">
            <w:pPr>
              <w:rPr>
                <w:rFonts w:ascii="Times New Roman" w:hAnsi="Times New Roman" w:cs="Times New Roman"/>
                <w:i/>
                <w:iCs/>
                <w:szCs w:val="22"/>
              </w:rPr>
            </w:pPr>
            <w:r w:rsidRPr="000477BD">
              <w:rPr>
                <w:rFonts w:ascii="Times New Roman" w:hAnsi="Times New Roman" w:cs="Times New Roman"/>
                <w:i/>
                <w:iCs/>
                <w:szCs w:val="22"/>
              </w:rPr>
              <w:t xml:space="preserve">S. agalactiae - </w:t>
            </w:r>
            <w:proofErr w:type="spellStart"/>
            <w:r w:rsidRPr="000477BD">
              <w:rPr>
                <w:rFonts w:ascii="Times New Roman" w:hAnsi="Times New Roman" w:cs="Times New Roman"/>
                <w:i/>
                <w:szCs w:val="22"/>
              </w:rPr>
              <w:t>groEL</w:t>
            </w:r>
            <w:proofErr w:type="spellEnd"/>
            <w:r w:rsidRPr="000477BD">
              <w:rPr>
                <w:rFonts w:ascii="Times New Roman" w:hAnsi="Times New Roman" w:cs="Times New Roman"/>
                <w:szCs w:val="22"/>
              </w:rPr>
              <w:t xml:space="preserve"> gene</w:t>
            </w:r>
          </w:p>
        </w:tc>
        <w:tc>
          <w:tcPr>
            <w:tcW w:w="3742" w:type="dxa"/>
          </w:tcPr>
          <w:p w14:paraId="68DB3B07" w14:textId="77777777" w:rsidR="00E93343" w:rsidRPr="000477BD" w:rsidRDefault="00E93343" w:rsidP="004914B4">
            <w:pPr>
              <w:rPr>
                <w:rFonts w:ascii="Times New Roman" w:hAnsi="Times New Roman" w:cs="Times New Roman"/>
                <w:szCs w:val="22"/>
              </w:rPr>
            </w:pPr>
            <w:r w:rsidRPr="000477BD">
              <w:rPr>
                <w:rFonts w:ascii="Times New Roman" w:hAnsi="Times New Roman" w:cs="Times New Roman"/>
                <w:szCs w:val="22"/>
              </w:rPr>
              <w:t xml:space="preserve">SagroEL2 </w:t>
            </w:r>
            <w:proofErr w:type="gramStart"/>
            <w:r w:rsidRPr="000477BD">
              <w:rPr>
                <w:rFonts w:ascii="Times New Roman" w:hAnsi="Times New Roman" w:cs="Times New Roman"/>
                <w:szCs w:val="22"/>
              </w:rPr>
              <w:t>F;</w:t>
            </w:r>
            <w:proofErr w:type="gramEnd"/>
            <w:r w:rsidRPr="000477BD">
              <w:rPr>
                <w:rFonts w:ascii="Times New Roman" w:hAnsi="Times New Roman" w:cs="Times New Roman"/>
                <w:szCs w:val="22"/>
              </w:rPr>
              <w:t xml:space="preserve"> </w:t>
            </w:r>
          </w:p>
          <w:p w14:paraId="3D7467D1" w14:textId="77777777" w:rsidR="00E93343" w:rsidRPr="000477BD" w:rsidRDefault="00E93343" w:rsidP="004914B4">
            <w:pPr>
              <w:rPr>
                <w:rFonts w:ascii="Times New Roman" w:hAnsi="Times New Roman" w:cs="Times New Roman"/>
                <w:szCs w:val="22"/>
              </w:rPr>
            </w:pPr>
            <w:r w:rsidRPr="000477BD">
              <w:rPr>
                <w:rFonts w:ascii="Times New Roman" w:hAnsi="Times New Roman" w:cs="Times New Roman"/>
                <w:szCs w:val="22"/>
              </w:rPr>
              <w:t>GCAAGTTTTAGGACAGTCTGCT</w:t>
            </w:r>
          </w:p>
          <w:p w14:paraId="35BF8276" w14:textId="77777777" w:rsidR="00E93343" w:rsidRPr="000477BD" w:rsidRDefault="00E93343" w:rsidP="004914B4">
            <w:pPr>
              <w:rPr>
                <w:rFonts w:ascii="Times New Roman" w:hAnsi="Times New Roman" w:cs="Times New Roman"/>
                <w:szCs w:val="22"/>
              </w:rPr>
            </w:pPr>
            <w:r w:rsidRPr="000477BD">
              <w:rPr>
                <w:rFonts w:ascii="Times New Roman" w:hAnsi="Times New Roman" w:cs="Times New Roman"/>
                <w:szCs w:val="22"/>
              </w:rPr>
              <w:t xml:space="preserve">SagroEL2 </w:t>
            </w:r>
            <w:proofErr w:type="gramStart"/>
            <w:r w:rsidRPr="000477BD">
              <w:rPr>
                <w:rFonts w:ascii="Times New Roman" w:hAnsi="Times New Roman" w:cs="Times New Roman"/>
                <w:szCs w:val="22"/>
              </w:rPr>
              <w:t>R;</w:t>
            </w:r>
            <w:proofErr w:type="gramEnd"/>
            <w:r w:rsidRPr="000477BD">
              <w:rPr>
                <w:rFonts w:ascii="Times New Roman" w:hAnsi="Times New Roman" w:cs="Times New Roman"/>
                <w:szCs w:val="22"/>
              </w:rPr>
              <w:t xml:space="preserve"> </w:t>
            </w:r>
          </w:p>
          <w:p w14:paraId="0EFCB1ED" w14:textId="77777777" w:rsidR="00E93343" w:rsidRPr="000477BD" w:rsidRDefault="00E93343" w:rsidP="004914B4">
            <w:pPr>
              <w:rPr>
                <w:rFonts w:ascii="Times New Roman" w:hAnsi="Times New Roman" w:cs="Times New Roman"/>
                <w:szCs w:val="22"/>
              </w:rPr>
            </w:pPr>
            <w:r w:rsidRPr="000477BD">
              <w:rPr>
                <w:rFonts w:ascii="Times New Roman" w:hAnsi="Times New Roman" w:cs="Times New Roman"/>
                <w:szCs w:val="22"/>
              </w:rPr>
              <w:t>AGTTTCAGTGCCGCTACTTT</w:t>
            </w:r>
          </w:p>
        </w:tc>
        <w:tc>
          <w:tcPr>
            <w:tcW w:w="851" w:type="dxa"/>
          </w:tcPr>
          <w:p w14:paraId="0F428866" w14:textId="77777777" w:rsidR="00E93343" w:rsidRPr="000477BD" w:rsidRDefault="00E93343" w:rsidP="004914B4">
            <w:pPr>
              <w:jc w:val="center"/>
              <w:rPr>
                <w:rFonts w:ascii="Times New Roman" w:hAnsi="Times New Roman" w:cs="Times New Roman"/>
                <w:szCs w:val="22"/>
              </w:rPr>
            </w:pPr>
            <w:r w:rsidRPr="000477BD">
              <w:rPr>
                <w:rFonts w:ascii="Times New Roman" w:hAnsi="Times New Roman" w:cs="Times New Roman"/>
                <w:szCs w:val="22"/>
              </w:rPr>
              <w:t>58.9</w:t>
            </w:r>
          </w:p>
          <w:p w14:paraId="0677667B" w14:textId="77777777" w:rsidR="00E93343" w:rsidRPr="000477BD" w:rsidRDefault="00E93343" w:rsidP="004914B4">
            <w:pPr>
              <w:jc w:val="center"/>
              <w:rPr>
                <w:rFonts w:ascii="Times New Roman" w:hAnsi="Times New Roman" w:cs="Times New Roman"/>
                <w:szCs w:val="22"/>
              </w:rPr>
            </w:pPr>
          </w:p>
          <w:p w14:paraId="2DA343B8" w14:textId="77777777" w:rsidR="00E93343" w:rsidRPr="000477BD" w:rsidRDefault="00E93343" w:rsidP="004914B4">
            <w:pPr>
              <w:jc w:val="center"/>
              <w:rPr>
                <w:rFonts w:ascii="Times New Roman" w:hAnsi="Times New Roman" w:cs="Times New Roman"/>
                <w:szCs w:val="22"/>
              </w:rPr>
            </w:pPr>
            <w:r w:rsidRPr="000477BD">
              <w:rPr>
                <w:rFonts w:ascii="Times New Roman" w:hAnsi="Times New Roman" w:cs="Times New Roman"/>
                <w:szCs w:val="22"/>
              </w:rPr>
              <w:t>57.7</w:t>
            </w:r>
          </w:p>
        </w:tc>
        <w:tc>
          <w:tcPr>
            <w:tcW w:w="850" w:type="dxa"/>
            <w:vAlign w:val="center"/>
          </w:tcPr>
          <w:p w14:paraId="6B69A4CF" w14:textId="77777777" w:rsidR="00E93343" w:rsidRPr="000477BD" w:rsidRDefault="00E93343" w:rsidP="004914B4">
            <w:pPr>
              <w:jc w:val="center"/>
              <w:rPr>
                <w:rFonts w:ascii="Times New Roman" w:hAnsi="Times New Roman" w:cs="Times New Roman"/>
                <w:szCs w:val="22"/>
              </w:rPr>
            </w:pPr>
            <w:r w:rsidRPr="000477BD">
              <w:rPr>
                <w:rFonts w:ascii="Times New Roman" w:hAnsi="Times New Roman" w:cs="Times New Roman"/>
                <w:szCs w:val="22"/>
              </w:rPr>
              <w:t>351</w:t>
            </w:r>
          </w:p>
        </w:tc>
        <w:tc>
          <w:tcPr>
            <w:tcW w:w="1843" w:type="dxa"/>
            <w:vAlign w:val="center"/>
          </w:tcPr>
          <w:p w14:paraId="4EE49787" w14:textId="30AB4B9C" w:rsidR="00E93343" w:rsidRPr="000477BD" w:rsidRDefault="00761650" w:rsidP="00E43491">
            <w:pPr>
              <w:rPr>
                <w:rFonts w:ascii="Times New Roman" w:hAnsi="Times New Roman" w:cs="Times New Roman"/>
                <w:szCs w:val="22"/>
              </w:rPr>
            </w:pPr>
            <w:r>
              <w:rPr>
                <w:rFonts w:ascii="Times New Roman" w:hAnsi="Times New Roman" w:cs="Times New Roman"/>
                <w:szCs w:val="22"/>
              </w:rPr>
              <w:fldChar w:fldCharType="begin"/>
            </w:r>
            <w:r w:rsidR="00E43491">
              <w:rPr>
                <w:rFonts w:ascii="Times New Roman" w:hAnsi="Times New Roman" w:cs="Times New Roman"/>
                <w:szCs w:val="22"/>
              </w:rPr>
              <w:instrText xml:space="preserve"> ADDIN ZOTERO_ITEM CSL_CITATION {"citationID":"ay6c9zVi","properties":{"formattedCitation":"(Leigh et al., 2018)","plainCitation":"(Leigh et al., 2018)","noteIndex":0},"citationItems":[{"id":4842,"uris":["http://zotero.org/groups/5085102/items/RSVD6HME"],"itemData":{"id":4842,"type":"article-journal","abstract":"AIMS: The aim of this study was to design a set of primers for specific detection and identification of Streptococcus agalactiae in polymerase chain reaction (PCR) that can detect a diverse range of S. agalactiae isolates from different hosts and that it is capable of discriminating between S. agalactiae and other species that are closely related or potentially present in aquaculture environments, notably Streptococcus iniae.\nMETHODS AND RESULTS: Primers, based on the groEL2 gene of S. agalactiae, were shown to be epidemiologically sensitive to 97 isolates of S. agalactiae, representing 11 clonal complexes derived from piscine, terrestrial and aquatic mammalian host species. The primers were tested with 10 S. iniae isolates and 22 other comparator species with no cross-reaction observed after optimization of reaction conditions. They have a high analytical sensitivity, detecting as few as 10 copies of S. agalactiae genomic DNA per reaction and are capable of detecting the target in DNA extracted from the brains of infected fish.\nCONCLUSIONS: The primers proved suitable for the sensitive and specific detection of S. agalactiae from dairy-, human- and fish-related origins by PCR.\nSIGNIFICANCE AND IMPACT OF THE STUDY: Due to the importance of S. agalactiae as a pathogen, many PCR primers have been published for this bacterium, designed largely for its detection in dairy and human samples, but many cross-reacting with S. iniae. The ability to differentiate between S. agalactiae and S. iniae in aquaculture derived samples is important as both infect fish, causing similar disease symptoms and are phenotypically similar, yet control strategies and zoonotic risk are species specific.","container-title":"Journal of Applied Microbiology","DOI":"10.1111/jam.13925","ISSN":"1365-2672","issue":"3","journalAbbreviation":"J Appl Microbiol","language":"eng","note":"PMID: 29786935","page":"666-674","source":"PubMed","title":"Evaluation of PCR primers targeting the groEL gene for the specific detection of Streptococcus agalactiae in the context of aquaculture","volume":"125","author":[{"family":"Leigh","given":"W. J."},{"family":"Zadoks","given":"R. N."},{"family":"Jaglarz","given":"A."},{"family":"Costa","given":"J. Z."},{"family":"Foster","given":"G."},{"family":"Thompson","given":"K. D."}],"issued":{"date-parts":[["2018",9]]}}}],"schema":"https://github.com/citation-style-language/schema/raw/master/csl-citation.json"} </w:instrText>
            </w:r>
            <w:r>
              <w:rPr>
                <w:rFonts w:ascii="Times New Roman" w:hAnsi="Times New Roman" w:cs="Times New Roman"/>
                <w:szCs w:val="22"/>
              </w:rPr>
              <w:fldChar w:fldCharType="separate"/>
            </w:r>
            <w:r w:rsidR="00E43491" w:rsidRPr="00E43491">
              <w:rPr>
                <w:rFonts w:ascii="Times New Roman" w:hAnsi="Times New Roman" w:cs="Times New Roman"/>
              </w:rPr>
              <w:t>(Leigh et al., 2018)</w:t>
            </w:r>
            <w:r>
              <w:rPr>
                <w:rFonts w:ascii="Times New Roman" w:hAnsi="Times New Roman" w:cs="Times New Roman"/>
                <w:szCs w:val="22"/>
              </w:rPr>
              <w:fldChar w:fldCharType="end"/>
            </w:r>
          </w:p>
        </w:tc>
      </w:tr>
    </w:tbl>
    <w:p w14:paraId="57262DC0" w14:textId="68421237" w:rsidR="00E93343" w:rsidRPr="000477BD" w:rsidRDefault="00E93343" w:rsidP="00E93343">
      <w:pPr>
        <w:spacing w:before="120" w:after="120"/>
        <w:jc w:val="both"/>
        <w:rPr>
          <w:rFonts w:ascii="Times New Roman" w:hAnsi="Times New Roman" w:cs="Times New Roman"/>
          <w:szCs w:val="22"/>
        </w:rPr>
      </w:pPr>
      <w:r w:rsidRPr="000477BD">
        <w:rPr>
          <w:rFonts w:ascii="Times New Roman" w:hAnsi="Times New Roman" w:cs="Times New Roman"/>
          <w:szCs w:val="22"/>
        </w:rPr>
        <w:t>Tm, melting temperature, bp, base pair</w:t>
      </w:r>
      <w:r w:rsidR="002D1F11" w:rsidRPr="000477BD">
        <w:rPr>
          <w:rFonts w:ascii="Times New Roman" w:hAnsi="Times New Roman" w:cs="Times New Roman"/>
          <w:szCs w:val="22"/>
        </w:rPr>
        <w:t>.</w:t>
      </w:r>
    </w:p>
    <w:p w14:paraId="4C9477C5" w14:textId="77777777" w:rsidR="00E43491" w:rsidRDefault="00E43491">
      <w:pPr>
        <w:rPr>
          <w:rFonts w:ascii="Times New Roman" w:hAnsi="Times New Roman" w:cs="Times New Roman"/>
          <w:b/>
          <w:bCs/>
          <w:szCs w:val="22"/>
        </w:rPr>
      </w:pPr>
    </w:p>
    <w:p w14:paraId="581C92DC" w14:textId="5833AE4F" w:rsidR="00E47AAA" w:rsidRDefault="00E43491" w:rsidP="00E43491">
      <w:pPr>
        <w:spacing w:line="240" w:lineRule="auto"/>
        <w:rPr>
          <w:rFonts w:ascii="Times New Roman" w:hAnsi="Times New Roman" w:cs="Times New Roman"/>
          <w:b/>
          <w:bCs/>
          <w:szCs w:val="22"/>
        </w:rPr>
      </w:pPr>
      <w:r>
        <w:rPr>
          <w:rFonts w:ascii="Times New Roman" w:hAnsi="Times New Roman" w:cs="Times New Roman"/>
          <w:b/>
          <w:bCs/>
          <w:szCs w:val="22"/>
        </w:rPr>
        <w:t xml:space="preserve">References: </w:t>
      </w:r>
      <w:r w:rsidR="00E93343" w:rsidRPr="000477BD">
        <w:rPr>
          <w:rFonts w:ascii="Times New Roman" w:hAnsi="Times New Roman" w:cs="Times New Roman"/>
          <w:b/>
          <w:bCs/>
          <w:szCs w:val="22"/>
        </w:rPr>
        <w:t xml:space="preserve"> </w:t>
      </w:r>
    </w:p>
    <w:p w14:paraId="01606B0A" w14:textId="77777777" w:rsidR="00E43491" w:rsidRPr="00E43491" w:rsidRDefault="009C608D" w:rsidP="00E43491">
      <w:pPr>
        <w:pStyle w:val="Bibliography"/>
        <w:spacing w:line="240" w:lineRule="auto"/>
        <w:rPr>
          <w:rFonts w:ascii="Times New Roman" w:hAnsi="Times New Roman" w:cs="Times New Roman"/>
        </w:rPr>
      </w:pPr>
      <w:r>
        <w:rPr>
          <w:b/>
          <w:bCs/>
          <w:szCs w:val="22"/>
        </w:rPr>
        <w:fldChar w:fldCharType="begin"/>
      </w:r>
      <w:r w:rsidR="00E43491">
        <w:rPr>
          <w:b/>
          <w:bCs/>
          <w:szCs w:val="22"/>
        </w:rPr>
        <w:instrText xml:space="preserve"> ADDIN ZOTERO_BIBL {"uncited":[],"omitted":[],"custom":[]} CSL_BIBLIOGRAPHY </w:instrText>
      </w:r>
      <w:r>
        <w:rPr>
          <w:b/>
          <w:bCs/>
          <w:szCs w:val="22"/>
        </w:rPr>
        <w:fldChar w:fldCharType="separate"/>
      </w:r>
      <w:r w:rsidR="00E43491" w:rsidRPr="00E43491">
        <w:rPr>
          <w:rFonts w:ascii="Times New Roman" w:hAnsi="Times New Roman" w:cs="Times New Roman"/>
        </w:rPr>
        <w:t xml:space="preserve">Dong HT, Gangnonngiw W, </w:t>
      </w:r>
      <w:proofErr w:type="spellStart"/>
      <w:r w:rsidR="00E43491" w:rsidRPr="00E43491">
        <w:rPr>
          <w:rFonts w:ascii="Times New Roman" w:hAnsi="Times New Roman" w:cs="Times New Roman"/>
        </w:rPr>
        <w:t>Phiwsaiya</w:t>
      </w:r>
      <w:proofErr w:type="spellEnd"/>
      <w:r w:rsidR="00E43491" w:rsidRPr="00E43491">
        <w:rPr>
          <w:rFonts w:ascii="Times New Roman" w:hAnsi="Times New Roman" w:cs="Times New Roman"/>
        </w:rPr>
        <w:t xml:space="preserve"> K, </w:t>
      </w:r>
      <w:proofErr w:type="spellStart"/>
      <w:r w:rsidR="00E43491" w:rsidRPr="00E43491">
        <w:rPr>
          <w:rFonts w:ascii="Times New Roman" w:hAnsi="Times New Roman" w:cs="Times New Roman"/>
        </w:rPr>
        <w:t>Charoensapsri</w:t>
      </w:r>
      <w:proofErr w:type="spellEnd"/>
      <w:r w:rsidR="00E43491" w:rsidRPr="00E43491">
        <w:rPr>
          <w:rFonts w:ascii="Times New Roman" w:hAnsi="Times New Roman" w:cs="Times New Roman"/>
        </w:rPr>
        <w:t xml:space="preserve"> W, Nguyen VV, Nilsen P, Pradeep PJ, </w:t>
      </w:r>
      <w:proofErr w:type="spellStart"/>
      <w:r w:rsidR="00E43491" w:rsidRPr="00E43491">
        <w:rPr>
          <w:rFonts w:ascii="Times New Roman" w:hAnsi="Times New Roman" w:cs="Times New Roman"/>
        </w:rPr>
        <w:t>Withyachumnarnkul</w:t>
      </w:r>
      <w:proofErr w:type="spellEnd"/>
      <w:r w:rsidR="00E43491" w:rsidRPr="00E43491">
        <w:rPr>
          <w:rFonts w:ascii="Times New Roman" w:hAnsi="Times New Roman" w:cs="Times New Roman"/>
        </w:rPr>
        <w:t xml:space="preserve"> B, Senapin S, Rodkhum C. 2016. Duplex PCR assay and in situ hybridization for detection of </w:t>
      </w:r>
      <w:proofErr w:type="spellStart"/>
      <w:r w:rsidR="00E43491" w:rsidRPr="00E43491">
        <w:rPr>
          <w:rFonts w:ascii="Times New Roman" w:hAnsi="Times New Roman" w:cs="Times New Roman"/>
        </w:rPr>
        <w:t>Francisella</w:t>
      </w:r>
      <w:proofErr w:type="spellEnd"/>
      <w:r w:rsidR="00E43491" w:rsidRPr="00E43491">
        <w:rPr>
          <w:rFonts w:ascii="Times New Roman" w:hAnsi="Times New Roman" w:cs="Times New Roman"/>
        </w:rPr>
        <w:t xml:space="preserve"> spp. and </w:t>
      </w:r>
      <w:proofErr w:type="spellStart"/>
      <w:r w:rsidR="00E43491" w:rsidRPr="00E43491">
        <w:rPr>
          <w:rFonts w:ascii="Times New Roman" w:hAnsi="Times New Roman" w:cs="Times New Roman"/>
        </w:rPr>
        <w:t>Francisella</w:t>
      </w:r>
      <w:proofErr w:type="spellEnd"/>
      <w:r w:rsidR="00E43491" w:rsidRPr="00E43491">
        <w:rPr>
          <w:rFonts w:ascii="Times New Roman" w:hAnsi="Times New Roman" w:cs="Times New Roman"/>
        </w:rPr>
        <w:t xml:space="preserve"> </w:t>
      </w:r>
      <w:proofErr w:type="spellStart"/>
      <w:r w:rsidR="00E43491" w:rsidRPr="00E43491">
        <w:rPr>
          <w:rFonts w:ascii="Times New Roman" w:hAnsi="Times New Roman" w:cs="Times New Roman"/>
        </w:rPr>
        <w:t>noatunensis</w:t>
      </w:r>
      <w:proofErr w:type="spellEnd"/>
      <w:r w:rsidR="00E43491" w:rsidRPr="00E43491">
        <w:rPr>
          <w:rFonts w:ascii="Times New Roman" w:hAnsi="Times New Roman" w:cs="Times New Roman"/>
        </w:rPr>
        <w:t xml:space="preserve"> subsp. orientalis in red tilapia. </w:t>
      </w:r>
      <w:r w:rsidR="00E43491" w:rsidRPr="00E43491">
        <w:rPr>
          <w:rFonts w:ascii="Times New Roman" w:hAnsi="Times New Roman" w:cs="Times New Roman"/>
          <w:i/>
          <w:iCs/>
        </w:rPr>
        <w:t>Diseases of Aquatic Organisms</w:t>
      </w:r>
      <w:r w:rsidR="00E43491" w:rsidRPr="00E43491">
        <w:rPr>
          <w:rFonts w:ascii="Times New Roman" w:hAnsi="Times New Roman" w:cs="Times New Roman"/>
        </w:rPr>
        <w:t xml:space="preserve"> 120:39–47. DOI: 10.3354/dao03021.</w:t>
      </w:r>
    </w:p>
    <w:p w14:paraId="6AF70392" w14:textId="77777777" w:rsidR="00E43491" w:rsidRPr="00E43491" w:rsidRDefault="00E43491" w:rsidP="00E43491">
      <w:pPr>
        <w:pStyle w:val="Bibliography"/>
        <w:spacing w:line="240" w:lineRule="auto"/>
        <w:rPr>
          <w:rFonts w:ascii="Times New Roman" w:hAnsi="Times New Roman" w:cs="Times New Roman"/>
        </w:rPr>
      </w:pPr>
      <w:proofErr w:type="spellStart"/>
      <w:r w:rsidRPr="00E43491">
        <w:rPr>
          <w:rFonts w:ascii="Times New Roman" w:hAnsi="Times New Roman" w:cs="Times New Roman"/>
        </w:rPr>
        <w:t>Kawato</w:t>
      </w:r>
      <w:proofErr w:type="spellEnd"/>
      <w:r w:rsidRPr="00E43491">
        <w:rPr>
          <w:rFonts w:ascii="Times New Roman" w:hAnsi="Times New Roman" w:cs="Times New Roman"/>
        </w:rPr>
        <w:t xml:space="preserve"> Y, Cummins DM, </w:t>
      </w:r>
      <w:proofErr w:type="spellStart"/>
      <w:r w:rsidRPr="00E43491">
        <w:rPr>
          <w:rFonts w:ascii="Times New Roman" w:hAnsi="Times New Roman" w:cs="Times New Roman"/>
        </w:rPr>
        <w:t>Valdeter</w:t>
      </w:r>
      <w:proofErr w:type="spellEnd"/>
      <w:r w:rsidRPr="00E43491">
        <w:rPr>
          <w:rFonts w:ascii="Times New Roman" w:hAnsi="Times New Roman" w:cs="Times New Roman"/>
        </w:rPr>
        <w:t xml:space="preserve"> S, Mohr PG, Ito T, Mizuno K, Kawakami H, Williams LM, Crane MSJ, Moody NJG. 2021. Development of New Real-time PCR Assays for Detecting </w:t>
      </w:r>
      <w:proofErr w:type="spellStart"/>
      <w:r w:rsidRPr="00E43491">
        <w:rPr>
          <w:rFonts w:ascii="Times New Roman" w:hAnsi="Times New Roman" w:cs="Times New Roman"/>
          <w:i/>
          <w:iCs/>
        </w:rPr>
        <w:t>Megalocytivirus</w:t>
      </w:r>
      <w:proofErr w:type="spellEnd"/>
      <w:r w:rsidRPr="00E43491">
        <w:rPr>
          <w:rFonts w:ascii="Times New Roman" w:hAnsi="Times New Roman" w:cs="Times New Roman"/>
        </w:rPr>
        <w:t xml:space="preserve"> Across Multiple Genotypes. </w:t>
      </w:r>
      <w:r w:rsidRPr="00E43491">
        <w:rPr>
          <w:rFonts w:ascii="Times New Roman" w:hAnsi="Times New Roman" w:cs="Times New Roman"/>
          <w:i/>
          <w:iCs/>
        </w:rPr>
        <w:t>Fish Pathology</w:t>
      </w:r>
      <w:r w:rsidRPr="00E43491">
        <w:rPr>
          <w:rFonts w:ascii="Times New Roman" w:hAnsi="Times New Roman" w:cs="Times New Roman"/>
        </w:rPr>
        <w:t xml:space="preserve"> 56:177–186. DOI: 10.3147/jsfp.56.177.</w:t>
      </w:r>
    </w:p>
    <w:p w14:paraId="2150E6F0" w14:textId="77777777" w:rsidR="00E43491" w:rsidRPr="00E43491" w:rsidRDefault="00E43491" w:rsidP="00E43491">
      <w:pPr>
        <w:pStyle w:val="Bibliography"/>
        <w:spacing w:line="240" w:lineRule="auto"/>
        <w:rPr>
          <w:rFonts w:ascii="Times New Roman" w:hAnsi="Times New Roman" w:cs="Times New Roman"/>
        </w:rPr>
      </w:pPr>
      <w:r w:rsidRPr="00E43491">
        <w:rPr>
          <w:rFonts w:ascii="Times New Roman" w:hAnsi="Times New Roman" w:cs="Times New Roman"/>
        </w:rPr>
        <w:t xml:space="preserve">Leigh WJ, Zadoks RN, </w:t>
      </w:r>
      <w:proofErr w:type="spellStart"/>
      <w:r w:rsidRPr="00E43491">
        <w:rPr>
          <w:rFonts w:ascii="Times New Roman" w:hAnsi="Times New Roman" w:cs="Times New Roman"/>
        </w:rPr>
        <w:t>Jaglarz</w:t>
      </w:r>
      <w:proofErr w:type="spellEnd"/>
      <w:r w:rsidRPr="00E43491">
        <w:rPr>
          <w:rFonts w:ascii="Times New Roman" w:hAnsi="Times New Roman" w:cs="Times New Roman"/>
        </w:rPr>
        <w:t xml:space="preserve"> A, Costa JZ, Foster G, Thompson KD. 2018. Evaluation of PCR primers targeting the </w:t>
      </w:r>
      <w:proofErr w:type="spellStart"/>
      <w:r w:rsidRPr="00E43491">
        <w:rPr>
          <w:rFonts w:ascii="Times New Roman" w:hAnsi="Times New Roman" w:cs="Times New Roman"/>
        </w:rPr>
        <w:t>groEL</w:t>
      </w:r>
      <w:proofErr w:type="spellEnd"/>
      <w:r w:rsidRPr="00E43491">
        <w:rPr>
          <w:rFonts w:ascii="Times New Roman" w:hAnsi="Times New Roman" w:cs="Times New Roman"/>
        </w:rPr>
        <w:t xml:space="preserve"> gene for the specific detection of Streptococcus agalactiae in the context of aquaculture. </w:t>
      </w:r>
      <w:r w:rsidRPr="00E43491">
        <w:rPr>
          <w:rFonts w:ascii="Times New Roman" w:hAnsi="Times New Roman" w:cs="Times New Roman"/>
          <w:i/>
          <w:iCs/>
        </w:rPr>
        <w:t>Journal of Applied Microbiology</w:t>
      </w:r>
      <w:r w:rsidRPr="00E43491">
        <w:rPr>
          <w:rFonts w:ascii="Times New Roman" w:hAnsi="Times New Roman" w:cs="Times New Roman"/>
        </w:rPr>
        <w:t xml:space="preserve"> 125:666–674. DOI: 10.1111/jam.13925.</w:t>
      </w:r>
    </w:p>
    <w:p w14:paraId="37B83D9C" w14:textId="77777777" w:rsidR="00E43491" w:rsidRPr="00E43491" w:rsidRDefault="00E43491" w:rsidP="00E43491">
      <w:pPr>
        <w:pStyle w:val="Bibliography"/>
        <w:spacing w:line="240" w:lineRule="auto"/>
        <w:rPr>
          <w:rFonts w:ascii="Times New Roman" w:hAnsi="Times New Roman" w:cs="Times New Roman"/>
        </w:rPr>
      </w:pPr>
      <w:proofErr w:type="spellStart"/>
      <w:r w:rsidRPr="00E43491">
        <w:rPr>
          <w:rFonts w:ascii="Times New Roman" w:hAnsi="Times New Roman" w:cs="Times New Roman"/>
        </w:rPr>
        <w:t>Taengphu</w:t>
      </w:r>
      <w:proofErr w:type="spellEnd"/>
      <w:r w:rsidRPr="00E43491">
        <w:rPr>
          <w:rFonts w:ascii="Times New Roman" w:hAnsi="Times New Roman" w:cs="Times New Roman"/>
        </w:rPr>
        <w:t xml:space="preserve"> S, </w:t>
      </w:r>
      <w:proofErr w:type="spellStart"/>
      <w:r w:rsidRPr="00E43491">
        <w:rPr>
          <w:rFonts w:ascii="Times New Roman" w:hAnsi="Times New Roman" w:cs="Times New Roman"/>
        </w:rPr>
        <w:t>Kayansamruaj</w:t>
      </w:r>
      <w:proofErr w:type="spellEnd"/>
      <w:r w:rsidRPr="00E43491">
        <w:rPr>
          <w:rFonts w:ascii="Times New Roman" w:hAnsi="Times New Roman" w:cs="Times New Roman"/>
        </w:rPr>
        <w:t xml:space="preserve"> P, </w:t>
      </w:r>
      <w:proofErr w:type="spellStart"/>
      <w:r w:rsidRPr="00E43491">
        <w:rPr>
          <w:rFonts w:ascii="Times New Roman" w:hAnsi="Times New Roman" w:cs="Times New Roman"/>
        </w:rPr>
        <w:t>Kawato</w:t>
      </w:r>
      <w:proofErr w:type="spellEnd"/>
      <w:r w:rsidRPr="00E43491">
        <w:rPr>
          <w:rFonts w:ascii="Times New Roman" w:hAnsi="Times New Roman" w:cs="Times New Roman"/>
        </w:rPr>
        <w:t xml:space="preserve"> Y, Delamare-Deboutteville J, Mohan CV, Dong HT, Senapin S. 2022. Concentration and quantification of Tilapia </w:t>
      </w:r>
      <w:proofErr w:type="spellStart"/>
      <w:r w:rsidRPr="00E43491">
        <w:rPr>
          <w:rFonts w:ascii="Times New Roman" w:hAnsi="Times New Roman" w:cs="Times New Roman"/>
        </w:rPr>
        <w:t>tilapinevirus</w:t>
      </w:r>
      <w:proofErr w:type="spellEnd"/>
      <w:r w:rsidRPr="00E43491">
        <w:rPr>
          <w:rFonts w:ascii="Times New Roman" w:hAnsi="Times New Roman" w:cs="Times New Roman"/>
        </w:rPr>
        <w:t xml:space="preserve"> from water using a simple iron flocculation coupled with probe-based RT-qPCR. </w:t>
      </w:r>
      <w:r w:rsidRPr="00E43491">
        <w:rPr>
          <w:rFonts w:ascii="Times New Roman" w:hAnsi="Times New Roman" w:cs="Times New Roman"/>
          <w:i/>
          <w:iCs/>
        </w:rPr>
        <w:t>PeerJ</w:t>
      </w:r>
      <w:r w:rsidRPr="00E43491">
        <w:rPr>
          <w:rFonts w:ascii="Times New Roman" w:hAnsi="Times New Roman" w:cs="Times New Roman"/>
        </w:rPr>
        <w:t xml:space="preserve"> </w:t>
      </w:r>
      <w:proofErr w:type="gramStart"/>
      <w:r w:rsidRPr="00E43491">
        <w:rPr>
          <w:rFonts w:ascii="Times New Roman" w:hAnsi="Times New Roman" w:cs="Times New Roman"/>
        </w:rPr>
        <w:t>10:e</w:t>
      </w:r>
      <w:proofErr w:type="gramEnd"/>
      <w:r w:rsidRPr="00E43491">
        <w:rPr>
          <w:rFonts w:ascii="Times New Roman" w:hAnsi="Times New Roman" w:cs="Times New Roman"/>
        </w:rPr>
        <w:t>13157. DOI: 10.7717/peerj.13157.</w:t>
      </w:r>
    </w:p>
    <w:p w14:paraId="48F89E89" w14:textId="1E4BD923" w:rsidR="009C608D" w:rsidRPr="000477BD" w:rsidRDefault="009C608D" w:rsidP="00E43491">
      <w:pPr>
        <w:spacing w:line="240" w:lineRule="auto"/>
        <w:rPr>
          <w:rFonts w:ascii="Times New Roman" w:hAnsi="Times New Roman" w:cs="Times New Roman"/>
          <w:b/>
          <w:bCs/>
          <w:szCs w:val="22"/>
        </w:rPr>
      </w:pPr>
      <w:r>
        <w:rPr>
          <w:rFonts w:ascii="Times New Roman" w:hAnsi="Times New Roman" w:cs="Times New Roman"/>
          <w:b/>
          <w:bCs/>
          <w:szCs w:val="22"/>
        </w:rPr>
        <w:lastRenderedPageBreak/>
        <w:fldChar w:fldCharType="end"/>
      </w:r>
    </w:p>
    <w:sectPr w:rsidR="009C608D" w:rsidRPr="000477BD" w:rsidSect="009C60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343"/>
    <w:rsid w:val="000212AF"/>
    <w:rsid w:val="000477BD"/>
    <w:rsid w:val="00065432"/>
    <w:rsid w:val="00096641"/>
    <w:rsid w:val="000E7F83"/>
    <w:rsid w:val="000F6E63"/>
    <w:rsid w:val="00135249"/>
    <w:rsid w:val="0019193D"/>
    <w:rsid w:val="0021798B"/>
    <w:rsid w:val="0024245E"/>
    <w:rsid w:val="002D1F11"/>
    <w:rsid w:val="002E511B"/>
    <w:rsid w:val="00336FD0"/>
    <w:rsid w:val="00362F99"/>
    <w:rsid w:val="003A3362"/>
    <w:rsid w:val="003B41A9"/>
    <w:rsid w:val="003B5F2D"/>
    <w:rsid w:val="00407274"/>
    <w:rsid w:val="00455347"/>
    <w:rsid w:val="004B067A"/>
    <w:rsid w:val="004F1222"/>
    <w:rsid w:val="005F55A5"/>
    <w:rsid w:val="006C4E66"/>
    <w:rsid w:val="006F1017"/>
    <w:rsid w:val="006F64ED"/>
    <w:rsid w:val="00761650"/>
    <w:rsid w:val="007E7B04"/>
    <w:rsid w:val="007F5FAA"/>
    <w:rsid w:val="008C4DE9"/>
    <w:rsid w:val="009003FC"/>
    <w:rsid w:val="009645C4"/>
    <w:rsid w:val="009A433C"/>
    <w:rsid w:val="009C608D"/>
    <w:rsid w:val="009C66D6"/>
    <w:rsid w:val="00A55B3B"/>
    <w:rsid w:val="00A6211F"/>
    <w:rsid w:val="00A8038C"/>
    <w:rsid w:val="00AD6170"/>
    <w:rsid w:val="00AF1FA8"/>
    <w:rsid w:val="00B5415A"/>
    <w:rsid w:val="00B73D29"/>
    <w:rsid w:val="00BA3DB2"/>
    <w:rsid w:val="00C74B9A"/>
    <w:rsid w:val="00C978C3"/>
    <w:rsid w:val="00CD71F8"/>
    <w:rsid w:val="00D060A8"/>
    <w:rsid w:val="00D14BF3"/>
    <w:rsid w:val="00D166C1"/>
    <w:rsid w:val="00E43491"/>
    <w:rsid w:val="00E47AAA"/>
    <w:rsid w:val="00E93343"/>
    <w:rsid w:val="00F4555F"/>
    <w:rsid w:val="00F6632F"/>
    <w:rsid w:val="00FB574A"/>
  </w:rsids>
  <m:mathPr>
    <m:mathFont m:val="Cambria Math"/>
    <m:brkBin m:val="before"/>
    <m:brkBinSub m:val="--"/>
    <m:smallFrac m:val="0"/>
    <m:dispDef/>
    <m:lMargin m:val="0"/>
    <m:rMargin m:val="0"/>
    <m:defJc m:val="centerGroup"/>
    <m:wrapIndent m:val="1440"/>
    <m:intLim m:val="subSup"/>
    <m:naryLim m:val="undOvr"/>
  </m:mathPr>
  <w:themeFontLang w:val="en-MY"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6CBA4"/>
  <w15:chartTrackingRefBased/>
  <w15:docId w15:val="{BAA9CE00-D100-4228-8054-D6F42345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343"/>
    <w:rPr>
      <w:szCs w:val="28"/>
      <w:lang w:val="en-US" w:bidi="th-T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3343"/>
    <w:pPr>
      <w:spacing w:after="0" w:line="240" w:lineRule="auto"/>
    </w:pPr>
    <w:rPr>
      <w:szCs w:val="28"/>
      <w:lang w:val="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E93343"/>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E93343"/>
    <w:rPr>
      <w:sz w:val="16"/>
      <w:szCs w:val="16"/>
    </w:rPr>
  </w:style>
  <w:style w:type="paragraph" w:styleId="CommentText">
    <w:name w:val="annotation text"/>
    <w:basedOn w:val="Normal"/>
    <w:link w:val="CommentTextChar"/>
    <w:uiPriority w:val="99"/>
    <w:unhideWhenUsed/>
    <w:rsid w:val="00E93343"/>
    <w:pPr>
      <w:spacing w:line="240" w:lineRule="auto"/>
    </w:pPr>
    <w:rPr>
      <w:sz w:val="20"/>
      <w:szCs w:val="25"/>
    </w:rPr>
  </w:style>
  <w:style w:type="character" w:customStyle="1" w:styleId="CommentTextChar">
    <w:name w:val="Comment Text Char"/>
    <w:basedOn w:val="DefaultParagraphFont"/>
    <w:link w:val="CommentText"/>
    <w:uiPriority w:val="99"/>
    <w:rsid w:val="00E93343"/>
    <w:rPr>
      <w:sz w:val="20"/>
      <w:szCs w:val="25"/>
      <w:lang w:val="en-US" w:bidi="th-TH"/>
    </w:rPr>
  </w:style>
  <w:style w:type="paragraph" w:styleId="BalloonText">
    <w:name w:val="Balloon Text"/>
    <w:basedOn w:val="Normal"/>
    <w:link w:val="BalloonTextChar"/>
    <w:uiPriority w:val="99"/>
    <w:semiHidden/>
    <w:unhideWhenUsed/>
    <w:rsid w:val="00E93343"/>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E93343"/>
    <w:rPr>
      <w:rFonts w:ascii="Segoe UI" w:hAnsi="Segoe UI" w:cs="Angsana New"/>
      <w:sz w:val="18"/>
      <w:lang w:val="en-US" w:bidi="th-TH"/>
    </w:rPr>
  </w:style>
  <w:style w:type="paragraph" w:styleId="Bibliography">
    <w:name w:val="Bibliography"/>
    <w:basedOn w:val="Normal"/>
    <w:next w:val="Normal"/>
    <w:uiPriority w:val="37"/>
    <w:unhideWhenUsed/>
    <w:rsid w:val="008C4DE9"/>
    <w:pPr>
      <w:spacing w:after="0" w:line="480" w:lineRule="auto"/>
      <w:ind w:left="720" w:hanging="720"/>
    </w:pPr>
    <w:rPr>
      <w:rFonts w:cs="Angsana New"/>
    </w:rPr>
  </w:style>
  <w:style w:type="paragraph" w:styleId="Revision">
    <w:name w:val="Revision"/>
    <w:hidden/>
    <w:uiPriority w:val="99"/>
    <w:semiHidden/>
    <w:rsid w:val="00A6211F"/>
    <w:pPr>
      <w:spacing w:after="0" w:line="240" w:lineRule="auto"/>
    </w:pPr>
    <w:rPr>
      <w:szCs w:val="28"/>
      <w:lang w:val="en-US" w:bidi="th-TH"/>
    </w:rPr>
  </w:style>
  <w:style w:type="paragraph" w:styleId="CommentSubject">
    <w:name w:val="annotation subject"/>
    <w:basedOn w:val="CommentText"/>
    <w:next w:val="CommentText"/>
    <w:link w:val="CommentSubjectChar"/>
    <w:uiPriority w:val="99"/>
    <w:semiHidden/>
    <w:unhideWhenUsed/>
    <w:rsid w:val="00A6211F"/>
    <w:rPr>
      <w:b/>
      <w:bCs/>
    </w:rPr>
  </w:style>
  <w:style w:type="character" w:customStyle="1" w:styleId="CommentSubjectChar">
    <w:name w:val="Comment Subject Char"/>
    <w:basedOn w:val="CommentTextChar"/>
    <w:link w:val="CommentSubject"/>
    <w:uiPriority w:val="99"/>
    <w:semiHidden/>
    <w:rsid w:val="00A6211F"/>
    <w:rPr>
      <w:b/>
      <w:bCs/>
      <w:sz w:val="20"/>
      <w:szCs w:val="25"/>
      <w:lang w:val="en-US" w:bidi="th-TH"/>
    </w:rPr>
  </w:style>
  <w:style w:type="character" w:styleId="Hyperlink">
    <w:name w:val="Hyperlink"/>
    <w:basedOn w:val="DefaultParagraphFont"/>
    <w:uiPriority w:val="99"/>
    <w:unhideWhenUsed/>
    <w:rsid w:val="00A621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A31F61FF64694CB5D7443A63557A50" ma:contentTypeVersion="15" ma:contentTypeDescription="Create a new document." ma:contentTypeScope="" ma:versionID="54adbb7d7dc897ed542390617197195b">
  <xsd:schema xmlns:xsd="http://www.w3.org/2001/XMLSchema" xmlns:xs="http://www.w3.org/2001/XMLSchema" xmlns:p="http://schemas.microsoft.com/office/2006/metadata/properties" xmlns:ns3="61feb29f-3a68-4503-a351-1aef844bf9e2" xmlns:ns4="2d60eb6b-9e26-4a9e-a12a-39b833c5bd52" targetNamespace="http://schemas.microsoft.com/office/2006/metadata/properties" ma:root="true" ma:fieldsID="e106cca2adf3243fea536c10822648b1" ns3:_="" ns4:_="">
    <xsd:import namespace="61feb29f-3a68-4503-a351-1aef844bf9e2"/>
    <xsd:import namespace="2d60eb6b-9e26-4a9e-a12a-39b833c5bd5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eb29f-3a68-4503-a351-1aef844bf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0eb6b-9e26-4a9e-a12a-39b833c5bd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1feb29f-3a68-4503-a351-1aef844bf9e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AAC160-E034-4947-A047-4FDCF76B2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eb29f-3a68-4503-a351-1aef844bf9e2"/>
    <ds:schemaRef ds:uri="2d60eb6b-9e26-4a9e-a12a-39b833c5b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56D7A6-F28E-4EC1-A35D-CAE2D911607C}">
  <ds:schemaRefs>
    <ds:schemaRef ds:uri="http://schemas.microsoft.com/office/2006/metadata/properties"/>
    <ds:schemaRef ds:uri="http://schemas.microsoft.com/office/infopath/2007/PartnerControls"/>
    <ds:schemaRef ds:uri="61feb29f-3a68-4503-a351-1aef844bf9e2"/>
  </ds:schemaRefs>
</ds:datastoreItem>
</file>

<file path=customXml/itemProps3.xml><?xml version="1.0" encoding="utf-8"?>
<ds:datastoreItem xmlns:ds="http://schemas.openxmlformats.org/officeDocument/2006/customXml" ds:itemID="{0CB1FE65-B96B-494A-84BF-961C4289D7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254</Words>
  <Characters>12913</Characters>
  <Application>Microsoft Office Word</Application>
  <DocSecurity>0</DocSecurity>
  <Lines>4304</Lines>
  <Paragraphs>3291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Delamare-Deboutteville, Jérôme (WorldFish)</dc:creator>
  <cp:keywords/>
  <dc:description/>
  <cp:lastModifiedBy>Delamare-Deboutteville, Jérôme (WorldFish)</cp:lastModifiedBy>
  <cp:revision>26</cp:revision>
  <dcterms:created xsi:type="dcterms:W3CDTF">2023-05-20T09:41:00Z</dcterms:created>
  <dcterms:modified xsi:type="dcterms:W3CDTF">2025-01-23T15:15:00Z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0x01010031A31F61FF64694CB5D7443A63557A50</vt:lpwstr>
  </property>
  <property fmtid="{D5CDD505-2E9C-101B-9397-08002B2CF9AE}" pid="3" name="ZOTERO_PREF_1">
    <vt:lpwstr>&lt;data data-version="3" zotero-version="6.0.36"&gt;&lt;session id="V5XVddnm"/&gt;&lt;style id="http://www.zotero.org/styles/peerj" hasBibliography="1" bibliographyStyleHasBeenSet="1"/&gt;&lt;prefs&gt;&lt;pref name="fieldType" value="Field"/&gt;&lt;/prefs&gt;&lt;/data&gt;</vt:lpwstr>
  </property>
</Properties>
</file>