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64386" w14:textId="07B5FCDC" w:rsidR="00E93343" w:rsidRPr="000477BD" w:rsidRDefault="00E47AAA" w:rsidP="00E93343">
      <w:pPr>
        <w:rPr>
          <w:rFonts w:ascii="Times New Roman" w:hAnsi="Times New Roman" w:cs="Times New Roman"/>
          <w:b/>
          <w:bCs/>
          <w:szCs w:val="22"/>
        </w:rPr>
      </w:pPr>
      <w:r w:rsidRPr="000477BD">
        <w:rPr>
          <w:rFonts w:ascii="Times New Roman" w:hAnsi="Times New Roman" w:cs="Times New Roman"/>
          <w:b/>
          <w:bCs/>
          <w:szCs w:val="22"/>
        </w:rPr>
        <w:t>Supplemental</w:t>
      </w:r>
      <w:r w:rsidR="00AD6170">
        <w:rPr>
          <w:rFonts w:ascii="Times New Roman" w:hAnsi="Times New Roman" w:cs="Times New Roman"/>
          <w:b/>
          <w:bCs/>
          <w:szCs w:val="22"/>
        </w:rPr>
        <w:t xml:space="preserve"> </w:t>
      </w:r>
      <w:r w:rsidRPr="000477BD">
        <w:rPr>
          <w:rFonts w:ascii="Times New Roman" w:hAnsi="Times New Roman" w:cs="Times New Roman"/>
          <w:b/>
          <w:bCs/>
          <w:szCs w:val="22"/>
        </w:rPr>
        <w:t>Table</w:t>
      </w:r>
      <w:r w:rsidR="00AD6170">
        <w:rPr>
          <w:rFonts w:ascii="Times New Roman" w:hAnsi="Times New Roman" w:cs="Times New Roman"/>
          <w:b/>
          <w:bCs/>
          <w:szCs w:val="22"/>
        </w:rPr>
        <w:t xml:space="preserve"> </w:t>
      </w:r>
      <w:r w:rsidR="00E93343" w:rsidRPr="000477BD">
        <w:rPr>
          <w:rFonts w:ascii="Times New Roman" w:hAnsi="Times New Roman" w:cs="Times New Roman"/>
          <w:b/>
          <w:bCs/>
          <w:szCs w:val="22"/>
        </w:rPr>
        <w:t xml:space="preserve">2. </w:t>
      </w:r>
      <w:r w:rsidR="00E93343" w:rsidRPr="000477BD">
        <w:rPr>
          <w:rFonts w:ascii="Times New Roman" w:hAnsi="Times New Roman" w:cs="Times New Roman"/>
          <w:szCs w:val="22"/>
        </w:rPr>
        <w:t xml:space="preserve">Sources of plasmid template used in sensitivity </w:t>
      </w:r>
      <w:r w:rsidR="003B41A9" w:rsidRPr="000477BD">
        <w:rPr>
          <w:rFonts w:ascii="Times New Roman" w:hAnsi="Times New Roman" w:cs="Times New Roman"/>
          <w:szCs w:val="22"/>
        </w:rPr>
        <w:t>assay.</w:t>
      </w:r>
    </w:p>
    <w:tbl>
      <w:tblPr>
        <w:tblStyle w:val="LightShading"/>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330"/>
        <w:gridCol w:w="3060"/>
      </w:tblGrid>
      <w:tr w:rsidR="00E93343" w:rsidRPr="000477BD" w14:paraId="6FF85463" w14:textId="77777777" w:rsidTr="002E5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top w:val="none" w:sz="0" w:space="0" w:color="auto"/>
              <w:left w:val="none" w:sz="0" w:space="0" w:color="auto"/>
              <w:bottom w:val="none" w:sz="0" w:space="0" w:color="auto"/>
              <w:right w:val="none" w:sz="0" w:space="0" w:color="auto"/>
            </w:tcBorders>
          </w:tcPr>
          <w:p w14:paraId="6B896164" w14:textId="77777777" w:rsidR="00E93343" w:rsidRPr="000477BD" w:rsidRDefault="00E93343" w:rsidP="002E511B">
            <w:pPr>
              <w:spacing w:line="360" w:lineRule="auto"/>
              <w:rPr>
                <w:rFonts w:ascii="Times New Roman" w:hAnsi="Times New Roman" w:cs="Times New Roman"/>
                <w:szCs w:val="22"/>
                <w:u w:val="single"/>
              </w:rPr>
            </w:pPr>
            <w:r w:rsidRPr="000477BD">
              <w:rPr>
                <w:rFonts w:ascii="Times New Roman" w:hAnsi="Times New Roman" w:cs="Times New Roman"/>
                <w:szCs w:val="22"/>
              </w:rPr>
              <w:t>Pathogen</w:t>
            </w:r>
          </w:p>
        </w:tc>
        <w:tc>
          <w:tcPr>
            <w:tcW w:w="3330" w:type="dxa"/>
            <w:tcBorders>
              <w:top w:val="none" w:sz="0" w:space="0" w:color="auto"/>
              <w:left w:val="none" w:sz="0" w:space="0" w:color="auto"/>
              <w:bottom w:val="none" w:sz="0" w:space="0" w:color="auto"/>
              <w:right w:val="none" w:sz="0" w:space="0" w:color="auto"/>
            </w:tcBorders>
          </w:tcPr>
          <w:p w14:paraId="106A20F5" w14:textId="77777777" w:rsidR="00E93343" w:rsidRPr="000477BD" w:rsidRDefault="00E93343" w:rsidP="002E511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477BD">
              <w:rPr>
                <w:rFonts w:ascii="Times New Roman" w:hAnsi="Times New Roman" w:cs="Times New Roman"/>
                <w:szCs w:val="22"/>
              </w:rPr>
              <w:t>Description</w:t>
            </w:r>
          </w:p>
        </w:tc>
        <w:tc>
          <w:tcPr>
            <w:tcW w:w="3060" w:type="dxa"/>
            <w:tcBorders>
              <w:top w:val="none" w:sz="0" w:space="0" w:color="auto"/>
              <w:left w:val="none" w:sz="0" w:space="0" w:color="auto"/>
              <w:bottom w:val="none" w:sz="0" w:space="0" w:color="auto"/>
              <w:right w:val="none" w:sz="0" w:space="0" w:color="auto"/>
            </w:tcBorders>
          </w:tcPr>
          <w:p w14:paraId="527F1292" w14:textId="77777777" w:rsidR="00E93343" w:rsidRPr="000477BD" w:rsidRDefault="00E93343" w:rsidP="002E511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u w:val="single"/>
              </w:rPr>
            </w:pPr>
            <w:r w:rsidRPr="000477BD">
              <w:rPr>
                <w:rFonts w:ascii="Times New Roman" w:hAnsi="Times New Roman" w:cs="Times New Roman"/>
                <w:szCs w:val="22"/>
              </w:rPr>
              <w:t>Reference</w:t>
            </w:r>
          </w:p>
        </w:tc>
      </w:tr>
      <w:tr w:rsidR="00E93343" w:rsidRPr="000477BD" w14:paraId="5CAFA0A9" w14:textId="77777777" w:rsidTr="002E5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left w:val="none" w:sz="0" w:space="0" w:color="auto"/>
              <w:right w:val="none" w:sz="0" w:space="0" w:color="auto"/>
            </w:tcBorders>
            <w:shd w:val="clear" w:color="auto" w:fill="FFFFFF" w:themeFill="background1"/>
          </w:tcPr>
          <w:p w14:paraId="24CA42A4" w14:textId="77777777" w:rsidR="00E93343" w:rsidRPr="000477BD" w:rsidRDefault="00E93343" w:rsidP="002E511B">
            <w:pPr>
              <w:spacing w:line="360" w:lineRule="auto"/>
              <w:rPr>
                <w:rFonts w:ascii="Times New Roman" w:hAnsi="Times New Roman" w:cs="Times New Roman"/>
                <w:b w:val="0"/>
                <w:bCs w:val="0"/>
                <w:szCs w:val="22"/>
                <w:u w:val="single"/>
              </w:rPr>
            </w:pPr>
            <w:r w:rsidRPr="000477BD">
              <w:rPr>
                <w:rFonts w:ascii="Times New Roman" w:hAnsi="Times New Roman" w:cs="Times New Roman"/>
                <w:b w:val="0"/>
                <w:bCs w:val="0"/>
                <w:szCs w:val="22"/>
              </w:rPr>
              <w:t>TiLV</w:t>
            </w:r>
          </w:p>
        </w:tc>
        <w:tc>
          <w:tcPr>
            <w:tcW w:w="3330" w:type="dxa"/>
            <w:tcBorders>
              <w:left w:val="none" w:sz="0" w:space="0" w:color="auto"/>
              <w:right w:val="none" w:sz="0" w:space="0" w:color="auto"/>
            </w:tcBorders>
            <w:shd w:val="clear" w:color="auto" w:fill="FFFFFF" w:themeFill="background1"/>
          </w:tcPr>
          <w:p w14:paraId="7E6B5DF9" w14:textId="77777777" w:rsidR="00E93343" w:rsidRPr="000477BD" w:rsidRDefault="00E93343" w:rsidP="002E511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u w:val="single"/>
              </w:rPr>
            </w:pPr>
            <w:r w:rsidRPr="000477BD">
              <w:rPr>
                <w:rFonts w:ascii="Times New Roman" w:hAnsi="Times New Roman" w:cs="Times New Roman"/>
                <w:szCs w:val="22"/>
              </w:rPr>
              <w:t>Segment 9 (351 bp)/</w:t>
            </w:r>
            <w:proofErr w:type="spellStart"/>
            <w:r w:rsidRPr="000477BD">
              <w:rPr>
                <w:rFonts w:ascii="Times New Roman" w:hAnsi="Times New Roman" w:cs="Times New Roman"/>
                <w:szCs w:val="22"/>
              </w:rPr>
              <w:t>pGEM</w:t>
            </w:r>
            <w:proofErr w:type="spellEnd"/>
            <w:r w:rsidRPr="000477BD">
              <w:rPr>
                <w:rFonts w:ascii="Times New Roman" w:hAnsi="Times New Roman" w:cs="Times New Roman"/>
                <w:szCs w:val="22"/>
              </w:rPr>
              <w:t>-T easy</w:t>
            </w:r>
          </w:p>
        </w:tc>
        <w:tc>
          <w:tcPr>
            <w:tcW w:w="3060" w:type="dxa"/>
            <w:tcBorders>
              <w:left w:val="none" w:sz="0" w:space="0" w:color="auto"/>
              <w:right w:val="none" w:sz="0" w:space="0" w:color="auto"/>
            </w:tcBorders>
            <w:shd w:val="clear" w:color="auto" w:fill="FFFFFF" w:themeFill="background1"/>
          </w:tcPr>
          <w:p w14:paraId="780115D6" w14:textId="79E707AD" w:rsidR="00E93343" w:rsidRPr="000477BD" w:rsidRDefault="00F6632F" w:rsidP="002E511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u w:val="single"/>
              </w:rPr>
            </w:pPr>
            <w:r>
              <w:rPr>
                <w:rFonts w:ascii="Times New Roman" w:hAnsi="Times New Roman" w:cs="Times New Roman"/>
                <w:b/>
                <w:bCs/>
                <w:szCs w:val="22"/>
                <w:u w:val="single"/>
              </w:rPr>
              <w:fldChar w:fldCharType="begin"/>
            </w:r>
            <w:r w:rsidR="00744CAF">
              <w:rPr>
                <w:rFonts w:ascii="Times New Roman" w:hAnsi="Times New Roman" w:cs="Times New Roman"/>
                <w:b/>
                <w:bCs/>
                <w:szCs w:val="22"/>
                <w:u w:val="single"/>
              </w:rPr>
              <w:instrText xml:space="preserve"> ADDIN ZOTERO_ITEM CSL_CITATION {"citationID":"SHYhthCn","properties":{"formattedCitation":"(Thawornwattana et al., 2021)","plainCitation":"(Thawornwattana et al., 2021)","noteIndex":0},"citationItems":[{"id":4774,"uris":["http://zotero.org/groups/5081309/items/A2V9LMRK"],"itemData":{"id":4774,"type":"article-journal","abstract":"Tilapia lake virus (TiLV) is an emerging virus that is rapidly spreading across the world. Over the past 6 years (2014–2020), TiLV outbreaks had been reported in at least 16 countries, spanning three continents, including Asia, Africa, and America. Despite its enormous economic impact, its origin, evolution and epidemiology are still largely poorly characterized. Here, we report eight TiLV whole-genome sequences from Thailand sampled between 2014 and 2019. Together with publicly available sequences from various regions of the world, we estimated the origin of TiLV to be between 2003 and 2009, 5–10 years before the first report of the virus in Israel in 2014. Our analyses consistently showed that TiLV started to spread in 2000s, and reached its peak in 2014–2016, matching well with the timing of its first report. From 2016 onwards, the global TiLV population declined steadily. This could be a result of herd immunity building up in the fish population, and/or a reflection of a better awareness of the virus coupled with a better and more cautious protocol of Tilapia importation. Despite the fact that we included all publicly available sequences, our analyses revealed long unsampled histories of TiLVs in many countries, especially towards its basal diversification. This result highlights the lack and the need for systematic surveillance of TiLV in fish.","container-title":"Transboundary and Emerging Diseases","DOI":"10.1111/tbed.13693","ISSN":"1865-1682","issue":"2","language":"en","license":"© 2020 Blackwell Verlag GmbH","note":"_eprint: https://onlinelibrary.wiley.com/doi/pdf/10.1111/tbed.13693","page":"435-444","source":"Wiley Online Library","title":"Tilapia lake virus (TiLV): Genomic epidemiology and its early origin","title-short":"Tilapia lake virus (TiLV)","volume":"68","author":[{"family":"Thawornwattana","given":"Yuttapong"},{"family":"Dong","given":"Ha Thanh"},{"family":"Phiwsaiya","given":"Kornsunee"},{"family":"Sangsuriya","given":"Pakkakul"},{"family":"Senapin","given":"Saengchan"},{"family":"Aiewsakun","given":"Pakorn"}],"issued":{"date-parts":[["2021"]]}}}],"schema":"https://github.com/citation-style-language/schema/raw/master/csl-citation.json"} </w:instrText>
            </w:r>
            <w:r>
              <w:rPr>
                <w:rFonts w:ascii="Times New Roman" w:hAnsi="Times New Roman" w:cs="Times New Roman"/>
                <w:b/>
                <w:bCs/>
                <w:szCs w:val="22"/>
                <w:u w:val="single"/>
              </w:rPr>
              <w:fldChar w:fldCharType="separate"/>
            </w:r>
            <w:r w:rsidR="00744CAF" w:rsidRPr="00744CAF">
              <w:rPr>
                <w:rFonts w:ascii="Times New Roman" w:hAnsi="Times New Roman" w:cs="Times New Roman"/>
              </w:rPr>
              <w:t>(</w:t>
            </w:r>
            <w:proofErr w:type="spellStart"/>
            <w:r w:rsidR="00744CAF" w:rsidRPr="00744CAF">
              <w:rPr>
                <w:rFonts w:ascii="Times New Roman" w:hAnsi="Times New Roman" w:cs="Times New Roman"/>
              </w:rPr>
              <w:t>Thawornwattana</w:t>
            </w:r>
            <w:proofErr w:type="spellEnd"/>
            <w:r w:rsidR="00744CAF" w:rsidRPr="00744CAF">
              <w:rPr>
                <w:rFonts w:ascii="Times New Roman" w:hAnsi="Times New Roman" w:cs="Times New Roman"/>
              </w:rPr>
              <w:t xml:space="preserve"> et al., 2021)</w:t>
            </w:r>
            <w:r>
              <w:rPr>
                <w:rFonts w:ascii="Times New Roman" w:hAnsi="Times New Roman" w:cs="Times New Roman"/>
                <w:b/>
                <w:bCs/>
                <w:szCs w:val="22"/>
                <w:u w:val="single"/>
              </w:rPr>
              <w:fldChar w:fldCharType="end"/>
            </w:r>
          </w:p>
        </w:tc>
      </w:tr>
      <w:tr w:rsidR="00E93343" w:rsidRPr="000477BD" w14:paraId="3603CE83" w14:textId="77777777" w:rsidTr="002E511B">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58B35F37" w14:textId="77777777" w:rsidR="00E93343" w:rsidRPr="000477BD" w:rsidRDefault="00E93343" w:rsidP="002E511B">
            <w:pPr>
              <w:spacing w:line="360" w:lineRule="auto"/>
              <w:rPr>
                <w:rFonts w:ascii="Times New Roman" w:hAnsi="Times New Roman" w:cs="Times New Roman"/>
                <w:b w:val="0"/>
                <w:bCs w:val="0"/>
                <w:szCs w:val="22"/>
                <w:u w:val="single"/>
              </w:rPr>
            </w:pPr>
            <w:r w:rsidRPr="000477BD">
              <w:rPr>
                <w:rFonts w:ascii="Times New Roman" w:hAnsi="Times New Roman" w:cs="Times New Roman"/>
                <w:b w:val="0"/>
                <w:bCs w:val="0"/>
                <w:szCs w:val="22"/>
              </w:rPr>
              <w:t>ISKNV</w:t>
            </w:r>
          </w:p>
        </w:tc>
        <w:tc>
          <w:tcPr>
            <w:tcW w:w="3330" w:type="dxa"/>
            <w:shd w:val="clear" w:color="auto" w:fill="FFFFFF" w:themeFill="background1"/>
          </w:tcPr>
          <w:p w14:paraId="7458A96D" w14:textId="77777777" w:rsidR="00E93343" w:rsidRPr="000477BD" w:rsidRDefault="00E93343" w:rsidP="002E511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0477BD">
              <w:rPr>
                <w:rFonts w:ascii="Times New Roman" w:hAnsi="Times New Roman" w:cs="Times New Roman"/>
                <w:szCs w:val="22"/>
              </w:rPr>
              <w:t>MCP (1,362 bp)/</w:t>
            </w:r>
            <w:proofErr w:type="spellStart"/>
            <w:r w:rsidRPr="000477BD">
              <w:rPr>
                <w:rFonts w:ascii="Times New Roman" w:hAnsi="Times New Roman" w:cs="Times New Roman"/>
                <w:szCs w:val="22"/>
              </w:rPr>
              <w:t>pGEM</w:t>
            </w:r>
            <w:proofErr w:type="spellEnd"/>
            <w:r w:rsidRPr="000477BD">
              <w:rPr>
                <w:rFonts w:ascii="Times New Roman" w:hAnsi="Times New Roman" w:cs="Times New Roman"/>
                <w:szCs w:val="22"/>
              </w:rPr>
              <w:t>-T easy</w:t>
            </w:r>
          </w:p>
        </w:tc>
        <w:tc>
          <w:tcPr>
            <w:tcW w:w="3060" w:type="dxa"/>
            <w:shd w:val="clear" w:color="auto" w:fill="FFFFFF" w:themeFill="background1"/>
          </w:tcPr>
          <w:p w14:paraId="0868C2BF" w14:textId="3E172806" w:rsidR="00E93343" w:rsidRPr="000477BD" w:rsidRDefault="006F64ED" w:rsidP="002E511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2"/>
                <w:highlight w:val="yellow"/>
                <w:u w:val="single"/>
              </w:rPr>
            </w:pPr>
            <w:r w:rsidRPr="009645C4">
              <w:rPr>
                <w:rFonts w:ascii="Times New Roman" w:hAnsi="Times New Roman" w:cs="Times New Roman"/>
                <w:b/>
                <w:bCs/>
                <w:szCs w:val="22"/>
                <w:u w:val="single"/>
              </w:rPr>
              <w:fldChar w:fldCharType="begin"/>
            </w:r>
            <w:r w:rsidR="00744CAF">
              <w:rPr>
                <w:rFonts w:ascii="Times New Roman" w:hAnsi="Times New Roman" w:cs="Times New Roman"/>
                <w:b/>
                <w:bCs/>
                <w:szCs w:val="22"/>
                <w:u w:val="single"/>
              </w:rPr>
              <w:instrText xml:space="preserve"> ADDIN ZOTERO_ITEM CSL_CITATION {"citationID":"47yJuD0P","properties":{"formattedCitation":"(Dong et al., 2017)","plainCitation":"(Dong et al., 2017)","noteIndex":0},"citationItems":[{"id":4296,"uris":["http://zotero.org/users/5346318/items/J5JAKBY8"],"itemData":{"id":4296,"type":"article-journal","abstract":"Emergence of a disease with clinical signs resembling megalocytivirus infection seriously affected large-scale barramundi farms in Vietnam in 2012-2014 with estimated losses reaching $435,810 per year. An oil-based, inactivated vaccine against red sea bream iridovirus (RSIV) was applied in one farm for disease prevention without analysis of the causative agent, and the farmer reported inadequate protection. Here we describe histological and molecular analysis of the diseased fish. PCR targeting the major capsid protein (MCP) of megalocytiviruses yielded an amplicon with high sequence identity to infectious spleen and kidney necrosis virus (ISKNV) genotype II previously reported from other marine fish but not barramundi. Detection of the virus was confirmed by positive in situ hybridization results with fish tissue lesions of the kidney, liver, pancreas, and brain of the PCR-positive samples. Based on the complete sequence of the MCP gene, the isolate showed 95.2% nucleotide sequence identity and 98.7% amino acid sequence identity (6 residue differences) with the MCP of RSIV. Prediction of antigenic determinants for MCP antigens indicated that the 6 residue differences would result in a significant difference in antigenicity of the two proteins. This was confirmed by automated homology modeling in which structure superimpositioning revealed several unique epitopes in the barramundi isolate. This probably accounted for the low efficiency of the RSIV vaccine when tested by the farmer.","container-title":"Fish &amp; Shellfish Immunology","DOI":"10.1016/j.fsi.2017.06.054","ISSN":"1095-9947","journalAbbreviation":"Fish Shellfish Immunol","language":"eng","note":"PMID: 28663128","page":"65-73","source":"PubMed","title":"Infectious spleen and kidney necrosis disease (ISKND) outbreaks in farmed barramundi (Lates calcarifer) in Vietnam","volume":"68","author":[{"family":"Dong","given":"H. T."},{"family":"Jitrakorn","given":"S."},{"family":"Kayansamruaj","given":"P."},{"family":"Pirarat","given":"N."},{"family":"Rodkhum","given":"C."},{"family":"Rattanarojpong","given":"T."},{"family":"Senapin","given":"S."},{"family":"Saksmerprome","given":"V."}],"issued":{"date-parts":[["2017",9]]}}}],"schema":"https://github.com/citation-style-language/schema/raw/master/csl-citation.json"} </w:instrText>
            </w:r>
            <w:r w:rsidRPr="009645C4">
              <w:rPr>
                <w:rFonts w:ascii="Times New Roman" w:hAnsi="Times New Roman" w:cs="Times New Roman"/>
                <w:b/>
                <w:bCs/>
                <w:szCs w:val="22"/>
                <w:u w:val="single"/>
              </w:rPr>
              <w:fldChar w:fldCharType="separate"/>
            </w:r>
            <w:r w:rsidR="00744CAF" w:rsidRPr="00744CAF">
              <w:rPr>
                <w:rFonts w:ascii="Times New Roman" w:hAnsi="Times New Roman" w:cs="Times New Roman"/>
              </w:rPr>
              <w:t>(Dong et al., 2017)</w:t>
            </w:r>
            <w:r w:rsidRPr="009645C4">
              <w:rPr>
                <w:rFonts w:ascii="Times New Roman" w:hAnsi="Times New Roman" w:cs="Times New Roman"/>
                <w:b/>
                <w:bCs/>
                <w:szCs w:val="22"/>
                <w:u w:val="single"/>
              </w:rPr>
              <w:fldChar w:fldCharType="end"/>
            </w:r>
          </w:p>
        </w:tc>
      </w:tr>
      <w:tr w:rsidR="00E93343" w:rsidRPr="000477BD" w14:paraId="14CDFC3F" w14:textId="77777777" w:rsidTr="002E51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left w:val="none" w:sz="0" w:space="0" w:color="auto"/>
              <w:right w:val="none" w:sz="0" w:space="0" w:color="auto"/>
            </w:tcBorders>
            <w:shd w:val="clear" w:color="auto" w:fill="FFFFFF" w:themeFill="background1"/>
          </w:tcPr>
          <w:p w14:paraId="4B16491D" w14:textId="77777777" w:rsidR="00E93343" w:rsidRPr="000477BD" w:rsidRDefault="00E93343" w:rsidP="002E511B">
            <w:pPr>
              <w:spacing w:line="360" w:lineRule="auto"/>
              <w:rPr>
                <w:rFonts w:ascii="Times New Roman" w:hAnsi="Times New Roman" w:cs="Times New Roman"/>
                <w:b w:val="0"/>
                <w:bCs w:val="0"/>
                <w:szCs w:val="22"/>
                <w:u w:val="single"/>
              </w:rPr>
            </w:pPr>
            <w:r w:rsidRPr="000477BD">
              <w:rPr>
                <w:rFonts w:ascii="Times New Roman" w:hAnsi="Times New Roman" w:cs="Times New Roman"/>
                <w:b w:val="0"/>
                <w:bCs w:val="0"/>
                <w:i/>
                <w:iCs/>
                <w:szCs w:val="22"/>
              </w:rPr>
              <w:t>F. orientalis</w:t>
            </w:r>
          </w:p>
        </w:tc>
        <w:tc>
          <w:tcPr>
            <w:tcW w:w="3330" w:type="dxa"/>
            <w:tcBorders>
              <w:left w:val="none" w:sz="0" w:space="0" w:color="auto"/>
              <w:right w:val="none" w:sz="0" w:space="0" w:color="auto"/>
            </w:tcBorders>
            <w:shd w:val="clear" w:color="auto" w:fill="FFFFFF" w:themeFill="background1"/>
          </w:tcPr>
          <w:p w14:paraId="30FFA8FD" w14:textId="3E8C121F" w:rsidR="00E93343" w:rsidRPr="000477BD" w:rsidRDefault="00E93343" w:rsidP="002E511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u w:val="single"/>
              </w:rPr>
            </w:pPr>
            <w:r w:rsidRPr="000477BD">
              <w:rPr>
                <w:rFonts w:ascii="Times New Roman" w:hAnsi="Times New Roman" w:cs="Times New Roman"/>
                <w:szCs w:val="22"/>
              </w:rPr>
              <w:t>HP (203 bp)/</w:t>
            </w:r>
            <w:proofErr w:type="spellStart"/>
            <w:r w:rsidRPr="000477BD">
              <w:rPr>
                <w:rFonts w:ascii="Times New Roman" w:hAnsi="Times New Roman" w:cs="Times New Roman"/>
                <w:szCs w:val="22"/>
              </w:rPr>
              <w:t>pPerfect</w:t>
            </w:r>
            <w:proofErr w:type="spellEnd"/>
          </w:p>
        </w:tc>
        <w:tc>
          <w:tcPr>
            <w:tcW w:w="3060" w:type="dxa"/>
            <w:tcBorders>
              <w:left w:val="none" w:sz="0" w:space="0" w:color="auto"/>
              <w:right w:val="none" w:sz="0" w:space="0" w:color="auto"/>
            </w:tcBorders>
            <w:shd w:val="clear" w:color="auto" w:fill="FFFFFF" w:themeFill="background1"/>
          </w:tcPr>
          <w:p w14:paraId="5B02C860" w14:textId="7B2B5B2B" w:rsidR="00E93343" w:rsidRPr="000477BD" w:rsidRDefault="00C978C3" w:rsidP="002E511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u w:val="single"/>
              </w:rPr>
            </w:pPr>
            <w:r>
              <w:rPr>
                <w:rFonts w:ascii="Times New Roman" w:hAnsi="Times New Roman" w:cs="Times New Roman"/>
                <w:b/>
                <w:bCs/>
                <w:szCs w:val="22"/>
                <w:u w:val="single"/>
              </w:rPr>
              <w:fldChar w:fldCharType="begin"/>
            </w:r>
            <w:r w:rsidR="00744CAF">
              <w:rPr>
                <w:rFonts w:ascii="Times New Roman" w:hAnsi="Times New Roman" w:cs="Times New Roman"/>
                <w:b/>
                <w:bCs/>
                <w:szCs w:val="22"/>
                <w:u w:val="single"/>
              </w:rPr>
              <w:instrText xml:space="preserve"> ADDIN ZOTERO_ITEM CSL_CITATION {"citationID":"bwicuU9G","properties":{"formattedCitation":"(Dong et al., 2016)","plainCitation":"(Dong et al., 2016)","noteIndex":0},"citationItems":[{"id":4839,"uris":["http://zotero.org/groups/5085102/items/YEP4ZW8N"],"itemData":{"id":4839,"type":"article-journal","abstract":"Conventional isolation and identification based on phenotypic characteristics is challenging with the highly fastidious, intracellular bacterium Francisella noatunensis subsp. orientalis (Fno). Here, we developed a duplex PCR method for simultaneous detection of the Francisella genus and Fno in one PCR reaction and an in situ hybridization method for paraffin section based diagnosis of Fno. The PCR results showed genus- and species-specific bands (1140 and 203 bp) from Fno but only one genus-specific band (1140 bp) from F. noatunensis subsp. noatunensis. Sensitivity of the duplex PCR assay revealed a detection limit of 20 to 200 fg genomic DNA (~10 to 100 genome equivalents) depending on DNA template extraction methods. The newly developed duplex PCR assay could be used to detect Fno from clinically sick fish exhibiting signs of visceral granulomas and would also be able to detect Fno infection in naturally diseased fish without symptoms of francisellosis, indicating potential application for diagnosis of field samples. The in situ hybridization assay using Fno species-specific probe revealed positive signals in multiple organs including the spleen, liver, kidney, gills and intestine of infected fish.","container-title":"Diseases of Aquatic Organisms","DOI":"10.3354/dao03021","ISSN":"0177-5103","issue":"1","journalAbbreviation":"Dis Aquat Organ","language":"eng","note":"PMID: 27304869","page":"39-47","source":"PubMed","title":"Duplex PCR assay and in situ hybridization for detection of Francisella spp. and Francisella noatunensis subsp. orientalis in red tilapia","volume":"120","author":[{"family":"Dong","given":"Ha T."},{"family":"Gangnonngiw","given":"Warachin"},{"family":"Phiwsaiya","given":"Kornsunee"},{"family":"Charoensapsri","given":"Walaiporn"},{"family":"Nguyen","given":"Vuong V."},{"family":"Nilsen","given":"Pål"},{"family":"Pradeep","given":"Padmaja J."},{"family":"Withyachumnarnkul","given":"Boonsirm"},{"family":"Senapin","given":"Saengchan"},{"family":"Rodkhum","given":"Channarong"}],"issued":{"date-parts":[["2016",6,15]]}}}],"schema":"https://github.com/citation-style-language/schema/raw/master/csl-citation.json"} </w:instrText>
            </w:r>
            <w:r>
              <w:rPr>
                <w:rFonts w:ascii="Times New Roman" w:hAnsi="Times New Roman" w:cs="Times New Roman"/>
                <w:b/>
                <w:bCs/>
                <w:szCs w:val="22"/>
                <w:u w:val="single"/>
              </w:rPr>
              <w:fldChar w:fldCharType="separate"/>
            </w:r>
            <w:r w:rsidR="00744CAF" w:rsidRPr="00744CAF">
              <w:rPr>
                <w:rFonts w:ascii="Times New Roman" w:hAnsi="Times New Roman" w:cs="Times New Roman"/>
              </w:rPr>
              <w:t>(Dong et al., 2016)</w:t>
            </w:r>
            <w:r>
              <w:rPr>
                <w:rFonts w:ascii="Times New Roman" w:hAnsi="Times New Roman" w:cs="Times New Roman"/>
                <w:b/>
                <w:bCs/>
                <w:szCs w:val="22"/>
                <w:u w:val="single"/>
              </w:rPr>
              <w:fldChar w:fldCharType="end"/>
            </w:r>
          </w:p>
        </w:tc>
      </w:tr>
      <w:tr w:rsidR="00E93343" w:rsidRPr="000477BD" w14:paraId="2F19D2F7" w14:textId="77777777" w:rsidTr="002E511B">
        <w:tc>
          <w:tcPr>
            <w:cnfStyle w:val="001000000000" w:firstRow="0" w:lastRow="0" w:firstColumn="1" w:lastColumn="0" w:oddVBand="0" w:evenVBand="0" w:oddHBand="0" w:evenHBand="0" w:firstRowFirstColumn="0" w:firstRowLastColumn="0" w:lastRowFirstColumn="0" w:lastRowLastColumn="0"/>
            <w:tcW w:w="2160" w:type="dxa"/>
          </w:tcPr>
          <w:p w14:paraId="3D52A98B" w14:textId="1F3A39C0" w:rsidR="00E93343" w:rsidRPr="000477BD" w:rsidRDefault="00E93343" w:rsidP="002E511B">
            <w:pPr>
              <w:spacing w:line="360" w:lineRule="auto"/>
              <w:rPr>
                <w:rFonts w:ascii="Times New Roman" w:hAnsi="Times New Roman" w:cs="Times New Roman"/>
                <w:b w:val="0"/>
                <w:bCs w:val="0"/>
                <w:szCs w:val="22"/>
                <w:u w:val="single"/>
              </w:rPr>
            </w:pPr>
            <w:r w:rsidRPr="000477BD">
              <w:rPr>
                <w:rFonts w:ascii="Times New Roman" w:hAnsi="Times New Roman" w:cs="Times New Roman"/>
                <w:b w:val="0"/>
                <w:bCs w:val="0"/>
                <w:i/>
                <w:iCs/>
                <w:szCs w:val="22"/>
              </w:rPr>
              <w:t>S. agalactiae</w:t>
            </w:r>
            <w:r w:rsidR="00336FD0">
              <w:rPr>
                <w:rFonts w:ascii="Times New Roman" w:hAnsi="Times New Roman" w:cs="Times New Roman"/>
                <w:b w:val="0"/>
                <w:bCs w:val="0"/>
                <w:i/>
                <w:iCs/>
                <w:szCs w:val="22"/>
              </w:rPr>
              <w:t xml:space="preserve"> </w:t>
            </w:r>
            <w:r w:rsidR="00336FD0" w:rsidRPr="002E511B">
              <w:rPr>
                <w:rFonts w:ascii="Times New Roman" w:hAnsi="Times New Roman" w:cs="Times New Roman"/>
                <w:b w:val="0"/>
                <w:bCs w:val="0"/>
                <w:szCs w:val="22"/>
              </w:rPr>
              <w:t>(SAG)</w:t>
            </w:r>
          </w:p>
        </w:tc>
        <w:tc>
          <w:tcPr>
            <w:tcW w:w="3330" w:type="dxa"/>
          </w:tcPr>
          <w:p w14:paraId="273F1D3A" w14:textId="21B828FA" w:rsidR="00E93343" w:rsidRPr="000477BD" w:rsidRDefault="00E93343" w:rsidP="002E511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2"/>
                <w:u w:val="single"/>
              </w:rPr>
            </w:pPr>
            <w:proofErr w:type="spellStart"/>
            <w:r w:rsidRPr="000477BD">
              <w:rPr>
                <w:rFonts w:ascii="Times New Roman" w:hAnsi="Times New Roman" w:cs="Times New Roman"/>
                <w:szCs w:val="22"/>
              </w:rPr>
              <w:t>groEL</w:t>
            </w:r>
            <w:proofErr w:type="spellEnd"/>
            <w:r w:rsidRPr="000477BD">
              <w:rPr>
                <w:rFonts w:ascii="Times New Roman" w:hAnsi="Times New Roman" w:cs="Times New Roman"/>
                <w:szCs w:val="22"/>
              </w:rPr>
              <w:t xml:space="preserve"> (351 bp)/</w:t>
            </w:r>
            <w:proofErr w:type="spellStart"/>
            <w:r w:rsidR="00065432">
              <w:rPr>
                <w:rFonts w:ascii="Times New Roman" w:hAnsi="Times New Roman" w:cs="Times New Roman"/>
                <w:szCs w:val="22"/>
              </w:rPr>
              <w:t>p</w:t>
            </w:r>
            <w:r w:rsidRPr="000477BD">
              <w:rPr>
                <w:rFonts w:ascii="Times New Roman" w:hAnsi="Times New Roman" w:cs="Times New Roman"/>
                <w:szCs w:val="22"/>
              </w:rPr>
              <w:t>GEM</w:t>
            </w:r>
            <w:proofErr w:type="spellEnd"/>
            <w:r w:rsidRPr="000477BD">
              <w:rPr>
                <w:rFonts w:ascii="Times New Roman" w:hAnsi="Times New Roman" w:cs="Times New Roman"/>
                <w:szCs w:val="22"/>
              </w:rPr>
              <w:t>-T easy</w:t>
            </w:r>
          </w:p>
        </w:tc>
        <w:tc>
          <w:tcPr>
            <w:tcW w:w="3060" w:type="dxa"/>
          </w:tcPr>
          <w:p w14:paraId="3B510AD8" w14:textId="77777777" w:rsidR="00E93343" w:rsidRPr="000477BD" w:rsidRDefault="00E93343" w:rsidP="002E511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2"/>
                <w:u w:val="single"/>
              </w:rPr>
            </w:pPr>
            <w:r w:rsidRPr="000477BD">
              <w:rPr>
                <w:rFonts w:ascii="Times New Roman" w:hAnsi="Times New Roman" w:cs="Times New Roman"/>
                <w:szCs w:val="22"/>
              </w:rPr>
              <w:t>This study</w:t>
            </w:r>
          </w:p>
        </w:tc>
      </w:tr>
    </w:tbl>
    <w:p w14:paraId="0CBF270C" w14:textId="77777777" w:rsidR="00E93343" w:rsidRPr="000477BD" w:rsidRDefault="00E93343" w:rsidP="00E93343">
      <w:pPr>
        <w:rPr>
          <w:rFonts w:ascii="Times New Roman" w:hAnsi="Times New Roman" w:cs="Times New Roman"/>
          <w:b/>
          <w:bCs/>
          <w:szCs w:val="22"/>
          <w:u w:val="single"/>
        </w:rPr>
      </w:pPr>
    </w:p>
    <w:p w14:paraId="3B0057F1" w14:textId="77777777" w:rsidR="008D5DE9" w:rsidRPr="008D5DE9" w:rsidRDefault="008D5DE9" w:rsidP="00744CAF">
      <w:pPr>
        <w:pStyle w:val="Bibliography"/>
        <w:rPr>
          <w:rFonts w:ascii="Times New Roman" w:hAnsi="Times New Roman" w:cs="Times New Roman"/>
          <w:b/>
          <w:bCs/>
        </w:rPr>
      </w:pPr>
      <w:r w:rsidRPr="008D5DE9">
        <w:rPr>
          <w:rFonts w:ascii="Times New Roman" w:hAnsi="Times New Roman" w:cs="Times New Roman"/>
          <w:b/>
          <w:bCs/>
        </w:rPr>
        <w:t xml:space="preserve">References </w:t>
      </w:r>
    </w:p>
    <w:p w14:paraId="1BB64A41" w14:textId="0D5CC50E" w:rsidR="00744CAF" w:rsidRPr="00744CAF" w:rsidRDefault="002E595C" w:rsidP="008D5DE9">
      <w:pPr>
        <w:pStyle w:val="Bibliography"/>
        <w:spacing w:line="240" w:lineRule="auto"/>
        <w:rPr>
          <w:rFonts w:ascii="Times New Roman" w:hAnsi="Times New Roman" w:cs="Times New Roman"/>
        </w:rPr>
      </w:pPr>
      <w:r>
        <w:fldChar w:fldCharType="begin"/>
      </w:r>
      <w:r w:rsidR="00744CAF">
        <w:instrText xml:space="preserve"> ADDIN ZOTERO_BIBL {"uncited":[],"omitted":[],"custom":[]} CSL_BIBLIOGRAPHY </w:instrText>
      </w:r>
      <w:r>
        <w:fldChar w:fldCharType="separate"/>
      </w:r>
      <w:r w:rsidR="00744CAF" w:rsidRPr="00744CAF">
        <w:rPr>
          <w:rFonts w:ascii="Times New Roman" w:hAnsi="Times New Roman" w:cs="Times New Roman"/>
        </w:rPr>
        <w:t xml:space="preserve">Dong HT, Gangnonngiw W, </w:t>
      </w:r>
      <w:proofErr w:type="spellStart"/>
      <w:r w:rsidR="00744CAF" w:rsidRPr="00744CAF">
        <w:rPr>
          <w:rFonts w:ascii="Times New Roman" w:hAnsi="Times New Roman" w:cs="Times New Roman"/>
        </w:rPr>
        <w:t>Phiwsaiya</w:t>
      </w:r>
      <w:proofErr w:type="spellEnd"/>
      <w:r w:rsidR="00744CAF" w:rsidRPr="00744CAF">
        <w:rPr>
          <w:rFonts w:ascii="Times New Roman" w:hAnsi="Times New Roman" w:cs="Times New Roman"/>
        </w:rPr>
        <w:t xml:space="preserve"> K, </w:t>
      </w:r>
      <w:proofErr w:type="spellStart"/>
      <w:r w:rsidR="00744CAF" w:rsidRPr="00744CAF">
        <w:rPr>
          <w:rFonts w:ascii="Times New Roman" w:hAnsi="Times New Roman" w:cs="Times New Roman"/>
        </w:rPr>
        <w:t>Charoensapsri</w:t>
      </w:r>
      <w:proofErr w:type="spellEnd"/>
      <w:r w:rsidR="00744CAF" w:rsidRPr="00744CAF">
        <w:rPr>
          <w:rFonts w:ascii="Times New Roman" w:hAnsi="Times New Roman" w:cs="Times New Roman"/>
        </w:rPr>
        <w:t xml:space="preserve"> W, Nguyen VV, Nilsen P, Pradeep PJ, </w:t>
      </w:r>
      <w:proofErr w:type="spellStart"/>
      <w:r w:rsidR="00744CAF" w:rsidRPr="00744CAF">
        <w:rPr>
          <w:rFonts w:ascii="Times New Roman" w:hAnsi="Times New Roman" w:cs="Times New Roman"/>
        </w:rPr>
        <w:t>Withyachumnarnkul</w:t>
      </w:r>
      <w:proofErr w:type="spellEnd"/>
      <w:r w:rsidR="00744CAF" w:rsidRPr="00744CAF">
        <w:rPr>
          <w:rFonts w:ascii="Times New Roman" w:hAnsi="Times New Roman" w:cs="Times New Roman"/>
        </w:rPr>
        <w:t xml:space="preserve"> B, Senapin S, Rodkhum C. 2016. Duplex PCR assay and in situ hybridization for detection of </w:t>
      </w:r>
      <w:proofErr w:type="spellStart"/>
      <w:r w:rsidR="00744CAF" w:rsidRPr="00744CAF">
        <w:rPr>
          <w:rFonts w:ascii="Times New Roman" w:hAnsi="Times New Roman" w:cs="Times New Roman"/>
        </w:rPr>
        <w:t>Francisella</w:t>
      </w:r>
      <w:proofErr w:type="spellEnd"/>
      <w:r w:rsidR="00744CAF" w:rsidRPr="00744CAF">
        <w:rPr>
          <w:rFonts w:ascii="Times New Roman" w:hAnsi="Times New Roman" w:cs="Times New Roman"/>
        </w:rPr>
        <w:t xml:space="preserve"> spp. and </w:t>
      </w:r>
      <w:proofErr w:type="spellStart"/>
      <w:r w:rsidR="00744CAF" w:rsidRPr="00744CAF">
        <w:rPr>
          <w:rFonts w:ascii="Times New Roman" w:hAnsi="Times New Roman" w:cs="Times New Roman"/>
        </w:rPr>
        <w:t>Francisella</w:t>
      </w:r>
      <w:proofErr w:type="spellEnd"/>
      <w:r w:rsidR="00744CAF" w:rsidRPr="00744CAF">
        <w:rPr>
          <w:rFonts w:ascii="Times New Roman" w:hAnsi="Times New Roman" w:cs="Times New Roman"/>
        </w:rPr>
        <w:t xml:space="preserve"> </w:t>
      </w:r>
      <w:proofErr w:type="spellStart"/>
      <w:r w:rsidR="00744CAF" w:rsidRPr="00744CAF">
        <w:rPr>
          <w:rFonts w:ascii="Times New Roman" w:hAnsi="Times New Roman" w:cs="Times New Roman"/>
        </w:rPr>
        <w:t>noatunensis</w:t>
      </w:r>
      <w:proofErr w:type="spellEnd"/>
      <w:r w:rsidR="00744CAF" w:rsidRPr="00744CAF">
        <w:rPr>
          <w:rFonts w:ascii="Times New Roman" w:hAnsi="Times New Roman" w:cs="Times New Roman"/>
        </w:rPr>
        <w:t xml:space="preserve"> subsp. orientalis in red tilapia. </w:t>
      </w:r>
      <w:r w:rsidR="00744CAF" w:rsidRPr="00744CAF">
        <w:rPr>
          <w:rFonts w:ascii="Times New Roman" w:hAnsi="Times New Roman" w:cs="Times New Roman"/>
          <w:i/>
          <w:iCs/>
        </w:rPr>
        <w:t>Diseases of Aquatic Organisms</w:t>
      </w:r>
      <w:r w:rsidR="00744CAF" w:rsidRPr="00744CAF">
        <w:rPr>
          <w:rFonts w:ascii="Times New Roman" w:hAnsi="Times New Roman" w:cs="Times New Roman"/>
        </w:rPr>
        <w:t xml:space="preserve"> 120:39–47. DOI: 10.3354/dao03021.</w:t>
      </w:r>
    </w:p>
    <w:p w14:paraId="3B4B6D04" w14:textId="77777777" w:rsidR="00744CAF" w:rsidRPr="00744CAF" w:rsidRDefault="00744CAF" w:rsidP="008D5DE9">
      <w:pPr>
        <w:pStyle w:val="Bibliography"/>
        <w:spacing w:line="240" w:lineRule="auto"/>
        <w:rPr>
          <w:rFonts w:ascii="Times New Roman" w:hAnsi="Times New Roman" w:cs="Times New Roman"/>
        </w:rPr>
      </w:pPr>
      <w:r w:rsidRPr="00744CAF">
        <w:rPr>
          <w:rFonts w:ascii="Times New Roman" w:hAnsi="Times New Roman" w:cs="Times New Roman"/>
        </w:rPr>
        <w:t xml:space="preserve">Dong HT, </w:t>
      </w:r>
      <w:proofErr w:type="spellStart"/>
      <w:r w:rsidRPr="00744CAF">
        <w:rPr>
          <w:rFonts w:ascii="Times New Roman" w:hAnsi="Times New Roman" w:cs="Times New Roman"/>
        </w:rPr>
        <w:t>Jitrakorn</w:t>
      </w:r>
      <w:proofErr w:type="spellEnd"/>
      <w:r w:rsidRPr="00744CAF">
        <w:rPr>
          <w:rFonts w:ascii="Times New Roman" w:hAnsi="Times New Roman" w:cs="Times New Roman"/>
        </w:rPr>
        <w:t xml:space="preserve"> S, </w:t>
      </w:r>
      <w:proofErr w:type="spellStart"/>
      <w:r w:rsidRPr="00744CAF">
        <w:rPr>
          <w:rFonts w:ascii="Times New Roman" w:hAnsi="Times New Roman" w:cs="Times New Roman"/>
        </w:rPr>
        <w:t>Kayansamruaj</w:t>
      </w:r>
      <w:proofErr w:type="spellEnd"/>
      <w:r w:rsidRPr="00744CAF">
        <w:rPr>
          <w:rFonts w:ascii="Times New Roman" w:hAnsi="Times New Roman" w:cs="Times New Roman"/>
        </w:rPr>
        <w:t xml:space="preserve"> P, </w:t>
      </w:r>
      <w:proofErr w:type="spellStart"/>
      <w:r w:rsidRPr="00744CAF">
        <w:rPr>
          <w:rFonts w:ascii="Times New Roman" w:hAnsi="Times New Roman" w:cs="Times New Roman"/>
        </w:rPr>
        <w:t>Pirarat</w:t>
      </w:r>
      <w:proofErr w:type="spellEnd"/>
      <w:r w:rsidRPr="00744CAF">
        <w:rPr>
          <w:rFonts w:ascii="Times New Roman" w:hAnsi="Times New Roman" w:cs="Times New Roman"/>
        </w:rPr>
        <w:t xml:space="preserve"> N, Rodkhum C, </w:t>
      </w:r>
      <w:proofErr w:type="spellStart"/>
      <w:r w:rsidRPr="00744CAF">
        <w:rPr>
          <w:rFonts w:ascii="Times New Roman" w:hAnsi="Times New Roman" w:cs="Times New Roman"/>
        </w:rPr>
        <w:t>Rattanarojpong</w:t>
      </w:r>
      <w:proofErr w:type="spellEnd"/>
      <w:r w:rsidRPr="00744CAF">
        <w:rPr>
          <w:rFonts w:ascii="Times New Roman" w:hAnsi="Times New Roman" w:cs="Times New Roman"/>
        </w:rPr>
        <w:t xml:space="preserve"> T, Senapin S, </w:t>
      </w:r>
      <w:proofErr w:type="spellStart"/>
      <w:r w:rsidRPr="00744CAF">
        <w:rPr>
          <w:rFonts w:ascii="Times New Roman" w:hAnsi="Times New Roman" w:cs="Times New Roman"/>
        </w:rPr>
        <w:t>Saksmerprome</w:t>
      </w:r>
      <w:proofErr w:type="spellEnd"/>
      <w:r w:rsidRPr="00744CAF">
        <w:rPr>
          <w:rFonts w:ascii="Times New Roman" w:hAnsi="Times New Roman" w:cs="Times New Roman"/>
        </w:rPr>
        <w:t xml:space="preserve"> V. 2017. Infectious spleen and kidney necrosis disease (ISKND) outbreaks in farmed barramundi (Lates calcarifer) in Vietnam. </w:t>
      </w:r>
      <w:r w:rsidRPr="00744CAF">
        <w:rPr>
          <w:rFonts w:ascii="Times New Roman" w:hAnsi="Times New Roman" w:cs="Times New Roman"/>
          <w:i/>
          <w:iCs/>
        </w:rPr>
        <w:t>Fish &amp; Shellfish Immunology</w:t>
      </w:r>
      <w:r w:rsidRPr="00744CAF">
        <w:rPr>
          <w:rFonts w:ascii="Times New Roman" w:hAnsi="Times New Roman" w:cs="Times New Roman"/>
        </w:rPr>
        <w:t xml:space="preserve"> 68:65–73. DOI: 10.1016/j.fsi.2017.06.054.</w:t>
      </w:r>
    </w:p>
    <w:p w14:paraId="57A1FE48" w14:textId="77777777" w:rsidR="00744CAF" w:rsidRPr="00744CAF" w:rsidRDefault="00744CAF" w:rsidP="008D5DE9">
      <w:pPr>
        <w:pStyle w:val="Bibliography"/>
        <w:spacing w:line="240" w:lineRule="auto"/>
        <w:rPr>
          <w:rFonts w:ascii="Times New Roman" w:hAnsi="Times New Roman" w:cs="Times New Roman"/>
        </w:rPr>
      </w:pPr>
      <w:proofErr w:type="spellStart"/>
      <w:r w:rsidRPr="00744CAF">
        <w:rPr>
          <w:rFonts w:ascii="Times New Roman" w:hAnsi="Times New Roman" w:cs="Times New Roman"/>
        </w:rPr>
        <w:t>Thawornwattana</w:t>
      </w:r>
      <w:proofErr w:type="spellEnd"/>
      <w:r w:rsidRPr="00744CAF">
        <w:rPr>
          <w:rFonts w:ascii="Times New Roman" w:hAnsi="Times New Roman" w:cs="Times New Roman"/>
        </w:rPr>
        <w:t xml:space="preserve"> Y, Dong HT, </w:t>
      </w:r>
      <w:proofErr w:type="spellStart"/>
      <w:r w:rsidRPr="00744CAF">
        <w:rPr>
          <w:rFonts w:ascii="Times New Roman" w:hAnsi="Times New Roman" w:cs="Times New Roman"/>
        </w:rPr>
        <w:t>Phiwsaiya</w:t>
      </w:r>
      <w:proofErr w:type="spellEnd"/>
      <w:r w:rsidRPr="00744CAF">
        <w:rPr>
          <w:rFonts w:ascii="Times New Roman" w:hAnsi="Times New Roman" w:cs="Times New Roman"/>
        </w:rPr>
        <w:t xml:space="preserve"> K, Sangsuriya P, Senapin S, </w:t>
      </w:r>
      <w:proofErr w:type="spellStart"/>
      <w:r w:rsidRPr="00744CAF">
        <w:rPr>
          <w:rFonts w:ascii="Times New Roman" w:hAnsi="Times New Roman" w:cs="Times New Roman"/>
        </w:rPr>
        <w:t>Aiewsakun</w:t>
      </w:r>
      <w:proofErr w:type="spellEnd"/>
      <w:r w:rsidRPr="00744CAF">
        <w:rPr>
          <w:rFonts w:ascii="Times New Roman" w:hAnsi="Times New Roman" w:cs="Times New Roman"/>
        </w:rPr>
        <w:t xml:space="preserve"> P. 2021. Tilapia lake virus (TiLV): Genomic epidemiology and its early origin. </w:t>
      </w:r>
      <w:r w:rsidRPr="00744CAF">
        <w:rPr>
          <w:rFonts w:ascii="Times New Roman" w:hAnsi="Times New Roman" w:cs="Times New Roman"/>
          <w:i/>
          <w:iCs/>
        </w:rPr>
        <w:t>Transboundary and Emerging Diseases</w:t>
      </w:r>
      <w:r w:rsidRPr="00744CAF">
        <w:rPr>
          <w:rFonts w:ascii="Times New Roman" w:hAnsi="Times New Roman" w:cs="Times New Roman"/>
        </w:rPr>
        <w:t xml:space="preserve"> 68:435–444. DOI: 10.1111/tbed.13693.</w:t>
      </w:r>
    </w:p>
    <w:p w14:paraId="1E9F7DFE" w14:textId="5CA93935" w:rsidR="008C4DE9" w:rsidRPr="009003FC" w:rsidRDefault="002E595C" w:rsidP="008D5DE9">
      <w:pPr>
        <w:spacing w:line="240" w:lineRule="auto"/>
        <w:rPr>
          <w:rFonts w:ascii="Times New Roman" w:hAnsi="Times New Roman" w:cs="Times New Roman"/>
        </w:rPr>
      </w:pPr>
      <w:r>
        <w:rPr>
          <w:rFonts w:ascii="Times New Roman" w:hAnsi="Times New Roman" w:cs="Times New Roman"/>
        </w:rPr>
        <w:fldChar w:fldCharType="end"/>
      </w:r>
      <w:r w:rsidRPr="009003FC">
        <w:rPr>
          <w:rFonts w:ascii="Times New Roman" w:hAnsi="Times New Roman" w:cs="Times New Roman"/>
        </w:rPr>
        <w:t xml:space="preserve"> </w:t>
      </w:r>
    </w:p>
    <w:sectPr w:rsidR="008C4DE9" w:rsidRPr="009003FC" w:rsidSect="002E5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343"/>
    <w:rsid w:val="000212AF"/>
    <w:rsid w:val="000477BD"/>
    <w:rsid w:val="00065432"/>
    <w:rsid w:val="00096641"/>
    <w:rsid w:val="000E7F83"/>
    <w:rsid w:val="000F6E63"/>
    <w:rsid w:val="00135249"/>
    <w:rsid w:val="0019193D"/>
    <w:rsid w:val="0021798B"/>
    <w:rsid w:val="0024245E"/>
    <w:rsid w:val="002D1F11"/>
    <w:rsid w:val="002E511B"/>
    <w:rsid w:val="002E595C"/>
    <w:rsid w:val="00336FD0"/>
    <w:rsid w:val="00362F99"/>
    <w:rsid w:val="003A3362"/>
    <w:rsid w:val="003B41A9"/>
    <w:rsid w:val="003B5F2D"/>
    <w:rsid w:val="00407274"/>
    <w:rsid w:val="00455347"/>
    <w:rsid w:val="004B067A"/>
    <w:rsid w:val="004F1222"/>
    <w:rsid w:val="005F55A5"/>
    <w:rsid w:val="006C4E66"/>
    <w:rsid w:val="006F1017"/>
    <w:rsid w:val="006F64ED"/>
    <w:rsid w:val="00744CAF"/>
    <w:rsid w:val="00761650"/>
    <w:rsid w:val="007E7B04"/>
    <w:rsid w:val="007F5FAA"/>
    <w:rsid w:val="008C4DE9"/>
    <w:rsid w:val="008D5DE9"/>
    <w:rsid w:val="009003FC"/>
    <w:rsid w:val="009645C4"/>
    <w:rsid w:val="009A433C"/>
    <w:rsid w:val="009C66D6"/>
    <w:rsid w:val="00A55B3B"/>
    <w:rsid w:val="00A6211F"/>
    <w:rsid w:val="00A8038C"/>
    <w:rsid w:val="00AD6170"/>
    <w:rsid w:val="00AF1FA8"/>
    <w:rsid w:val="00B5415A"/>
    <w:rsid w:val="00B73D29"/>
    <w:rsid w:val="00BA3DB2"/>
    <w:rsid w:val="00C74B9A"/>
    <w:rsid w:val="00C978C3"/>
    <w:rsid w:val="00CD71F8"/>
    <w:rsid w:val="00D060A8"/>
    <w:rsid w:val="00D14BF3"/>
    <w:rsid w:val="00D166C1"/>
    <w:rsid w:val="00E47AAA"/>
    <w:rsid w:val="00E93343"/>
    <w:rsid w:val="00F4555F"/>
    <w:rsid w:val="00F6632F"/>
    <w:rsid w:val="00FB574A"/>
  </w:rsids>
  <m:mathPr>
    <m:mathFont m:val="Cambria Math"/>
    <m:brkBin m:val="before"/>
    <m:brkBinSub m:val="--"/>
    <m:smallFrac m:val="0"/>
    <m:dispDef/>
    <m:lMargin m:val="0"/>
    <m:rMargin m:val="0"/>
    <m:defJc m:val="centerGroup"/>
    <m:wrapIndent m:val="1440"/>
    <m:intLim m:val="subSup"/>
    <m:naryLim m:val="undOvr"/>
  </m:mathPr>
  <w:themeFontLang w:val="en-MY"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CBA4"/>
  <w15:chartTrackingRefBased/>
  <w15:docId w15:val="{BAA9CE00-D100-4228-8054-D6F42345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343"/>
    <w:rPr>
      <w:szCs w:val="28"/>
      <w:lang w:val="en-US" w:bidi="th-T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3343"/>
    <w:pPr>
      <w:spacing w:after="0" w:line="240" w:lineRule="auto"/>
    </w:pPr>
    <w:rPr>
      <w:szCs w:val="28"/>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93343"/>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E93343"/>
    <w:rPr>
      <w:sz w:val="16"/>
      <w:szCs w:val="16"/>
    </w:rPr>
  </w:style>
  <w:style w:type="paragraph" w:styleId="CommentText">
    <w:name w:val="annotation text"/>
    <w:basedOn w:val="Normal"/>
    <w:link w:val="CommentTextChar"/>
    <w:uiPriority w:val="99"/>
    <w:unhideWhenUsed/>
    <w:rsid w:val="00E93343"/>
    <w:pPr>
      <w:spacing w:line="240" w:lineRule="auto"/>
    </w:pPr>
    <w:rPr>
      <w:sz w:val="20"/>
      <w:szCs w:val="25"/>
    </w:rPr>
  </w:style>
  <w:style w:type="character" w:customStyle="1" w:styleId="CommentTextChar">
    <w:name w:val="Comment Text Char"/>
    <w:basedOn w:val="DefaultParagraphFont"/>
    <w:link w:val="CommentText"/>
    <w:uiPriority w:val="99"/>
    <w:rsid w:val="00E93343"/>
    <w:rPr>
      <w:sz w:val="20"/>
      <w:szCs w:val="25"/>
      <w:lang w:val="en-US" w:bidi="th-TH"/>
    </w:rPr>
  </w:style>
  <w:style w:type="paragraph" w:styleId="BalloonText">
    <w:name w:val="Balloon Text"/>
    <w:basedOn w:val="Normal"/>
    <w:link w:val="BalloonTextChar"/>
    <w:uiPriority w:val="99"/>
    <w:semiHidden/>
    <w:unhideWhenUsed/>
    <w:rsid w:val="00E93343"/>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93343"/>
    <w:rPr>
      <w:rFonts w:ascii="Segoe UI" w:hAnsi="Segoe UI" w:cs="Angsana New"/>
      <w:sz w:val="18"/>
      <w:lang w:val="en-US" w:bidi="th-TH"/>
    </w:rPr>
  </w:style>
  <w:style w:type="paragraph" w:styleId="Bibliography">
    <w:name w:val="Bibliography"/>
    <w:basedOn w:val="Normal"/>
    <w:next w:val="Normal"/>
    <w:uiPriority w:val="37"/>
    <w:unhideWhenUsed/>
    <w:rsid w:val="008C4DE9"/>
    <w:pPr>
      <w:spacing w:after="0" w:line="480" w:lineRule="auto"/>
      <w:ind w:left="720" w:hanging="720"/>
    </w:pPr>
    <w:rPr>
      <w:rFonts w:cs="Angsana New"/>
    </w:rPr>
  </w:style>
  <w:style w:type="paragraph" w:styleId="Revision">
    <w:name w:val="Revision"/>
    <w:hidden/>
    <w:uiPriority w:val="99"/>
    <w:semiHidden/>
    <w:rsid w:val="00A6211F"/>
    <w:pPr>
      <w:spacing w:after="0" w:line="240" w:lineRule="auto"/>
    </w:pPr>
    <w:rPr>
      <w:szCs w:val="28"/>
      <w:lang w:val="en-US" w:bidi="th-TH"/>
    </w:rPr>
  </w:style>
  <w:style w:type="paragraph" w:styleId="CommentSubject">
    <w:name w:val="annotation subject"/>
    <w:basedOn w:val="CommentText"/>
    <w:next w:val="CommentText"/>
    <w:link w:val="CommentSubjectChar"/>
    <w:uiPriority w:val="99"/>
    <w:semiHidden/>
    <w:unhideWhenUsed/>
    <w:rsid w:val="00A6211F"/>
    <w:rPr>
      <w:b/>
      <w:bCs/>
    </w:rPr>
  </w:style>
  <w:style w:type="character" w:customStyle="1" w:styleId="CommentSubjectChar">
    <w:name w:val="Comment Subject Char"/>
    <w:basedOn w:val="CommentTextChar"/>
    <w:link w:val="CommentSubject"/>
    <w:uiPriority w:val="99"/>
    <w:semiHidden/>
    <w:rsid w:val="00A6211F"/>
    <w:rPr>
      <w:b/>
      <w:bCs/>
      <w:sz w:val="20"/>
      <w:szCs w:val="25"/>
      <w:lang w:val="en-US" w:bidi="th-TH"/>
    </w:rPr>
  </w:style>
  <w:style w:type="character" w:styleId="Hyperlink">
    <w:name w:val="Hyperlink"/>
    <w:basedOn w:val="DefaultParagraphFont"/>
    <w:uiPriority w:val="99"/>
    <w:unhideWhenUsed/>
    <w:rsid w:val="00A621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31F61FF64694CB5D7443A63557A50" ma:contentTypeVersion="15" ma:contentTypeDescription="Create a new document." ma:contentTypeScope="" ma:versionID="54adbb7d7dc897ed542390617197195b">
  <xsd:schema xmlns:xsd="http://www.w3.org/2001/XMLSchema" xmlns:xs="http://www.w3.org/2001/XMLSchema" xmlns:p="http://schemas.microsoft.com/office/2006/metadata/properties" xmlns:ns3="61feb29f-3a68-4503-a351-1aef844bf9e2" xmlns:ns4="2d60eb6b-9e26-4a9e-a12a-39b833c5bd52" targetNamespace="http://schemas.microsoft.com/office/2006/metadata/properties" ma:root="true" ma:fieldsID="e106cca2adf3243fea536c10822648b1" ns3:_="" ns4:_="">
    <xsd:import namespace="61feb29f-3a68-4503-a351-1aef844bf9e2"/>
    <xsd:import namespace="2d60eb6b-9e26-4a9e-a12a-39b833c5bd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eb29f-3a68-4503-a351-1aef844bf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0eb6b-9e26-4a9e-a12a-39b833c5bd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1feb29f-3a68-4503-a351-1aef844bf9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AC160-E034-4947-A047-4FDCF76B2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eb29f-3a68-4503-a351-1aef844bf9e2"/>
    <ds:schemaRef ds:uri="2d60eb6b-9e26-4a9e-a12a-39b833c5b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6D7A6-F28E-4EC1-A35D-CAE2D911607C}">
  <ds:schemaRefs>
    <ds:schemaRef ds:uri="http://schemas.microsoft.com/office/2006/metadata/properties"/>
    <ds:schemaRef ds:uri="http://schemas.microsoft.com/office/infopath/2007/PartnerControls"/>
    <ds:schemaRef ds:uri="61feb29f-3a68-4503-a351-1aef844bf9e2"/>
  </ds:schemaRefs>
</ds:datastoreItem>
</file>

<file path=customXml/itemProps3.xml><?xml version="1.0" encoding="utf-8"?>
<ds:datastoreItem xmlns:ds="http://schemas.openxmlformats.org/officeDocument/2006/customXml" ds:itemID="{0CB1FE65-B96B-494A-84BF-961C4289D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172</Words>
  <Characters>8759</Characters>
  <Application>Microsoft Office Word</Application>
  <DocSecurity>0</DocSecurity>
  <Lines>2919</Lines>
  <Paragraphs>2232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Delamare-Deboutteville, Jérôme (WorldFish)</dc:creator>
  <cp:keywords/>
  <dc:description/>
  <cp:lastModifiedBy>Delamare-Deboutteville, Jérôme (WorldFish)</cp:lastModifiedBy>
  <cp:revision>27</cp:revision>
  <dcterms:created xsi:type="dcterms:W3CDTF">2023-05-20T09:41:00Z</dcterms:created>
  <dcterms:modified xsi:type="dcterms:W3CDTF">2025-01-23T15:12:00Z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0x01010031A31F61FF64694CB5D7443A63557A50</vt:lpwstr>
  </property>
  <property fmtid="{D5CDD505-2E9C-101B-9397-08002B2CF9AE}" pid="3" name="ZOTERO_PREF_1">
    <vt:lpwstr>&lt;data data-version="3" zotero-version="6.0.36"&gt;&lt;session id="1qCmXwah"/&gt;&lt;style id="http://www.zotero.org/styles/peerj" hasBibliography="1" bibliographyStyleHasBeenSet="1"/&gt;&lt;prefs&gt;&lt;pref name="fieldType" value="Field"/&gt;&lt;/prefs&gt;&lt;/data&gt;</vt:lpwstr>
  </property>
</Properties>
</file>