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sz w:val="24"/>
          <w:szCs w:val="24"/>
        </w:rPr>
      </w:pPr>
      <w:bookmarkStart w:id="0" w:name="OLE_LINK600"/>
      <w:bookmarkStart w:id="1" w:name="OLE_LINK599"/>
      <w:bookmarkStart w:id="2" w:name="OLE_LINK51"/>
      <w:bookmarkStart w:id="3" w:name="OLE_LINK1"/>
      <w:r>
        <w:rPr>
          <w:rFonts w:hint="default"/>
          <w:sz w:val="24"/>
          <w:szCs w:val="24"/>
        </w:rPr>
        <w:t>Supplementa</w:t>
      </w:r>
      <w:r>
        <w:rPr>
          <w:rFonts w:hint="default"/>
          <w:sz w:val="24"/>
          <w:szCs w:val="24"/>
          <w:lang w:val="en-US" w:eastAsia="zh-CN"/>
        </w:rPr>
        <w:t>ry</w:t>
      </w:r>
      <w:r>
        <w:rPr>
          <w:rFonts w:hint="default"/>
          <w:sz w:val="24"/>
          <w:szCs w:val="24"/>
        </w:rPr>
        <w:t xml:space="preserve"> Table</w:t>
      </w:r>
      <w:bookmarkEnd w:id="0"/>
      <w:bookmarkEnd w:id="1"/>
      <w:bookmarkEnd w:id="2"/>
      <w:r>
        <w:rPr>
          <w:rFonts w:hint="default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default"/>
          <w:sz w:val="24"/>
          <w:szCs w:val="24"/>
        </w:rPr>
        <w:t xml:space="preserve">. </w:t>
      </w:r>
      <w:bookmarkEnd w:id="3"/>
      <w:r>
        <w:rPr>
          <w:rFonts w:hint="eastAsia" w:asciiTheme="minorHAnsi" w:eastAsiaTheme="minorEastAsia"/>
          <w:sz w:val="24"/>
          <w:szCs w:val="24"/>
          <w:lang w:val="en-US" w:eastAsia="zh-CN"/>
        </w:rPr>
        <w:t xml:space="preserve">Main results of relative gut microbiota abundance at </w:t>
      </w:r>
      <w:bookmarkStart w:id="4" w:name="OLE_LINK2"/>
      <w:r>
        <w:rPr>
          <w:rFonts w:hint="eastAsia" w:asciiTheme="minorHAnsi" w:eastAsiaTheme="minorEastAsia"/>
          <w:sz w:val="24"/>
          <w:szCs w:val="24"/>
          <w:lang w:val="en-US" w:eastAsia="zh-CN"/>
        </w:rPr>
        <w:t>phylum</w:t>
      </w:r>
      <w:bookmarkEnd w:id="4"/>
      <w:r>
        <w:rPr>
          <w:rFonts w:hint="eastAsia" w:asciiTheme="minorHAnsi" w:eastAsiaTheme="minorEastAsia"/>
          <w:sz w:val="24"/>
          <w:szCs w:val="24"/>
          <w:lang w:val="en-US" w:eastAsia="zh-CN"/>
        </w:rPr>
        <w:t xml:space="preserve"> level</w:t>
      </w:r>
    </w:p>
    <w:tbl>
      <w:tblPr>
        <w:tblStyle w:val="2"/>
        <w:tblpPr w:leftFromText="180" w:rightFromText="180" w:vertAnchor="text" w:horzAnchor="page" w:tblpXSpec="center" w:tblpY="738"/>
        <w:tblOverlap w:val="never"/>
        <w:tblW w:w="10839" w:type="dxa"/>
        <w:jc w:val="center"/>
        <w:tblInd w:w="0" w:type="dxa"/>
        <w:tblBorders>
          <w:top w:val="single" w:color="auto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5"/>
        <w:gridCol w:w="828"/>
        <w:gridCol w:w="1477"/>
        <w:gridCol w:w="2240"/>
        <w:gridCol w:w="2560"/>
        <w:gridCol w:w="1619"/>
      </w:tblGrid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  <w:jc w:val="center"/>
        </w:trPr>
        <w:tc>
          <w:tcPr>
            <w:tcW w:w="2115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P</w:t>
            </w: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hylum</w:t>
            </w:r>
          </w:p>
        </w:tc>
        <w:tc>
          <w:tcPr>
            <w:tcW w:w="2305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Sample sizes</w:t>
            </w:r>
          </w:p>
        </w:tc>
        <w:tc>
          <w:tcPr>
            <w:tcW w:w="2240" w:type="dxa"/>
            <w:vMerge w:val="restart"/>
            <w:tcBorders>
              <w:top w:val="single" w:color="auto" w:sz="12" w:space="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IQR</w:t>
            </w:r>
          </w:p>
        </w:tc>
        <w:tc>
          <w:tcPr>
            <w:tcW w:w="2560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95%CI</w:t>
            </w:r>
          </w:p>
        </w:tc>
        <w:tc>
          <w:tcPr>
            <w:tcW w:w="1619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Theme="minorHAnsi" w:eastAsiaTheme="minorEastAsia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>I</w:t>
            </w:r>
            <w:r>
              <w:rPr>
                <w:rFonts w:hint="eastAsia" w:asciiTheme="minorHAnsi" w:eastAsiaTheme="minorEastAsia"/>
                <w:b w:val="0"/>
                <w:bCs w:val="0"/>
                <w:i/>
                <w:iCs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2115" w:type="dxa"/>
            <w:vMerge w:val="continue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AR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HC</w:t>
            </w:r>
          </w:p>
        </w:tc>
        <w:tc>
          <w:tcPr>
            <w:tcW w:w="2240" w:type="dxa"/>
            <w:vMerge w:val="continue"/>
            <w:tcBorders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jc w:val="center"/>
        </w:trPr>
        <w:tc>
          <w:tcPr>
            <w:tcW w:w="211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Firmicutes</w:t>
            </w:r>
          </w:p>
        </w:tc>
        <w:tc>
          <w:tcPr>
            <w:tcW w:w="828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47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224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0.05</w:t>
            </w:r>
          </w:p>
        </w:tc>
        <w:tc>
          <w:tcPr>
            <w:tcW w:w="256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−0.10, 0.19</w:t>
            </w:r>
          </w:p>
        </w:tc>
        <w:tc>
          <w:tcPr>
            <w:tcW w:w="1619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75%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jc w:val="center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bookmarkStart w:id="5" w:name="OLE_LINK3" w:colFirst="1" w:colLast="2"/>
            <w:r>
              <w:rPr>
                <w:rFonts w:hint="default"/>
                <w:sz w:val="24"/>
                <w:szCs w:val="24"/>
                <w:lang w:val="en-US" w:eastAsia="zh-CN"/>
              </w:rPr>
              <w:t>Bacteroidetes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-0.1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−0.42, 0.19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95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%</w:t>
            </w:r>
          </w:p>
        </w:tc>
      </w:tr>
      <w:bookmarkEnd w:id="5"/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jc w:val="center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bookmarkStart w:id="6" w:name="OLE_LINK4"/>
            <w:r>
              <w:rPr>
                <w:rFonts w:hint="default"/>
                <w:sz w:val="24"/>
                <w:szCs w:val="24"/>
                <w:lang w:val="en-US" w:eastAsia="zh-CN"/>
              </w:rPr>
              <w:t>Proteobacteria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-0.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−0.06, 0.03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%</w:t>
            </w:r>
          </w:p>
        </w:tc>
      </w:tr>
      <w:bookmarkEnd w:id="6"/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jc w:val="center"/>
        </w:trPr>
        <w:tc>
          <w:tcPr>
            <w:tcW w:w="211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Actinobacteria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−0.09, 0.03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83%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sz w:val="24"/>
          <w:szCs w:val="24"/>
        </w:rPr>
      </w:pPr>
    </w:p>
    <w:p>
      <w:pPr>
        <w:jc w:val="center"/>
        <w:rPr>
          <w:rFonts w:hint="eastAsia" w:asciiTheme="minorHAnsi" w:eastAsiaTheme="minor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inorHAnsi" w:eastAsiaTheme="minor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inorHAnsi" w:eastAsiaTheme="minorEastAsia"/>
          <w:sz w:val="24"/>
          <w:szCs w:val="24"/>
          <w:lang w:val="en-US" w:eastAsia="zh-CN"/>
        </w:rPr>
      </w:pPr>
      <w:bookmarkStart w:id="7" w:name="_GoBack"/>
      <w:bookmarkEnd w:id="7"/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 xml:space="preserve">AR: allergic rhinitis; HC: healthy control; </w:t>
      </w:r>
      <w:r>
        <w:rPr>
          <w:rFonts w:hint="eastAsia"/>
          <w:sz w:val="24"/>
          <w:szCs w:val="24"/>
          <w:lang w:val="en-US" w:eastAsia="zh-CN"/>
        </w:rPr>
        <w:t>IQR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 xml:space="preserve">: </w:t>
      </w:r>
      <w:r>
        <w:rPr>
          <w:rFonts w:hint="eastAsia"/>
          <w:sz w:val="24"/>
          <w:szCs w:val="24"/>
          <w:lang w:val="en-US" w:eastAsia="zh-CN"/>
        </w:rPr>
        <w:t>m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edian interquartile range; CI:confidence intervals</w:t>
      </w:r>
    </w:p>
    <w:p/>
    <w:sectPr>
      <w:pgSz w:w="15819" w:h="12191" w:orient="landscape"/>
      <w:pgMar w:top="1440" w:right="1080" w:bottom="1440" w:left="10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504F4"/>
    <w:rsid w:val="6025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2025-03-18T12:14:00Z</dcterms:created>
  <dc:creator>lmy</dc:creator>
  <cp:lastModifiedBy>lmy</cp:lastModifiedBy>
  <dcterms:modified xsi:type="dcterms:W3CDTF">2025-03-18T12:26:44Z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