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5035" w14:textId="0EBF8CD8" w:rsidR="00BE7EA3" w:rsidRDefault="00BE7EA3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58AF0DD" w14:textId="2CE14E38" w:rsidR="00A44593" w:rsidRDefault="00A44593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Pr="00C81756">
        <w:rPr>
          <w:rFonts w:ascii="Times New Roman" w:hAnsi="Times New Roman" w:cs="Times New Roman"/>
          <w:sz w:val="20"/>
          <w:szCs w:val="20"/>
        </w:rPr>
        <w:t xml:space="preserve">Table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8175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Baseline characteristics of patients in each dataset </w:t>
      </w:r>
    </w:p>
    <w:p w14:paraId="2FDD2B9E" w14:textId="52DF293C" w:rsidR="00A44593" w:rsidRDefault="00A44593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007" w:type="dxa"/>
        <w:tblInd w:w="-20" w:type="dxa"/>
        <w:tblLook w:val="04A0" w:firstRow="1" w:lastRow="0" w:firstColumn="1" w:lastColumn="0" w:noHBand="0" w:noVBand="1"/>
      </w:tblPr>
      <w:tblGrid>
        <w:gridCol w:w="2818"/>
        <w:gridCol w:w="2602"/>
        <w:gridCol w:w="2208"/>
        <w:gridCol w:w="2379"/>
      </w:tblGrid>
      <w:tr w:rsidR="00A44593" w:rsidRPr="00A44593" w14:paraId="67A4C24B" w14:textId="77777777" w:rsidTr="00074FD5">
        <w:trPr>
          <w:trHeight w:val="24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B804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BDC" w14:textId="13346E92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Dataset1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288F" w14:textId="79D938BA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Dataset2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D44A" w14:textId="5B925DA5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Dataset3</w:t>
            </w:r>
          </w:p>
        </w:tc>
      </w:tr>
      <w:tr w:rsidR="00A44593" w:rsidRPr="00A44593" w14:paraId="6EB27C63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5EB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6B6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2C0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965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</w:t>
            </w:r>
          </w:p>
        </w:tc>
      </w:tr>
      <w:tr w:rsidR="00A44593" w:rsidRPr="00A44593" w14:paraId="0D2BF5F8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D62E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Age, mean (SD)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20F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59.76 (7.19) (n=425)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100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57.88 (6.60) (n=311)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87E4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58.72 (6.58) (n=1936)</w:t>
            </w:r>
          </w:p>
        </w:tc>
      </w:tr>
      <w:tr w:rsidR="00A44593" w:rsidRPr="00A44593" w14:paraId="7AE14545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F126" w14:textId="5D569200" w:rsidR="00A44593" w:rsidRPr="00A44593" w:rsidRDefault="00494B02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38A2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C65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56D1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4593" w:rsidRPr="00A44593" w14:paraId="19B1D84D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4DC" w14:textId="5970148E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F</w:t>
            </w:r>
            <w:r w:rsidRPr="00F8286F">
              <w:rPr>
                <w:rFonts w:ascii="Times New Roman" w:eastAsia="Times New Roman" w:hAnsi="Times New Roman" w:cs="Times New Roman"/>
                <w:sz w:val="20"/>
                <w:szCs w:val="20"/>
              </w:rPr>
              <w:t>emale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B16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295 (69.4%)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98D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203 (65.3%)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38E7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1284 (66.3%)</w:t>
            </w:r>
          </w:p>
        </w:tc>
      </w:tr>
      <w:tr w:rsidR="00A44593" w:rsidRPr="00A44593" w14:paraId="77926675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C87B" w14:textId="31B6F9D1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</w:t>
            </w:r>
            <w:r w:rsidRPr="00F8286F"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D9A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130 (30.6%)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B64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108 (34.7%)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25A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652 (33.7%)</w:t>
            </w:r>
          </w:p>
        </w:tc>
      </w:tr>
      <w:tr w:rsidR="00A44593" w:rsidRPr="00A44593" w14:paraId="68153CCD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672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BMI, mean (SD)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BA5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30.14 (6.13) (n=425)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F75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30.96 (5.70) (n=311)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6CEB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30.62 (5.82) (n=1936)</w:t>
            </w:r>
          </w:p>
        </w:tc>
      </w:tr>
      <w:tr w:rsidR="00A44593" w:rsidRPr="00A44593" w14:paraId="152192F2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A14" w14:textId="04E93C38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Prep</w:t>
            </w:r>
            <w:r w:rsidR="000D09B1">
              <w:rPr>
                <w:rFonts w:ascii="Times New Roman" w:eastAsia="Times New Roman" w:hAnsi="Times New Roman" w:cs="Times New Roman"/>
                <w:sz w:val="20"/>
                <w:szCs w:val="20"/>
              </w:rPr>
              <w:t>aration</w:t>
            </w: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_Quality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06F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A85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2FF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4593" w:rsidRPr="00A44593" w14:paraId="1D2A4861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0D61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Excellent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650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49 (11.5%)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A6E5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17 (5.5%)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2FF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393 (20.3%)</w:t>
            </w:r>
          </w:p>
        </w:tc>
      </w:tr>
      <w:tr w:rsidR="00A44593" w:rsidRPr="00A44593" w14:paraId="08379877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F9C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Good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3B9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273 (64.2%)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A62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219 (70.4%)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83D7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1308 (67.6%)</w:t>
            </w:r>
          </w:p>
        </w:tc>
      </w:tr>
      <w:tr w:rsidR="00A44593" w:rsidRPr="00A44593" w14:paraId="678F95A0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A09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Fair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CEF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103 (24.2%)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BB8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67 (21.5%)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8517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150 (7.7%)</w:t>
            </w:r>
          </w:p>
        </w:tc>
      </w:tr>
      <w:tr w:rsidR="00A44593" w:rsidRPr="00A44593" w14:paraId="2E67AE9E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5E7" w14:textId="4330A9F3" w:rsidR="00A44593" w:rsidRPr="00A44593" w:rsidRDefault="000D09B1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44593"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C2C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919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8 (2.6%)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A53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85 (4.4%)</w:t>
            </w:r>
          </w:p>
        </w:tc>
      </w:tr>
      <w:tr w:rsidR="00A44593" w:rsidRPr="00A44593" w14:paraId="4043DCE1" w14:textId="77777777" w:rsidTr="00A44593">
        <w:trPr>
          <w:trHeight w:val="248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C6B" w14:textId="3C1052A5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286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rocedure_time</w:t>
            </w:r>
            <w:proofErr w:type="spellEnd"/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, mean (SD)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977A" w14:textId="0D7797F3" w:rsidR="00A44593" w:rsidRPr="00A44593" w:rsidRDefault="001F3319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19.85</w:t>
            </w:r>
            <w:r w:rsidR="00A44593"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9.61</w:t>
            </w:r>
            <w:r w:rsidR="00A44593"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) (n=425)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EA8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26.41 (11.29) (n=309)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CFA" w14:textId="77777777" w:rsidR="00A44593" w:rsidRPr="00A44593" w:rsidRDefault="00A44593" w:rsidP="00A4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593">
              <w:rPr>
                <w:rFonts w:ascii="Times New Roman" w:eastAsia="Times New Roman" w:hAnsi="Times New Roman" w:cs="Times New Roman"/>
                <w:sz w:val="20"/>
                <w:szCs w:val="20"/>
              </w:rPr>
              <w:t>25.83 (14.90) (n=1117)</w:t>
            </w:r>
          </w:p>
        </w:tc>
      </w:tr>
    </w:tbl>
    <w:p w14:paraId="563DBEA8" w14:textId="19577DEF" w:rsidR="00A44593" w:rsidRDefault="000D09B1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SD: standard </w:t>
      </w:r>
      <w:proofErr w:type="spellStart"/>
      <w:r>
        <w:rPr>
          <w:rFonts w:ascii="Times New Roman" w:hAnsi="Times New Roman" w:cs="Times New Roman"/>
          <w:sz w:val="20"/>
          <w:szCs w:val="20"/>
        </w:rPr>
        <w:t>devaition</w:t>
      </w:r>
      <w:proofErr w:type="spellEnd"/>
      <w:r>
        <w:rPr>
          <w:rFonts w:ascii="Times New Roman" w:hAnsi="Times New Roman" w:cs="Times New Roman"/>
          <w:sz w:val="20"/>
          <w:szCs w:val="20"/>
        </w:rPr>
        <w:t>; BMI: body mass index</w:t>
      </w:r>
    </w:p>
    <w:p w14:paraId="2E9C2AE7" w14:textId="101C2331" w:rsidR="00A44593" w:rsidRDefault="00A44593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27EBBFC" w14:textId="72FE7A53" w:rsidR="00562219" w:rsidRDefault="00562219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7A7C2CE" w14:textId="69E92E07" w:rsidR="00562219" w:rsidRDefault="00562219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197B08A" w14:textId="29680E95" w:rsidR="00562219" w:rsidRDefault="00562219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8043D61" wp14:editId="0B690BB3">
            <wp:extent cx="5943600" cy="3317240"/>
            <wp:effectExtent l="0" t="0" r="0" b="165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F91029-C1F8-4978-8668-332057AC6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6DF469" w14:textId="3446200F" w:rsidR="00562219" w:rsidRDefault="00562219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F5D1EAA" w14:textId="77777777" w:rsidR="00562219" w:rsidRPr="00562219" w:rsidRDefault="00562219" w:rsidP="00562219">
      <w:pPr>
        <w:contextualSpacing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Figure 1. </w:t>
      </w:r>
      <w:r w:rsidRPr="00562219">
        <w:rPr>
          <w:sz w:val="20"/>
          <w:szCs w:val="20"/>
        </w:rPr>
        <w:t>Distribution of polyp count in each dataset</w:t>
      </w:r>
    </w:p>
    <w:p w14:paraId="0148B6F8" w14:textId="626E62A8" w:rsidR="00562219" w:rsidRDefault="00562219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E68D75D" w14:textId="037D9CED" w:rsidR="00562219" w:rsidRDefault="00562219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4F9D1E5" w14:textId="7EF5EE97" w:rsidR="00DD7BCF" w:rsidRDefault="00DD7BCF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BCF2419" w14:textId="14A895B2" w:rsidR="00DD7BCF" w:rsidRDefault="00DD7BCF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2839380" w14:textId="2CBE5411" w:rsidR="00DD7BCF" w:rsidRDefault="00DD7BCF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CABDD5B" w14:textId="0857A2FC" w:rsidR="00DD7BCF" w:rsidRDefault="00DD7BCF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514567F" w14:textId="1846FB6A" w:rsidR="00DD7BCF" w:rsidRDefault="00DD7BCF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627CA9A" w14:textId="77777777" w:rsidR="00DD7BCF" w:rsidRPr="00C81756" w:rsidRDefault="00DD7BCF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6117B47" w14:textId="77777777" w:rsidR="0038090E" w:rsidRPr="00C81756" w:rsidRDefault="0038090E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336DCEB" w14:textId="77777777" w:rsidR="00847873" w:rsidRDefault="00847873" w:rsidP="006E7A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AD3F09" w14:textId="77777777" w:rsidR="00847873" w:rsidRDefault="00847873" w:rsidP="006E7A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BBC379" w14:textId="0DCD1159" w:rsidR="0038090E" w:rsidRPr="00C81756" w:rsidRDefault="00031F0E" w:rsidP="006E7A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="006760DC" w:rsidRPr="00C81756">
        <w:rPr>
          <w:rFonts w:ascii="Times New Roman" w:hAnsi="Times New Roman" w:cs="Times New Roman"/>
          <w:sz w:val="20"/>
          <w:szCs w:val="20"/>
        </w:rPr>
        <w:t xml:space="preserve">Table </w:t>
      </w:r>
      <w:r w:rsidR="0012717B">
        <w:rPr>
          <w:rFonts w:ascii="Times New Roman" w:hAnsi="Times New Roman" w:cs="Times New Roman"/>
          <w:sz w:val="20"/>
          <w:szCs w:val="20"/>
        </w:rPr>
        <w:t>2</w:t>
      </w:r>
      <w:r w:rsidR="006C75EA" w:rsidRPr="00C81756">
        <w:rPr>
          <w:rFonts w:ascii="Times New Roman" w:hAnsi="Times New Roman" w:cs="Times New Roman"/>
          <w:sz w:val="20"/>
          <w:szCs w:val="20"/>
        </w:rPr>
        <w:t>.</w:t>
      </w:r>
      <w:r w:rsidR="0038090E" w:rsidRPr="00C81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90256563"/>
      <w:r w:rsidR="00F73B83">
        <w:rPr>
          <w:rFonts w:ascii="Times New Roman" w:hAnsi="Times New Roman" w:cs="Times New Roman"/>
          <w:sz w:val="20"/>
          <w:szCs w:val="20"/>
        </w:rPr>
        <w:t xml:space="preserve">Sensitivity analysis for </w:t>
      </w:r>
      <w:r w:rsidR="00DA60D8">
        <w:rPr>
          <w:rFonts w:ascii="Times New Roman" w:hAnsi="Times New Roman" w:cs="Times New Roman"/>
          <w:sz w:val="20"/>
          <w:szCs w:val="20"/>
        </w:rPr>
        <w:t>c</w:t>
      </w:r>
      <w:r w:rsidR="00DA60D8" w:rsidRPr="00C81756">
        <w:rPr>
          <w:rFonts w:ascii="Times New Roman" w:hAnsi="Times New Roman" w:cs="Times New Roman"/>
          <w:sz w:val="20"/>
          <w:szCs w:val="20"/>
        </w:rPr>
        <w:t>omparison of polyp detection</w:t>
      </w:r>
      <w:r w:rsidR="00DA60D8">
        <w:rPr>
          <w:rFonts w:ascii="Times New Roman" w:hAnsi="Times New Roman" w:cs="Times New Roman"/>
          <w:sz w:val="20"/>
          <w:szCs w:val="20"/>
        </w:rPr>
        <w:t xml:space="preserve"> rate</w:t>
      </w:r>
      <w:r w:rsidR="00DA60D8" w:rsidRPr="00C81756">
        <w:rPr>
          <w:rFonts w:ascii="Times New Roman" w:hAnsi="Times New Roman" w:cs="Times New Roman"/>
          <w:sz w:val="20"/>
          <w:szCs w:val="20"/>
        </w:rPr>
        <w:t xml:space="preserve"> and the number of detected polyps</w:t>
      </w:r>
      <w:r w:rsidR="00C423AC">
        <w:rPr>
          <w:rFonts w:ascii="Times New Roman" w:hAnsi="Times New Roman" w:cs="Times New Roman"/>
          <w:sz w:val="20"/>
          <w:szCs w:val="20"/>
        </w:rPr>
        <w:t xml:space="preserve"> between groups </w:t>
      </w:r>
      <w:r w:rsidR="00F73B83">
        <w:rPr>
          <w:rFonts w:ascii="Times New Roman" w:hAnsi="Times New Roman" w:cs="Times New Roman"/>
          <w:sz w:val="20"/>
          <w:szCs w:val="20"/>
        </w:rPr>
        <w:t>without adjusting for covariates in clinical trials</w:t>
      </w:r>
      <w:r w:rsidR="0033425C">
        <w:rPr>
          <w:rFonts w:ascii="Times New Roman" w:hAnsi="Times New Roman" w:cs="Times New Roman"/>
          <w:sz w:val="20"/>
          <w:szCs w:val="20"/>
        </w:rPr>
        <w:t>,</w:t>
      </w:r>
      <w:r w:rsidR="00F73B83">
        <w:rPr>
          <w:rFonts w:ascii="Times New Roman" w:hAnsi="Times New Roman" w:cs="Times New Roman"/>
          <w:sz w:val="20"/>
          <w:szCs w:val="20"/>
        </w:rPr>
        <w:t xml:space="preserve"> and adjusting for all baseline variables in the analysis of dataset 3 </w:t>
      </w:r>
      <w:bookmarkEnd w:id="0"/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1525"/>
        <w:gridCol w:w="2310"/>
        <w:gridCol w:w="1500"/>
        <w:gridCol w:w="2310"/>
        <w:gridCol w:w="1709"/>
      </w:tblGrid>
      <w:tr w:rsidR="00D92AA8" w:rsidRPr="00C81756" w14:paraId="69DDE2CF" w14:textId="3163A077" w:rsidTr="00483F23">
        <w:trPr>
          <w:trHeight w:val="224"/>
        </w:trPr>
        <w:tc>
          <w:tcPr>
            <w:tcW w:w="1525" w:type="dxa"/>
            <w:vMerge w:val="restart"/>
          </w:tcPr>
          <w:p w14:paraId="624701D9" w14:textId="77777777" w:rsidR="00D92AA8" w:rsidRPr="00C81756" w:rsidRDefault="00D92AA8" w:rsidP="00B0070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Models</w:t>
            </w:r>
          </w:p>
        </w:tc>
        <w:tc>
          <w:tcPr>
            <w:tcW w:w="3810" w:type="dxa"/>
            <w:gridSpan w:val="2"/>
          </w:tcPr>
          <w:p w14:paraId="591EDCA3" w14:textId="5918D422" w:rsidR="00D92AA8" w:rsidRPr="00C81756" w:rsidRDefault="00D92AA8" w:rsidP="00B0070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Polyp detection rate</w:t>
            </w:r>
          </w:p>
        </w:tc>
        <w:tc>
          <w:tcPr>
            <w:tcW w:w="4019" w:type="dxa"/>
            <w:gridSpan w:val="2"/>
          </w:tcPr>
          <w:p w14:paraId="10034E42" w14:textId="112B3498" w:rsidR="00D92AA8" w:rsidRPr="00C81756" w:rsidRDefault="00D92AA8" w:rsidP="00B0070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Number of detected polyps</w:t>
            </w:r>
          </w:p>
        </w:tc>
      </w:tr>
      <w:tr w:rsidR="00D92AA8" w:rsidRPr="00C81756" w14:paraId="746D6B37" w14:textId="34D01682" w:rsidTr="00483F23">
        <w:trPr>
          <w:trHeight w:val="239"/>
        </w:trPr>
        <w:tc>
          <w:tcPr>
            <w:tcW w:w="1525" w:type="dxa"/>
            <w:vMerge/>
          </w:tcPr>
          <w:p w14:paraId="00531F2E" w14:textId="77777777" w:rsidR="00D92AA8" w:rsidRPr="00C81756" w:rsidRDefault="00D92AA8" w:rsidP="006E7AE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0FDFE47B" w14:textId="77777777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  <w:tc>
          <w:tcPr>
            <w:tcW w:w="1500" w:type="dxa"/>
          </w:tcPr>
          <w:p w14:paraId="1B4D0214" w14:textId="77777777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2310" w:type="dxa"/>
          </w:tcPr>
          <w:p w14:paraId="74556E5E" w14:textId="77777777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RR (95% CI)</w:t>
            </w:r>
          </w:p>
        </w:tc>
        <w:tc>
          <w:tcPr>
            <w:tcW w:w="1709" w:type="dxa"/>
          </w:tcPr>
          <w:p w14:paraId="0C780BE8" w14:textId="77777777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D92AA8" w:rsidRPr="00C81756" w14:paraId="4B9E6A53" w14:textId="43F485E2" w:rsidTr="00D92AA8">
        <w:trPr>
          <w:trHeight w:val="239"/>
        </w:trPr>
        <w:tc>
          <w:tcPr>
            <w:tcW w:w="9354" w:type="dxa"/>
            <w:gridSpan w:val="5"/>
          </w:tcPr>
          <w:p w14:paraId="13F225BC" w14:textId="0A683CEB" w:rsidR="00D92AA8" w:rsidRPr="00C81756" w:rsidRDefault="00483F23" w:rsidP="00483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Example data</w:t>
            </w:r>
            <w:r w:rsidR="00776BC4"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CAC vs</w:t>
            </w:r>
            <w:r w:rsidR="00765C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92AA8"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 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procedures</w:t>
            </w:r>
          </w:p>
        </w:tc>
      </w:tr>
      <w:tr w:rsidR="00D92AA8" w:rsidRPr="00C81756" w14:paraId="2F601879" w14:textId="05A0A150" w:rsidTr="00483F23">
        <w:trPr>
          <w:trHeight w:val="239"/>
        </w:trPr>
        <w:tc>
          <w:tcPr>
            <w:tcW w:w="1525" w:type="dxa"/>
          </w:tcPr>
          <w:p w14:paraId="57D699C8" w14:textId="519C718E" w:rsidR="00D92AA8" w:rsidRPr="00C81756" w:rsidRDefault="00D92AA8" w:rsidP="00D92A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LR</w:t>
            </w:r>
          </w:p>
        </w:tc>
        <w:tc>
          <w:tcPr>
            <w:tcW w:w="2310" w:type="dxa"/>
          </w:tcPr>
          <w:p w14:paraId="5ED680E5" w14:textId="79BD3E88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0.93 (0.63, 1.37)</w:t>
            </w:r>
          </w:p>
        </w:tc>
        <w:tc>
          <w:tcPr>
            <w:tcW w:w="1500" w:type="dxa"/>
          </w:tcPr>
          <w:p w14:paraId="661BB8F7" w14:textId="6C14E176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4019" w:type="dxa"/>
            <w:gridSpan w:val="2"/>
          </w:tcPr>
          <w:p w14:paraId="50F3ADD1" w14:textId="3252C2D6" w:rsidR="00D92AA8" w:rsidRPr="00C81756" w:rsidRDefault="00483F23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</w:tr>
      <w:tr w:rsidR="00D92AA8" w:rsidRPr="00C81756" w14:paraId="65861304" w14:textId="4051407E" w:rsidTr="00483F23">
        <w:trPr>
          <w:trHeight w:val="239"/>
        </w:trPr>
        <w:tc>
          <w:tcPr>
            <w:tcW w:w="1525" w:type="dxa"/>
          </w:tcPr>
          <w:p w14:paraId="45273789" w14:textId="45A47395" w:rsidR="00D92AA8" w:rsidRPr="00C81756" w:rsidRDefault="00D92AA8" w:rsidP="00D92A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3810" w:type="dxa"/>
            <w:gridSpan w:val="2"/>
          </w:tcPr>
          <w:p w14:paraId="3143B309" w14:textId="1EE8C9E4" w:rsidR="00D92AA8" w:rsidRPr="00C81756" w:rsidRDefault="00483F23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  <w:r w:rsidR="00D92AA8"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vAlign w:val="bottom"/>
          </w:tcPr>
          <w:p w14:paraId="0D3840DB" w14:textId="13E05D71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1.21 (0.99, 1.49)</w:t>
            </w:r>
          </w:p>
        </w:tc>
        <w:tc>
          <w:tcPr>
            <w:tcW w:w="1709" w:type="dxa"/>
            <w:vAlign w:val="bottom"/>
          </w:tcPr>
          <w:p w14:paraId="421CCA34" w14:textId="216D6DA0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</w:tr>
      <w:tr w:rsidR="00F50221" w:rsidRPr="00C81756" w14:paraId="69A11181" w14:textId="77777777" w:rsidTr="00483F23">
        <w:trPr>
          <w:trHeight w:val="239"/>
        </w:trPr>
        <w:tc>
          <w:tcPr>
            <w:tcW w:w="1525" w:type="dxa"/>
          </w:tcPr>
          <w:p w14:paraId="37C72824" w14:textId="48AA9EC5" w:rsidR="00F50221" w:rsidRPr="00C81756" w:rsidRDefault="002674EE" w:rsidP="00F50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50221" w:rsidRPr="00C817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810" w:type="dxa"/>
            <w:gridSpan w:val="2"/>
          </w:tcPr>
          <w:p w14:paraId="6E5BD11B" w14:textId="334E6144" w:rsidR="00F50221" w:rsidRPr="00C81756" w:rsidRDefault="00880A97" w:rsidP="00F50221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5371E574" w14:textId="0FC52140" w:rsidR="00F50221" w:rsidRPr="00C81756" w:rsidRDefault="00F50221" w:rsidP="00F5022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1.21 (0.90, 1.63)</w:t>
            </w:r>
          </w:p>
        </w:tc>
        <w:tc>
          <w:tcPr>
            <w:tcW w:w="1709" w:type="dxa"/>
            <w:vAlign w:val="bottom"/>
          </w:tcPr>
          <w:p w14:paraId="537C7BAA" w14:textId="47A4EBE3" w:rsidR="00F50221" w:rsidRPr="00C81756" w:rsidRDefault="00F50221" w:rsidP="00F5022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</w:tr>
      <w:tr w:rsidR="00D92AA8" w:rsidRPr="00C81756" w14:paraId="72A77C58" w14:textId="664D9528" w:rsidTr="00483F23">
        <w:trPr>
          <w:trHeight w:val="239"/>
        </w:trPr>
        <w:tc>
          <w:tcPr>
            <w:tcW w:w="1525" w:type="dxa"/>
          </w:tcPr>
          <w:p w14:paraId="59E26BB7" w14:textId="7E136817" w:rsidR="00D92AA8" w:rsidRPr="00C81756" w:rsidRDefault="00D92AA8" w:rsidP="00D92A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</w:p>
        </w:tc>
        <w:tc>
          <w:tcPr>
            <w:tcW w:w="3810" w:type="dxa"/>
            <w:gridSpan w:val="2"/>
          </w:tcPr>
          <w:p w14:paraId="06507088" w14:textId="6746311D" w:rsidR="00D92AA8" w:rsidRPr="00C81756" w:rsidRDefault="00483F23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56F9BCA4" w14:textId="49EF92FD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1.21 (0.89, 1.65)</w:t>
            </w:r>
          </w:p>
        </w:tc>
        <w:tc>
          <w:tcPr>
            <w:tcW w:w="1709" w:type="dxa"/>
            <w:vAlign w:val="bottom"/>
          </w:tcPr>
          <w:p w14:paraId="45C6B200" w14:textId="06E6D71E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0.220</w:t>
            </w:r>
          </w:p>
        </w:tc>
      </w:tr>
      <w:tr w:rsidR="00D92AA8" w:rsidRPr="00C81756" w14:paraId="5CF4E920" w14:textId="02DA3895" w:rsidTr="00483F23">
        <w:trPr>
          <w:trHeight w:val="239"/>
        </w:trPr>
        <w:tc>
          <w:tcPr>
            <w:tcW w:w="1525" w:type="dxa"/>
          </w:tcPr>
          <w:p w14:paraId="36EA0990" w14:textId="6FF46482" w:rsidR="00D92AA8" w:rsidRPr="00C81756" w:rsidRDefault="00D92AA8" w:rsidP="00D92A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2310" w:type="dxa"/>
            <w:vAlign w:val="bottom"/>
          </w:tcPr>
          <w:p w14:paraId="4B7DB16E" w14:textId="0DC0BFC6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0.64 (0.36, 1.13)</w:t>
            </w:r>
          </w:p>
        </w:tc>
        <w:tc>
          <w:tcPr>
            <w:tcW w:w="1500" w:type="dxa"/>
            <w:vAlign w:val="bottom"/>
          </w:tcPr>
          <w:p w14:paraId="300C93D1" w14:textId="3689BBD0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2310" w:type="dxa"/>
            <w:vAlign w:val="bottom"/>
          </w:tcPr>
          <w:p w14:paraId="6D8F7E02" w14:textId="5CF6ECD5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1.49 (1.13, 1.97)</w:t>
            </w:r>
          </w:p>
        </w:tc>
        <w:tc>
          <w:tcPr>
            <w:tcW w:w="1709" w:type="dxa"/>
            <w:vAlign w:val="bottom"/>
          </w:tcPr>
          <w:p w14:paraId="34E1FEB3" w14:textId="07E89228" w:rsidR="00D92AA8" w:rsidRPr="00765CC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</w:p>
        </w:tc>
      </w:tr>
      <w:tr w:rsidR="00D92AA8" w:rsidRPr="00C81756" w14:paraId="4AFCEF1D" w14:textId="4B9E0316" w:rsidTr="00483F23">
        <w:trPr>
          <w:trHeight w:val="239"/>
        </w:trPr>
        <w:tc>
          <w:tcPr>
            <w:tcW w:w="1525" w:type="dxa"/>
          </w:tcPr>
          <w:p w14:paraId="2B8EBF0E" w14:textId="003BB5CB" w:rsidR="00D92AA8" w:rsidRPr="00C81756" w:rsidRDefault="00D92AA8" w:rsidP="00D92A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ZIRP</w:t>
            </w:r>
          </w:p>
        </w:tc>
        <w:tc>
          <w:tcPr>
            <w:tcW w:w="2310" w:type="dxa"/>
            <w:vAlign w:val="bottom"/>
          </w:tcPr>
          <w:p w14:paraId="1E4437A8" w14:textId="0DB9D523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0.64 (0.34, 1.18)</w:t>
            </w:r>
          </w:p>
        </w:tc>
        <w:tc>
          <w:tcPr>
            <w:tcW w:w="1500" w:type="dxa"/>
            <w:vAlign w:val="bottom"/>
          </w:tcPr>
          <w:p w14:paraId="3A17EB05" w14:textId="2D324F86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2310" w:type="dxa"/>
            <w:vAlign w:val="bottom"/>
          </w:tcPr>
          <w:p w14:paraId="429FE121" w14:textId="7E21852C" w:rsidR="00D92AA8" w:rsidRPr="00C8175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1.49 (1.06, 2.11)</w:t>
            </w:r>
          </w:p>
        </w:tc>
        <w:tc>
          <w:tcPr>
            <w:tcW w:w="1709" w:type="dxa"/>
            <w:vAlign w:val="bottom"/>
          </w:tcPr>
          <w:p w14:paraId="0A8C7F51" w14:textId="66FEF5EC" w:rsidR="00D92AA8" w:rsidRPr="00765CC6" w:rsidRDefault="00D92AA8" w:rsidP="00D92AA8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0.023</w:t>
            </w:r>
          </w:p>
        </w:tc>
      </w:tr>
      <w:tr w:rsidR="0090202E" w:rsidRPr="00C81756" w14:paraId="0BDF7301" w14:textId="77777777" w:rsidTr="00483F23">
        <w:trPr>
          <w:trHeight w:val="239"/>
        </w:trPr>
        <w:tc>
          <w:tcPr>
            <w:tcW w:w="1525" w:type="dxa"/>
          </w:tcPr>
          <w:p w14:paraId="039AA84B" w14:textId="610859DA" w:rsidR="0090202E" w:rsidRPr="00C81756" w:rsidRDefault="0090202E" w:rsidP="0090202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ZINB</w:t>
            </w:r>
            <w:r w:rsidR="006B633B" w:rsidRPr="00C81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310" w:type="dxa"/>
            <w:vAlign w:val="bottom"/>
          </w:tcPr>
          <w:p w14:paraId="5F36F247" w14:textId="29BD6113" w:rsidR="0090202E" w:rsidRPr="00C81756" w:rsidRDefault="00551991" w:rsidP="0055199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  <w:r w:rsidR="0090202E"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  <w:r w:rsidR="0090202E"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  <w:r w:rsidR="0090202E"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bottom"/>
          </w:tcPr>
          <w:p w14:paraId="59F96E00" w14:textId="73F09F6A" w:rsidR="0090202E" w:rsidRPr="00C81756" w:rsidRDefault="0090202E" w:rsidP="0055199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551991" w:rsidRPr="00C8175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10" w:type="dxa"/>
            <w:vAlign w:val="bottom"/>
          </w:tcPr>
          <w:p w14:paraId="50FDD888" w14:textId="217C28F2" w:rsidR="0090202E" w:rsidRPr="00C81756" w:rsidRDefault="00551991" w:rsidP="0055199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1.44 (1.09</w:t>
            </w:r>
            <w:r w:rsidR="0090202E"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  <w:r w:rsidR="0090202E"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bottom"/>
          </w:tcPr>
          <w:p w14:paraId="3568ADC7" w14:textId="0EDD569F" w:rsidR="0090202E" w:rsidRPr="00765CC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51991"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.011</w:t>
            </w:r>
          </w:p>
        </w:tc>
      </w:tr>
      <w:tr w:rsidR="00551991" w:rsidRPr="00C81756" w14:paraId="46BF33A8" w14:textId="77777777" w:rsidTr="00483F23">
        <w:trPr>
          <w:trHeight w:val="239"/>
        </w:trPr>
        <w:tc>
          <w:tcPr>
            <w:tcW w:w="1525" w:type="dxa"/>
          </w:tcPr>
          <w:p w14:paraId="4C251CF7" w14:textId="67F6573B" w:rsidR="00551991" w:rsidRPr="00C81756" w:rsidRDefault="006B633B" w:rsidP="00551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ZIGP</w:t>
            </w:r>
            <w:r w:rsidRPr="00C81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310" w:type="dxa"/>
            <w:vAlign w:val="bottom"/>
          </w:tcPr>
          <w:p w14:paraId="46D51DA6" w14:textId="02BEAFE8" w:rsidR="00551991" w:rsidRPr="00C81756" w:rsidRDefault="00551991" w:rsidP="0055199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0.53 (0.23, 1.25)</w:t>
            </w:r>
          </w:p>
        </w:tc>
        <w:tc>
          <w:tcPr>
            <w:tcW w:w="1500" w:type="dxa"/>
            <w:vAlign w:val="bottom"/>
          </w:tcPr>
          <w:p w14:paraId="78DF550C" w14:textId="189B4B84" w:rsidR="00551991" w:rsidRPr="00C81756" w:rsidRDefault="00551991" w:rsidP="0055199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2310" w:type="dxa"/>
            <w:vAlign w:val="bottom"/>
          </w:tcPr>
          <w:p w14:paraId="2ACEB535" w14:textId="1CF47C91" w:rsidR="00551991" w:rsidRPr="00C81756" w:rsidRDefault="00551991" w:rsidP="0055199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1.45 (1.09, 1.93)</w:t>
            </w:r>
          </w:p>
        </w:tc>
        <w:tc>
          <w:tcPr>
            <w:tcW w:w="1709" w:type="dxa"/>
            <w:vAlign w:val="bottom"/>
          </w:tcPr>
          <w:p w14:paraId="570A71DE" w14:textId="150A2DE0" w:rsidR="00551991" w:rsidRPr="00765CC6" w:rsidRDefault="00551991" w:rsidP="00551991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0.011</w:t>
            </w:r>
          </w:p>
        </w:tc>
      </w:tr>
      <w:tr w:rsidR="000800CF" w:rsidRPr="00C81756" w14:paraId="3B7739F8" w14:textId="77777777" w:rsidTr="00074FD5">
        <w:trPr>
          <w:trHeight w:val="239"/>
        </w:trPr>
        <w:tc>
          <w:tcPr>
            <w:tcW w:w="1525" w:type="dxa"/>
          </w:tcPr>
          <w:p w14:paraId="287E5809" w14:textId="2CD53A0E" w:rsidR="000800CF" w:rsidRPr="00C81756" w:rsidRDefault="000800CF" w:rsidP="000800C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ZHP</w:t>
            </w:r>
          </w:p>
        </w:tc>
        <w:tc>
          <w:tcPr>
            <w:tcW w:w="2310" w:type="dxa"/>
          </w:tcPr>
          <w:p w14:paraId="120422DF" w14:textId="21859008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0.93 (0.63, 1.37)</w:t>
            </w:r>
          </w:p>
        </w:tc>
        <w:tc>
          <w:tcPr>
            <w:tcW w:w="1500" w:type="dxa"/>
          </w:tcPr>
          <w:p w14:paraId="43BA7112" w14:textId="1BF359C0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2310" w:type="dxa"/>
            <w:vAlign w:val="bottom"/>
          </w:tcPr>
          <w:p w14:paraId="629091E2" w14:textId="57F01437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434B">
              <w:rPr>
                <w:rFonts w:ascii="Times New Roman" w:hAnsi="Times New Roman" w:cs="Times New Roman"/>
                <w:sz w:val="20"/>
                <w:szCs w:val="20"/>
              </w:rPr>
              <w:t xml:space="preserve"> (1.13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434B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bottom"/>
          </w:tcPr>
          <w:p w14:paraId="5F397CD7" w14:textId="493B7C32" w:rsidR="000800CF" w:rsidRPr="00765CC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1A434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0800CF" w:rsidRPr="00C81756" w14:paraId="0C7616AE" w14:textId="77777777" w:rsidTr="00074FD5">
        <w:trPr>
          <w:trHeight w:val="239"/>
        </w:trPr>
        <w:tc>
          <w:tcPr>
            <w:tcW w:w="1525" w:type="dxa"/>
          </w:tcPr>
          <w:p w14:paraId="4F944D21" w14:textId="0B20E35C" w:rsidR="000800CF" w:rsidRPr="00C81756" w:rsidRDefault="000800CF" w:rsidP="000800C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ZHNB</w:t>
            </w:r>
          </w:p>
        </w:tc>
        <w:tc>
          <w:tcPr>
            <w:tcW w:w="2310" w:type="dxa"/>
          </w:tcPr>
          <w:p w14:paraId="075FCD73" w14:textId="61C6E23B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0.93 (0.63, 1.37)</w:t>
            </w:r>
          </w:p>
        </w:tc>
        <w:tc>
          <w:tcPr>
            <w:tcW w:w="1500" w:type="dxa"/>
          </w:tcPr>
          <w:p w14:paraId="01595BD2" w14:textId="25E1D637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2310" w:type="dxa"/>
            <w:vAlign w:val="bottom"/>
          </w:tcPr>
          <w:p w14:paraId="5C242CC0" w14:textId="742DDBF7" w:rsidR="000800CF" w:rsidRPr="00C81756" w:rsidRDefault="000800CF" w:rsidP="001A434B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 w:rsidR="001A43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A434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bottom"/>
          </w:tcPr>
          <w:p w14:paraId="72D5BB0F" w14:textId="5DB7AC70" w:rsidR="000800CF" w:rsidRPr="00765CC6" w:rsidRDefault="000800CF" w:rsidP="001A434B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A434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92AA8" w:rsidRPr="00C81756" w14:paraId="2A94E4BC" w14:textId="181D2092" w:rsidTr="00D92AA8">
        <w:trPr>
          <w:trHeight w:val="239"/>
        </w:trPr>
        <w:tc>
          <w:tcPr>
            <w:tcW w:w="9354" w:type="dxa"/>
            <w:gridSpan w:val="5"/>
          </w:tcPr>
          <w:p w14:paraId="6BB8C61B" w14:textId="30E752D7" w:rsidR="00D92AA8" w:rsidRPr="00C81756" w:rsidRDefault="00D92AA8" w:rsidP="00483F2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Example data</w:t>
            </w:r>
            <w:r w:rsidR="00776BC4"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="001D470F"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egmental </w:t>
            </w:r>
            <w:r w:rsidR="00483F23"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vs</w:t>
            </w:r>
            <w:r w:rsidR="00765C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non-segmental withdrawal time protocols </w:t>
            </w:r>
          </w:p>
        </w:tc>
      </w:tr>
      <w:tr w:rsidR="00D92AA8" w:rsidRPr="00C81756" w14:paraId="76411F03" w14:textId="69099368" w:rsidTr="00483F23">
        <w:trPr>
          <w:trHeight w:val="224"/>
        </w:trPr>
        <w:tc>
          <w:tcPr>
            <w:tcW w:w="1525" w:type="dxa"/>
          </w:tcPr>
          <w:p w14:paraId="24B71611" w14:textId="0C7B1431" w:rsidR="00D92AA8" w:rsidRPr="00C81756" w:rsidRDefault="00D92AA8" w:rsidP="006E7A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LR</w:t>
            </w:r>
          </w:p>
        </w:tc>
        <w:tc>
          <w:tcPr>
            <w:tcW w:w="2310" w:type="dxa"/>
            <w:vAlign w:val="bottom"/>
          </w:tcPr>
          <w:p w14:paraId="1ED65209" w14:textId="1EC8134B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1.42 (0.91, 2.22)</w:t>
            </w:r>
          </w:p>
        </w:tc>
        <w:tc>
          <w:tcPr>
            <w:tcW w:w="1500" w:type="dxa"/>
            <w:vAlign w:val="bottom"/>
          </w:tcPr>
          <w:p w14:paraId="1F15DE2A" w14:textId="77777777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4019" w:type="dxa"/>
            <w:gridSpan w:val="2"/>
          </w:tcPr>
          <w:p w14:paraId="24F8C242" w14:textId="0F6256F6" w:rsidR="00D92AA8" w:rsidRPr="00C81756" w:rsidRDefault="00483F23" w:rsidP="00D809D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</w:tr>
      <w:tr w:rsidR="00483F23" w:rsidRPr="00C81756" w14:paraId="50BD8E50" w14:textId="66E12232" w:rsidTr="00483F23">
        <w:trPr>
          <w:trHeight w:val="224"/>
        </w:trPr>
        <w:tc>
          <w:tcPr>
            <w:tcW w:w="1525" w:type="dxa"/>
          </w:tcPr>
          <w:p w14:paraId="22A8C770" w14:textId="512997DB" w:rsidR="00483F23" w:rsidRPr="00C81756" w:rsidRDefault="00483F23" w:rsidP="00483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3810" w:type="dxa"/>
            <w:gridSpan w:val="2"/>
          </w:tcPr>
          <w:p w14:paraId="3FF7EA3B" w14:textId="5448642C" w:rsidR="00483F23" w:rsidRPr="00C81756" w:rsidRDefault="00483F23" w:rsidP="00483F23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</w:p>
        </w:tc>
        <w:tc>
          <w:tcPr>
            <w:tcW w:w="2310" w:type="dxa"/>
            <w:vAlign w:val="bottom"/>
          </w:tcPr>
          <w:p w14:paraId="24E1AB68" w14:textId="16B6800F" w:rsidR="00483F23" w:rsidRPr="00C81756" w:rsidRDefault="00483F23" w:rsidP="00483F2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1.17 (0.95, 1.44)</w:t>
            </w:r>
          </w:p>
        </w:tc>
        <w:tc>
          <w:tcPr>
            <w:tcW w:w="1709" w:type="dxa"/>
            <w:vAlign w:val="bottom"/>
          </w:tcPr>
          <w:p w14:paraId="007983AF" w14:textId="3C3A5E67" w:rsidR="00483F23" w:rsidRPr="00C81756" w:rsidRDefault="00483F23" w:rsidP="00483F2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</w:tr>
      <w:tr w:rsidR="00BE7EA3" w:rsidRPr="00C81756" w14:paraId="67E6C6CF" w14:textId="77777777" w:rsidTr="00483F23">
        <w:trPr>
          <w:trHeight w:val="224"/>
        </w:trPr>
        <w:tc>
          <w:tcPr>
            <w:tcW w:w="1525" w:type="dxa"/>
          </w:tcPr>
          <w:p w14:paraId="4146F7ED" w14:textId="03423776" w:rsidR="00BE7EA3" w:rsidRPr="00C81756" w:rsidRDefault="002674EE" w:rsidP="00483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E7EA3" w:rsidRPr="00C817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810" w:type="dxa"/>
            <w:gridSpan w:val="2"/>
          </w:tcPr>
          <w:p w14:paraId="5AA206A7" w14:textId="62F5733C" w:rsidR="00BE7EA3" w:rsidRPr="00C81756" w:rsidRDefault="00880A97" w:rsidP="00483F23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14E6206B" w14:textId="500E39EE" w:rsidR="00BE7EA3" w:rsidRPr="00C81756" w:rsidRDefault="008637B1" w:rsidP="00483F2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1.17 (0.88, 1.56)</w:t>
            </w:r>
          </w:p>
        </w:tc>
        <w:tc>
          <w:tcPr>
            <w:tcW w:w="1709" w:type="dxa"/>
            <w:vAlign w:val="bottom"/>
          </w:tcPr>
          <w:p w14:paraId="5B7663FD" w14:textId="6B703AEE" w:rsidR="00BE7EA3" w:rsidRPr="00C81756" w:rsidRDefault="008637B1" w:rsidP="00483F2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0.289</w:t>
            </w:r>
          </w:p>
        </w:tc>
      </w:tr>
      <w:tr w:rsidR="00483F23" w:rsidRPr="00C81756" w14:paraId="0EFA3DFD" w14:textId="538F28D1" w:rsidTr="00483F23">
        <w:trPr>
          <w:trHeight w:val="224"/>
        </w:trPr>
        <w:tc>
          <w:tcPr>
            <w:tcW w:w="1525" w:type="dxa"/>
          </w:tcPr>
          <w:p w14:paraId="130986AE" w14:textId="77777777" w:rsidR="00483F23" w:rsidRPr="00C81756" w:rsidRDefault="00483F23" w:rsidP="00483F2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</w:p>
        </w:tc>
        <w:tc>
          <w:tcPr>
            <w:tcW w:w="3810" w:type="dxa"/>
            <w:gridSpan w:val="2"/>
          </w:tcPr>
          <w:p w14:paraId="6F808A90" w14:textId="12111A45" w:rsidR="00483F23" w:rsidRPr="00C81756" w:rsidRDefault="00483F23" w:rsidP="00483F23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3150AFD9" w14:textId="78A8C3EA" w:rsidR="00483F23" w:rsidRPr="00C81756" w:rsidRDefault="00483F23" w:rsidP="00483F2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1.17 (0.86, 1.58)</w:t>
            </w:r>
          </w:p>
        </w:tc>
        <w:tc>
          <w:tcPr>
            <w:tcW w:w="1709" w:type="dxa"/>
            <w:vAlign w:val="bottom"/>
          </w:tcPr>
          <w:p w14:paraId="7F76E348" w14:textId="700A8B77" w:rsidR="00483F23" w:rsidRPr="00C81756" w:rsidRDefault="00483F23" w:rsidP="00483F2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</w:tr>
      <w:tr w:rsidR="00D92AA8" w:rsidRPr="00C81756" w14:paraId="2B5A743B" w14:textId="2CC29529" w:rsidTr="00483F23">
        <w:trPr>
          <w:trHeight w:val="232"/>
        </w:trPr>
        <w:tc>
          <w:tcPr>
            <w:tcW w:w="1525" w:type="dxa"/>
          </w:tcPr>
          <w:p w14:paraId="1B171D0E" w14:textId="36A43AEE" w:rsidR="00D92AA8" w:rsidRPr="00C81756" w:rsidRDefault="00D92AA8" w:rsidP="006E7A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2310" w:type="dxa"/>
            <w:vAlign w:val="bottom"/>
          </w:tcPr>
          <w:p w14:paraId="60C2739B" w14:textId="6B0B5168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1.59 (0.85, 2.98)</w:t>
            </w:r>
          </w:p>
        </w:tc>
        <w:tc>
          <w:tcPr>
            <w:tcW w:w="1500" w:type="dxa"/>
            <w:vAlign w:val="bottom"/>
          </w:tcPr>
          <w:p w14:paraId="1ED9F321" w14:textId="69183C90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2310" w:type="dxa"/>
            <w:vAlign w:val="bottom"/>
          </w:tcPr>
          <w:p w14:paraId="2A50E918" w14:textId="11A2910A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0.98 (0.76, 1.27)</w:t>
            </w:r>
          </w:p>
        </w:tc>
        <w:tc>
          <w:tcPr>
            <w:tcW w:w="1709" w:type="dxa"/>
            <w:vAlign w:val="bottom"/>
          </w:tcPr>
          <w:p w14:paraId="7D0B08B8" w14:textId="1E12D1D4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</w:tr>
      <w:tr w:rsidR="00D92AA8" w:rsidRPr="00C81756" w14:paraId="2082C348" w14:textId="390172B0" w:rsidTr="00483F23">
        <w:trPr>
          <w:trHeight w:val="232"/>
        </w:trPr>
        <w:tc>
          <w:tcPr>
            <w:tcW w:w="1525" w:type="dxa"/>
          </w:tcPr>
          <w:p w14:paraId="71B4F7C0" w14:textId="5D3F1EF9" w:rsidR="00D92AA8" w:rsidRPr="00C81756" w:rsidRDefault="00D92AA8" w:rsidP="006E7A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ZIRP</w:t>
            </w:r>
          </w:p>
        </w:tc>
        <w:tc>
          <w:tcPr>
            <w:tcW w:w="2310" w:type="dxa"/>
            <w:vAlign w:val="bottom"/>
          </w:tcPr>
          <w:p w14:paraId="46917663" w14:textId="5C162F87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1.59 (0.83, 3.05)</w:t>
            </w:r>
          </w:p>
        </w:tc>
        <w:tc>
          <w:tcPr>
            <w:tcW w:w="1500" w:type="dxa"/>
            <w:vAlign w:val="bottom"/>
          </w:tcPr>
          <w:p w14:paraId="557794B2" w14:textId="4E1EBD3C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2310" w:type="dxa"/>
            <w:vAlign w:val="bottom"/>
          </w:tcPr>
          <w:p w14:paraId="67905D9C" w14:textId="50C6642F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0.98 (0.73, 1.33)</w:t>
            </w:r>
          </w:p>
        </w:tc>
        <w:tc>
          <w:tcPr>
            <w:tcW w:w="1709" w:type="dxa"/>
            <w:vAlign w:val="bottom"/>
          </w:tcPr>
          <w:p w14:paraId="2864078F" w14:textId="6B0F3978" w:rsidR="00D92AA8" w:rsidRPr="00C81756" w:rsidRDefault="00D92AA8" w:rsidP="00D809D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0.915</w:t>
            </w:r>
          </w:p>
        </w:tc>
      </w:tr>
      <w:tr w:rsidR="0090202E" w:rsidRPr="00C81756" w14:paraId="085524AD" w14:textId="77777777" w:rsidTr="00483F23">
        <w:trPr>
          <w:trHeight w:val="232"/>
        </w:trPr>
        <w:tc>
          <w:tcPr>
            <w:tcW w:w="1525" w:type="dxa"/>
          </w:tcPr>
          <w:p w14:paraId="2FD23A3B" w14:textId="76BE6D54" w:rsidR="0090202E" w:rsidRPr="00C81756" w:rsidRDefault="0090202E" w:rsidP="0090202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ZINB</w:t>
            </w:r>
          </w:p>
        </w:tc>
        <w:tc>
          <w:tcPr>
            <w:tcW w:w="2310" w:type="dxa"/>
            <w:vAlign w:val="bottom"/>
          </w:tcPr>
          <w:p w14:paraId="2F10AC7F" w14:textId="20101BA6" w:rsidR="0090202E" w:rsidRPr="00C81756" w:rsidRDefault="0090202E" w:rsidP="004A1256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2.16 (0.55</w:t>
            </w:r>
            <w:r w:rsidR="004A1256" w:rsidRPr="00C81756">
              <w:rPr>
                <w:rFonts w:ascii="Times New Roman" w:hAnsi="Times New Roman" w:cs="Times New Roman"/>
                <w:sz w:val="20"/>
                <w:szCs w:val="20"/>
              </w:rPr>
              <w:t>, 8.49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bottom"/>
          </w:tcPr>
          <w:p w14:paraId="2DB64D6B" w14:textId="220269E1" w:rsidR="0090202E" w:rsidRPr="00C8175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0.269</w:t>
            </w:r>
          </w:p>
        </w:tc>
        <w:tc>
          <w:tcPr>
            <w:tcW w:w="2310" w:type="dxa"/>
            <w:vAlign w:val="bottom"/>
          </w:tcPr>
          <w:p w14:paraId="45C4CE13" w14:textId="5641682A" w:rsidR="0090202E" w:rsidRPr="00C8175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0.98 (0.69, 1.39)</w:t>
            </w:r>
          </w:p>
        </w:tc>
        <w:tc>
          <w:tcPr>
            <w:tcW w:w="1709" w:type="dxa"/>
            <w:vAlign w:val="bottom"/>
          </w:tcPr>
          <w:p w14:paraId="2A227E54" w14:textId="26460274" w:rsidR="0090202E" w:rsidRPr="00C8175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0.918</w:t>
            </w:r>
          </w:p>
        </w:tc>
      </w:tr>
      <w:tr w:rsidR="00BE7EA3" w:rsidRPr="00C81756" w14:paraId="7DFB0DEA" w14:textId="77777777" w:rsidTr="00483F23">
        <w:trPr>
          <w:trHeight w:val="232"/>
        </w:trPr>
        <w:tc>
          <w:tcPr>
            <w:tcW w:w="1525" w:type="dxa"/>
          </w:tcPr>
          <w:p w14:paraId="1F82E551" w14:textId="027522AF" w:rsidR="00BE7EA3" w:rsidRPr="00C81756" w:rsidRDefault="00BE7EA3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ZIGP</w:t>
            </w:r>
          </w:p>
        </w:tc>
        <w:tc>
          <w:tcPr>
            <w:tcW w:w="2310" w:type="dxa"/>
            <w:vAlign w:val="bottom"/>
          </w:tcPr>
          <w:p w14:paraId="7BA41649" w14:textId="6CA2035F" w:rsidR="00BE7EA3" w:rsidRPr="00C81756" w:rsidRDefault="009707B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2.40 (0.51, 11.29)</w:t>
            </w:r>
          </w:p>
        </w:tc>
        <w:tc>
          <w:tcPr>
            <w:tcW w:w="1500" w:type="dxa"/>
            <w:vAlign w:val="bottom"/>
          </w:tcPr>
          <w:p w14:paraId="60F7E1C2" w14:textId="20B06C5E" w:rsidR="00BE7EA3" w:rsidRPr="00C81756" w:rsidRDefault="009707B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2310" w:type="dxa"/>
            <w:vAlign w:val="bottom"/>
          </w:tcPr>
          <w:p w14:paraId="209CB768" w14:textId="32B5E56E" w:rsidR="00BE7EA3" w:rsidRPr="00C81756" w:rsidRDefault="009707B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0.92 (0.61, 1.39)</w:t>
            </w:r>
          </w:p>
        </w:tc>
        <w:tc>
          <w:tcPr>
            <w:tcW w:w="1709" w:type="dxa"/>
            <w:vAlign w:val="bottom"/>
          </w:tcPr>
          <w:p w14:paraId="3734C1C9" w14:textId="0ABCF7B8" w:rsidR="00BE7EA3" w:rsidRPr="00C81756" w:rsidRDefault="009707B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0.689</w:t>
            </w:r>
          </w:p>
        </w:tc>
      </w:tr>
      <w:tr w:rsidR="000800CF" w:rsidRPr="00C81756" w14:paraId="5F8EBB55" w14:textId="77777777" w:rsidTr="00483F23">
        <w:trPr>
          <w:trHeight w:val="232"/>
        </w:trPr>
        <w:tc>
          <w:tcPr>
            <w:tcW w:w="1525" w:type="dxa"/>
          </w:tcPr>
          <w:p w14:paraId="4D08B239" w14:textId="7523FDA3" w:rsidR="000800CF" w:rsidRPr="00C81756" w:rsidRDefault="000800CF" w:rsidP="000800C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ZHP</w:t>
            </w:r>
          </w:p>
        </w:tc>
        <w:tc>
          <w:tcPr>
            <w:tcW w:w="2310" w:type="dxa"/>
            <w:vAlign w:val="bottom"/>
          </w:tcPr>
          <w:p w14:paraId="61AA040E" w14:textId="19DE8DD2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1.42 (0.91, 2.22)</w:t>
            </w:r>
          </w:p>
        </w:tc>
        <w:tc>
          <w:tcPr>
            <w:tcW w:w="1500" w:type="dxa"/>
            <w:vAlign w:val="bottom"/>
          </w:tcPr>
          <w:p w14:paraId="526A74A3" w14:textId="09F37B8C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2310" w:type="dxa"/>
            <w:vAlign w:val="bottom"/>
          </w:tcPr>
          <w:p w14:paraId="59096C1A" w14:textId="3A158BFB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0.98 (0.</w:t>
            </w:r>
            <w:r w:rsidR="00316B0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, 1.</w:t>
            </w:r>
            <w:r w:rsidR="00316B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bottom"/>
          </w:tcPr>
          <w:p w14:paraId="598507F2" w14:textId="7EEF8CD3" w:rsidR="000800CF" w:rsidRPr="00C81756" w:rsidRDefault="000800CF" w:rsidP="000800C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316B0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16B03" w:rsidRPr="00C81756" w14:paraId="70EF718E" w14:textId="77777777" w:rsidTr="00483F23">
        <w:trPr>
          <w:trHeight w:val="232"/>
        </w:trPr>
        <w:tc>
          <w:tcPr>
            <w:tcW w:w="1525" w:type="dxa"/>
          </w:tcPr>
          <w:p w14:paraId="79D44EA4" w14:textId="00C63D05" w:rsidR="00316B03" w:rsidRPr="00C81756" w:rsidRDefault="00316B03" w:rsidP="00316B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ZHNB</w:t>
            </w:r>
          </w:p>
        </w:tc>
        <w:tc>
          <w:tcPr>
            <w:tcW w:w="2310" w:type="dxa"/>
            <w:vAlign w:val="bottom"/>
          </w:tcPr>
          <w:p w14:paraId="60D9F192" w14:textId="5CD75D8F" w:rsidR="00316B03" w:rsidRPr="00C81756" w:rsidRDefault="00316B03" w:rsidP="00316B0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1.42 (0.91, 2.22)</w:t>
            </w:r>
          </w:p>
        </w:tc>
        <w:tc>
          <w:tcPr>
            <w:tcW w:w="1500" w:type="dxa"/>
            <w:vAlign w:val="bottom"/>
          </w:tcPr>
          <w:p w14:paraId="241561F5" w14:textId="4D2D1D87" w:rsidR="00316B03" w:rsidRPr="00C81756" w:rsidRDefault="00316B03" w:rsidP="00316B0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2310" w:type="dxa"/>
            <w:vAlign w:val="bottom"/>
          </w:tcPr>
          <w:p w14:paraId="635BA767" w14:textId="1E8FBB90" w:rsidR="00316B03" w:rsidRPr="00C81756" w:rsidRDefault="00316B03" w:rsidP="00316B0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0.98 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.69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,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bottom"/>
          </w:tcPr>
          <w:p w14:paraId="4E320B7C" w14:textId="7A91E78C" w:rsidR="00316B03" w:rsidRPr="00C81756" w:rsidRDefault="00316B03" w:rsidP="00316B0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7EA3" w:rsidRPr="00C81756" w14:paraId="358F4CFD" w14:textId="2A7ACE7F" w:rsidTr="00D92AA8">
        <w:trPr>
          <w:trHeight w:val="232"/>
        </w:trPr>
        <w:tc>
          <w:tcPr>
            <w:tcW w:w="9354" w:type="dxa"/>
            <w:gridSpan w:val="5"/>
          </w:tcPr>
          <w:p w14:paraId="0F1F0F01" w14:textId="6C533296" w:rsidR="00BE7EA3" w:rsidRPr="00C81756" w:rsidRDefault="00BE7EA3" w:rsidP="00BE7E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Example data</w:t>
            </w:r>
            <w:r w:rsidR="00776BC4"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After the GI fellowship program vs</w:t>
            </w:r>
            <w:r w:rsidR="00765C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before the GI fellowship program</w:t>
            </w:r>
            <w:r w:rsidR="005216D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BE7EA3" w:rsidRPr="00C81756" w14:paraId="291B9269" w14:textId="632297DE" w:rsidTr="00483F23">
        <w:trPr>
          <w:trHeight w:val="224"/>
        </w:trPr>
        <w:tc>
          <w:tcPr>
            <w:tcW w:w="1525" w:type="dxa"/>
          </w:tcPr>
          <w:p w14:paraId="5C3A0118" w14:textId="4EC8A658" w:rsidR="00BE7EA3" w:rsidRPr="00C81756" w:rsidRDefault="00BE7EA3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LR</w:t>
            </w:r>
          </w:p>
        </w:tc>
        <w:tc>
          <w:tcPr>
            <w:tcW w:w="2310" w:type="dxa"/>
            <w:vAlign w:val="bottom"/>
          </w:tcPr>
          <w:p w14:paraId="3848CFEF" w14:textId="7777777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1.64 (1.36, 1.97)</w:t>
            </w:r>
          </w:p>
        </w:tc>
        <w:tc>
          <w:tcPr>
            <w:tcW w:w="1500" w:type="dxa"/>
            <w:vAlign w:val="bottom"/>
          </w:tcPr>
          <w:p w14:paraId="5C5DD1F9" w14:textId="77777777" w:rsidR="00BE7EA3" w:rsidRPr="0048263C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63C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  <w:tc>
          <w:tcPr>
            <w:tcW w:w="4019" w:type="dxa"/>
            <w:gridSpan w:val="2"/>
          </w:tcPr>
          <w:p w14:paraId="164D289B" w14:textId="70BE3A15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</w:tr>
      <w:tr w:rsidR="00BE7EA3" w:rsidRPr="00C81756" w14:paraId="367D7259" w14:textId="5ECF415C" w:rsidTr="00483F23">
        <w:trPr>
          <w:trHeight w:val="224"/>
        </w:trPr>
        <w:tc>
          <w:tcPr>
            <w:tcW w:w="1525" w:type="dxa"/>
          </w:tcPr>
          <w:p w14:paraId="21CC804B" w14:textId="02A24F92" w:rsidR="00BE7EA3" w:rsidRPr="00C81756" w:rsidRDefault="00BE7EA3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3810" w:type="dxa"/>
            <w:gridSpan w:val="2"/>
          </w:tcPr>
          <w:p w14:paraId="3D626EED" w14:textId="2D8D837E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</w:p>
        </w:tc>
        <w:tc>
          <w:tcPr>
            <w:tcW w:w="2310" w:type="dxa"/>
            <w:vAlign w:val="bottom"/>
          </w:tcPr>
          <w:p w14:paraId="04463DFD" w14:textId="7777777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1.57 (1.42, 1.74)</w:t>
            </w:r>
          </w:p>
        </w:tc>
        <w:tc>
          <w:tcPr>
            <w:tcW w:w="1709" w:type="dxa"/>
            <w:vAlign w:val="bottom"/>
          </w:tcPr>
          <w:p w14:paraId="15C4B5C1" w14:textId="77777777" w:rsidR="00BE7EA3" w:rsidRPr="00765CC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BE7EA3" w:rsidRPr="00C81756" w14:paraId="173D1419" w14:textId="77777777" w:rsidTr="00483F23">
        <w:trPr>
          <w:trHeight w:val="224"/>
        </w:trPr>
        <w:tc>
          <w:tcPr>
            <w:tcW w:w="1525" w:type="dxa"/>
          </w:tcPr>
          <w:p w14:paraId="22D7DD59" w14:textId="27D34019" w:rsidR="00BE7EA3" w:rsidRPr="00C81756" w:rsidRDefault="002674EE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E7EA3" w:rsidRPr="00C817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810" w:type="dxa"/>
            <w:gridSpan w:val="2"/>
          </w:tcPr>
          <w:p w14:paraId="4E5359A0" w14:textId="69AD3612" w:rsidR="00BE7EA3" w:rsidRPr="00C81756" w:rsidRDefault="00880A97" w:rsidP="00BE7EA3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6EA2351A" w14:textId="65DAC262" w:rsidR="00BE7EA3" w:rsidRPr="00C81756" w:rsidRDefault="000500F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1.57 (1.37, 1.80)</w:t>
            </w:r>
          </w:p>
        </w:tc>
        <w:tc>
          <w:tcPr>
            <w:tcW w:w="1709" w:type="dxa"/>
            <w:vAlign w:val="bottom"/>
          </w:tcPr>
          <w:p w14:paraId="5FDC0873" w14:textId="464D323B" w:rsidR="00BE7EA3" w:rsidRPr="00765CC6" w:rsidRDefault="000500FB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BE7EA3" w:rsidRPr="00C81756" w14:paraId="66AB359F" w14:textId="5F560657" w:rsidTr="00483F23">
        <w:trPr>
          <w:trHeight w:val="224"/>
        </w:trPr>
        <w:tc>
          <w:tcPr>
            <w:tcW w:w="1525" w:type="dxa"/>
          </w:tcPr>
          <w:p w14:paraId="059893E2" w14:textId="6E4ED16E" w:rsidR="00BE7EA3" w:rsidRPr="00C81756" w:rsidRDefault="00BE7EA3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</w:p>
        </w:tc>
        <w:tc>
          <w:tcPr>
            <w:tcW w:w="3810" w:type="dxa"/>
            <w:gridSpan w:val="2"/>
          </w:tcPr>
          <w:p w14:paraId="496DE685" w14:textId="256B6C4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1831569C" w14:textId="7777777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1.57 (1.36, 1.80)</w:t>
            </w:r>
          </w:p>
        </w:tc>
        <w:tc>
          <w:tcPr>
            <w:tcW w:w="1709" w:type="dxa"/>
            <w:vAlign w:val="bottom"/>
          </w:tcPr>
          <w:p w14:paraId="37D44D6E" w14:textId="77777777" w:rsidR="00BE7EA3" w:rsidRPr="00765CC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BE7EA3" w:rsidRPr="00C81756" w14:paraId="23D9165F" w14:textId="2488D90F" w:rsidTr="00483F23">
        <w:trPr>
          <w:trHeight w:val="232"/>
        </w:trPr>
        <w:tc>
          <w:tcPr>
            <w:tcW w:w="1525" w:type="dxa"/>
          </w:tcPr>
          <w:p w14:paraId="51350B99" w14:textId="60C54B57" w:rsidR="00BE7EA3" w:rsidRPr="00C81756" w:rsidRDefault="00BE7EA3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2310" w:type="dxa"/>
            <w:vAlign w:val="bottom"/>
          </w:tcPr>
          <w:p w14:paraId="7B0AC991" w14:textId="7777777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1.41 (1.04, 1.90)</w:t>
            </w:r>
          </w:p>
        </w:tc>
        <w:tc>
          <w:tcPr>
            <w:tcW w:w="1500" w:type="dxa"/>
            <w:vAlign w:val="bottom"/>
          </w:tcPr>
          <w:p w14:paraId="67E3A979" w14:textId="77777777" w:rsidR="00BE7EA3" w:rsidRPr="00765CC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0.026</w:t>
            </w:r>
          </w:p>
        </w:tc>
        <w:tc>
          <w:tcPr>
            <w:tcW w:w="2310" w:type="dxa"/>
            <w:vAlign w:val="bottom"/>
          </w:tcPr>
          <w:p w14:paraId="23E97315" w14:textId="7777777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1.35 (1.17, 1.56)</w:t>
            </w:r>
          </w:p>
        </w:tc>
        <w:tc>
          <w:tcPr>
            <w:tcW w:w="1709" w:type="dxa"/>
            <w:vAlign w:val="bottom"/>
          </w:tcPr>
          <w:p w14:paraId="4DF0A43A" w14:textId="77777777" w:rsidR="00BE7EA3" w:rsidRPr="00765CC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&lt;0.001</w:t>
            </w:r>
          </w:p>
        </w:tc>
      </w:tr>
      <w:tr w:rsidR="00BE7EA3" w:rsidRPr="00C81756" w14:paraId="00F3CB65" w14:textId="49483435" w:rsidTr="00483F23">
        <w:trPr>
          <w:trHeight w:val="232"/>
        </w:trPr>
        <w:tc>
          <w:tcPr>
            <w:tcW w:w="1525" w:type="dxa"/>
          </w:tcPr>
          <w:p w14:paraId="5A3BF10F" w14:textId="0BE8357B" w:rsidR="00BE7EA3" w:rsidRPr="00C81756" w:rsidRDefault="00BE7EA3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ZIRP</w:t>
            </w:r>
          </w:p>
        </w:tc>
        <w:tc>
          <w:tcPr>
            <w:tcW w:w="2310" w:type="dxa"/>
            <w:vAlign w:val="bottom"/>
          </w:tcPr>
          <w:p w14:paraId="489BAF48" w14:textId="7777777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1.41 (1.02, 1.94)</w:t>
            </w:r>
          </w:p>
        </w:tc>
        <w:tc>
          <w:tcPr>
            <w:tcW w:w="1500" w:type="dxa"/>
            <w:vAlign w:val="bottom"/>
          </w:tcPr>
          <w:p w14:paraId="17A0270A" w14:textId="77777777" w:rsidR="00BE7EA3" w:rsidRPr="00765CC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0.039</w:t>
            </w:r>
          </w:p>
        </w:tc>
        <w:tc>
          <w:tcPr>
            <w:tcW w:w="2310" w:type="dxa"/>
            <w:vAlign w:val="bottom"/>
          </w:tcPr>
          <w:p w14:paraId="760661DA" w14:textId="77777777" w:rsidR="00BE7EA3" w:rsidRPr="00C8175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1.35 (1.14, 1.61)</w:t>
            </w:r>
          </w:p>
        </w:tc>
        <w:tc>
          <w:tcPr>
            <w:tcW w:w="1709" w:type="dxa"/>
            <w:vAlign w:val="bottom"/>
          </w:tcPr>
          <w:p w14:paraId="6DE4E360" w14:textId="77777777" w:rsidR="00BE7EA3" w:rsidRPr="00765CC6" w:rsidRDefault="00BE7EA3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90202E" w:rsidRPr="00C81756" w14:paraId="514390BC" w14:textId="77777777" w:rsidTr="00483F23">
        <w:trPr>
          <w:trHeight w:val="232"/>
        </w:trPr>
        <w:tc>
          <w:tcPr>
            <w:tcW w:w="1525" w:type="dxa"/>
          </w:tcPr>
          <w:p w14:paraId="420EC9DF" w14:textId="6658603C" w:rsidR="0090202E" w:rsidRPr="00C81756" w:rsidRDefault="0090202E" w:rsidP="0090202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ZINB</w:t>
            </w:r>
          </w:p>
        </w:tc>
        <w:tc>
          <w:tcPr>
            <w:tcW w:w="2310" w:type="dxa"/>
            <w:vAlign w:val="bottom"/>
          </w:tcPr>
          <w:p w14:paraId="4C634AAD" w14:textId="35FFD0A1" w:rsidR="0090202E" w:rsidRPr="00C8175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2.24 (</w:t>
            </w:r>
            <w:r w:rsidR="00857C45" w:rsidRPr="00C81756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  <w:r w:rsidR="00857C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7.88)</w:t>
            </w:r>
          </w:p>
        </w:tc>
        <w:tc>
          <w:tcPr>
            <w:tcW w:w="1500" w:type="dxa"/>
            <w:vAlign w:val="bottom"/>
          </w:tcPr>
          <w:p w14:paraId="1834A073" w14:textId="3AD709D7" w:rsidR="0090202E" w:rsidRPr="00C8175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2310" w:type="dxa"/>
            <w:vAlign w:val="bottom"/>
          </w:tcPr>
          <w:p w14:paraId="35FC07D6" w14:textId="14E2A8A3" w:rsidR="0090202E" w:rsidRPr="00C8175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1.49 (1.17, 1.9</w:t>
            </w:r>
            <w:r w:rsidR="000500FB" w:rsidRPr="00C817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bottom"/>
          </w:tcPr>
          <w:p w14:paraId="20C56F17" w14:textId="56282680" w:rsidR="0090202E" w:rsidRPr="00765CC6" w:rsidRDefault="0090202E" w:rsidP="0090202E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BE7EA3" w:rsidRPr="00C81756" w14:paraId="66327291" w14:textId="77777777" w:rsidTr="00483F23">
        <w:trPr>
          <w:trHeight w:val="232"/>
        </w:trPr>
        <w:tc>
          <w:tcPr>
            <w:tcW w:w="1525" w:type="dxa"/>
          </w:tcPr>
          <w:p w14:paraId="1F72077F" w14:textId="6770D29C" w:rsidR="00BE7EA3" w:rsidRPr="00C81756" w:rsidRDefault="00BE7EA3" w:rsidP="00BE7EA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ZIGP</w:t>
            </w:r>
          </w:p>
        </w:tc>
        <w:tc>
          <w:tcPr>
            <w:tcW w:w="2310" w:type="dxa"/>
            <w:vAlign w:val="bottom"/>
          </w:tcPr>
          <w:p w14:paraId="74965D50" w14:textId="34F9F20D" w:rsidR="00BE7EA3" w:rsidRPr="00C81756" w:rsidRDefault="000500F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2.65 (0.79, 8.85)</w:t>
            </w:r>
          </w:p>
        </w:tc>
        <w:tc>
          <w:tcPr>
            <w:tcW w:w="1500" w:type="dxa"/>
            <w:vAlign w:val="bottom"/>
          </w:tcPr>
          <w:p w14:paraId="4786BF85" w14:textId="534284E0" w:rsidR="00BE7EA3" w:rsidRPr="00C81756" w:rsidRDefault="000500F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2310" w:type="dxa"/>
            <w:vAlign w:val="bottom"/>
          </w:tcPr>
          <w:p w14:paraId="176E3C18" w14:textId="637F46A1" w:rsidR="00BE7EA3" w:rsidRPr="00C81756" w:rsidRDefault="000500FB" w:rsidP="00BE7EA3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1.29 (1.02, 1.65)</w:t>
            </w:r>
          </w:p>
        </w:tc>
        <w:tc>
          <w:tcPr>
            <w:tcW w:w="1709" w:type="dxa"/>
            <w:vAlign w:val="bottom"/>
          </w:tcPr>
          <w:p w14:paraId="7B0411F9" w14:textId="5511547A" w:rsidR="00BE7EA3" w:rsidRPr="00765CC6" w:rsidRDefault="000500FB" w:rsidP="00BE7EA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0.036</w:t>
            </w:r>
          </w:p>
        </w:tc>
      </w:tr>
      <w:tr w:rsidR="00823387" w:rsidRPr="00C81756" w14:paraId="291E9E00" w14:textId="77777777" w:rsidTr="00483F23">
        <w:trPr>
          <w:trHeight w:val="232"/>
        </w:trPr>
        <w:tc>
          <w:tcPr>
            <w:tcW w:w="1525" w:type="dxa"/>
          </w:tcPr>
          <w:p w14:paraId="6DB6F1E9" w14:textId="5AAB8789" w:rsidR="00823387" w:rsidRPr="00C81756" w:rsidRDefault="00823387" w:rsidP="0082338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ZHP</w:t>
            </w:r>
          </w:p>
        </w:tc>
        <w:tc>
          <w:tcPr>
            <w:tcW w:w="2310" w:type="dxa"/>
            <w:vAlign w:val="bottom"/>
          </w:tcPr>
          <w:p w14:paraId="1E6B6E55" w14:textId="393B4021" w:rsidR="00823387" w:rsidRPr="00C81756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1.64 (1.36, 1.97)</w:t>
            </w:r>
          </w:p>
        </w:tc>
        <w:tc>
          <w:tcPr>
            <w:tcW w:w="1500" w:type="dxa"/>
            <w:vAlign w:val="bottom"/>
          </w:tcPr>
          <w:p w14:paraId="1A7481EE" w14:textId="311806BC" w:rsidR="00823387" w:rsidRPr="00823387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2310" w:type="dxa"/>
            <w:vAlign w:val="bottom"/>
          </w:tcPr>
          <w:p w14:paraId="02A95325" w14:textId="71640A73" w:rsidR="00823387" w:rsidRPr="00C81756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(1.18,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1.57)</w:t>
            </w:r>
          </w:p>
        </w:tc>
        <w:tc>
          <w:tcPr>
            <w:tcW w:w="1709" w:type="dxa"/>
            <w:vAlign w:val="bottom"/>
          </w:tcPr>
          <w:p w14:paraId="34E75117" w14:textId="1A29B569" w:rsidR="00823387" w:rsidRPr="00765CC6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0.001</w:t>
            </w:r>
          </w:p>
        </w:tc>
      </w:tr>
      <w:tr w:rsidR="00823387" w:rsidRPr="00C81756" w14:paraId="555B0278" w14:textId="77777777" w:rsidTr="00483F23">
        <w:trPr>
          <w:trHeight w:val="232"/>
        </w:trPr>
        <w:tc>
          <w:tcPr>
            <w:tcW w:w="1525" w:type="dxa"/>
          </w:tcPr>
          <w:p w14:paraId="1CDDCE32" w14:textId="017B8258" w:rsidR="00823387" w:rsidRPr="00C81756" w:rsidRDefault="00823387" w:rsidP="0082338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ZHNB</w:t>
            </w:r>
          </w:p>
        </w:tc>
        <w:tc>
          <w:tcPr>
            <w:tcW w:w="2310" w:type="dxa"/>
            <w:vAlign w:val="bottom"/>
          </w:tcPr>
          <w:p w14:paraId="043C1A4D" w14:textId="01C71E7C" w:rsidR="00823387" w:rsidRPr="00C81756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1.64 (1.36, 1.97)</w:t>
            </w:r>
          </w:p>
        </w:tc>
        <w:tc>
          <w:tcPr>
            <w:tcW w:w="1500" w:type="dxa"/>
            <w:vAlign w:val="bottom"/>
          </w:tcPr>
          <w:p w14:paraId="10C9B00D" w14:textId="4EE939C3" w:rsidR="00823387" w:rsidRPr="00823387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3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2310" w:type="dxa"/>
            <w:vAlign w:val="bottom"/>
          </w:tcPr>
          <w:p w14:paraId="24739F6B" w14:textId="25F1C9D3" w:rsidR="00823387" w:rsidRPr="00C81756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390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(1.19,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0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1.76)</w:t>
            </w:r>
          </w:p>
        </w:tc>
        <w:tc>
          <w:tcPr>
            <w:tcW w:w="1709" w:type="dxa"/>
            <w:vAlign w:val="bottom"/>
          </w:tcPr>
          <w:p w14:paraId="02B7844C" w14:textId="0FF0D74E" w:rsidR="00823387" w:rsidRPr="00765CC6" w:rsidRDefault="00823387" w:rsidP="00823387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CC6">
              <w:rPr>
                <w:rFonts w:ascii="Times New Roman" w:hAnsi="Times New Roman" w:cs="Times New Roman"/>
                <w:b/>
                <w:sz w:val="20"/>
                <w:szCs w:val="20"/>
              </w:rPr>
              <w:t>0.036</w:t>
            </w:r>
          </w:p>
        </w:tc>
      </w:tr>
    </w:tbl>
    <w:p w14:paraId="17C28164" w14:textId="71F58D3E" w:rsidR="0038090E" w:rsidRDefault="006B633B" w:rsidP="006E7A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1756">
        <w:rPr>
          <w:rFonts w:ascii="Times New Roman" w:hAnsi="Times New Roman" w:cs="Times New Roman"/>
          <w:sz w:val="20"/>
          <w:szCs w:val="20"/>
        </w:rPr>
        <w:t>OR: Odds Ratio; RR: Risk</w:t>
      </w:r>
      <w:r w:rsidR="00196B09">
        <w:rPr>
          <w:rFonts w:ascii="Times New Roman" w:hAnsi="Times New Roman" w:cs="Times New Roman"/>
          <w:sz w:val="20"/>
          <w:szCs w:val="20"/>
        </w:rPr>
        <w:t xml:space="preserve"> Ratio</w:t>
      </w:r>
      <w:r w:rsidRPr="00C81756">
        <w:rPr>
          <w:rFonts w:ascii="Times New Roman" w:hAnsi="Times New Roman" w:cs="Times New Roman"/>
          <w:sz w:val="20"/>
          <w:szCs w:val="20"/>
        </w:rPr>
        <w:t xml:space="preserve">; CI: Confidence Interval; NA: Not Applicable; LR: Logistic Regression; PR: Poisson Regression; </w:t>
      </w:r>
      <w:r w:rsidR="002674EE" w:rsidRPr="00C81756">
        <w:rPr>
          <w:rFonts w:ascii="Times New Roman" w:hAnsi="Times New Roman" w:cs="Times New Roman"/>
          <w:sz w:val="20"/>
          <w:szCs w:val="20"/>
        </w:rPr>
        <w:t>R</w:t>
      </w:r>
      <w:r w:rsidRPr="00C81756">
        <w:rPr>
          <w:rFonts w:ascii="Times New Roman" w:hAnsi="Times New Roman" w:cs="Times New Roman"/>
          <w:sz w:val="20"/>
          <w:szCs w:val="20"/>
        </w:rPr>
        <w:t xml:space="preserve">P: </w:t>
      </w:r>
      <w:r w:rsidR="002674EE" w:rsidRPr="00C81756">
        <w:rPr>
          <w:rFonts w:ascii="Times New Roman" w:hAnsi="Times New Roman" w:cs="Times New Roman"/>
          <w:sz w:val="20"/>
          <w:szCs w:val="20"/>
        </w:rPr>
        <w:t xml:space="preserve">Robust </w:t>
      </w:r>
      <w:r w:rsidRPr="00C81756">
        <w:rPr>
          <w:rFonts w:ascii="Times New Roman" w:hAnsi="Times New Roman" w:cs="Times New Roman"/>
          <w:sz w:val="20"/>
          <w:szCs w:val="20"/>
        </w:rPr>
        <w:t xml:space="preserve">Poisson; NB: Negative Binomial; ZIP: Zero-inflated Poisson; ZIRP: Zero-inflated Robust Poisson; ZINB: Zero-inflated Negative Binomial; ZIGP: </w:t>
      </w:r>
      <w:r w:rsidR="000D09B1">
        <w:rPr>
          <w:rFonts w:ascii="Times New Roman" w:hAnsi="Times New Roman" w:cs="Times New Roman"/>
          <w:sz w:val="20"/>
          <w:szCs w:val="20"/>
        </w:rPr>
        <w:t>Zero-inflated</w:t>
      </w:r>
      <w:r w:rsidRPr="00C81756">
        <w:rPr>
          <w:rFonts w:ascii="Times New Roman" w:hAnsi="Times New Roman" w:cs="Times New Roman"/>
          <w:sz w:val="20"/>
          <w:szCs w:val="20"/>
        </w:rPr>
        <w:t xml:space="preserve"> Generalized Poisson; </w:t>
      </w:r>
      <w:r w:rsidR="000D09B1">
        <w:rPr>
          <w:rFonts w:ascii="Times New Roman" w:hAnsi="Times New Roman" w:cs="Times New Roman"/>
          <w:sz w:val="20"/>
          <w:szCs w:val="20"/>
        </w:rPr>
        <w:t xml:space="preserve">ZHP: </w:t>
      </w:r>
      <w:r w:rsidR="00196B09">
        <w:rPr>
          <w:rFonts w:ascii="Times New Roman" w:hAnsi="Times New Roman" w:cs="Times New Roman"/>
          <w:sz w:val="20"/>
          <w:szCs w:val="20"/>
        </w:rPr>
        <w:t xml:space="preserve">Zero hurdle Poisson; ZHNB: Zero </w:t>
      </w:r>
      <w:r w:rsidR="000D09B1">
        <w:rPr>
          <w:rFonts w:ascii="Times New Roman" w:hAnsi="Times New Roman" w:cs="Times New Roman"/>
          <w:sz w:val="20"/>
          <w:szCs w:val="20"/>
        </w:rPr>
        <w:t xml:space="preserve">hurdle Negative Binomial; </w:t>
      </w:r>
      <w:r w:rsidRPr="00C81756">
        <w:rPr>
          <w:rFonts w:ascii="Times New Roman" w:hAnsi="Times New Roman" w:cs="Times New Roman"/>
          <w:sz w:val="20"/>
          <w:szCs w:val="20"/>
        </w:rPr>
        <w:t>CAC: Cap-Assisted Colonoscopy; SC: Standard Colonoscopy</w:t>
      </w:r>
      <w:r w:rsidR="00890B85">
        <w:rPr>
          <w:rFonts w:ascii="Times New Roman" w:hAnsi="Times New Roman" w:cs="Times New Roman"/>
          <w:sz w:val="20"/>
          <w:szCs w:val="20"/>
        </w:rPr>
        <w:t>;</w:t>
      </w:r>
      <w:r w:rsidR="00890B85" w:rsidRPr="00043367">
        <w:rPr>
          <w:rFonts w:ascii="Times New Roman" w:hAnsi="Times New Roman" w:cs="Times New Roman"/>
          <w:sz w:val="20"/>
          <w:szCs w:val="20"/>
        </w:rPr>
        <w:t xml:space="preserve"> </w:t>
      </w:r>
      <w:r w:rsidR="00890B85">
        <w:rPr>
          <w:rFonts w:ascii="Times New Roman" w:hAnsi="Times New Roman" w:cs="Times New Roman"/>
          <w:sz w:val="20"/>
          <w:szCs w:val="20"/>
        </w:rPr>
        <w:t xml:space="preserve">GI: Gastroenterology; </w:t>
      </w:r>
      <w:r w:rsidR="00C40340" w:rsidRPr="00C81756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="00C40340" w:rsidRPr="00C81756">
        <w:rPr>
          <w:rFonts w:ascii="Times New Roman" w:hAnsi="Times New Roman" w:cs="Times New Roman"/>
          <w:sz w:val="20"/>
          <w:szCs w:val="20"/>
        </w:rPr>
        <w:t>Adjusted for total procedure time</w:t>
      </w:r>
      <w:r w:rsidR="00C40340">
        <w:rPr>
          <w:rFonts w:ascii="Times New Roman" w:hAnsi="Times New Roman" w:cs="Times New Roman"/>
          <w:sz w:val="20"/>
          <w:szCs w:val="20"/>
        </w:rPr>
        <w:t>;</w:t>
      </w:r>
      <w:r w:rsidR="00D92AA8" w:rsidRPr="00C81756">
        <w:rPr>
          <w:rFonts w:ascii="Times New Roman" w:hAnsi="Times New Roman" w:cs="Times New Roman"/>
          <w:sz w:val="20"/>
          <w:szCs w:val="20"/>
        </w:rPr>
        <w:t xml:space="preserve"> *Adjusted for age, </w:t>
      </w:r>
      <w:r w:rsidR="00494B02">
        <w:rPr>
          <w:rFonts w:ascii="Times New Roman" w:hAnsi="Times New Roman" w:cs="Times New Roman"/>
          <w:sz w:val="20"/>
          <w:szCs w:val="20"/>
        </w:rPr>
        <w:t>sex</w:t>
      </w:r>
      <w:r w:rsidR="00890B85" w:rsidRPr="00C81756">
        <w:rPr>
          <w:rFonts w:ascii="Times New Roman" w:hAnsi="Times New Roman" w:cs="Times New Roman"/>
          <w:sz w:val="20"/>
          <w:szCs w:val="20"/>
        </w:rPr>
        <w:t>,</w:t>
      </w:r>
      <w:r w:rsidR="00890B85">
        <w:rPr>
          <w:rFonts w:ascii="Times New Roman" w:hAnsi="Times New Roman" w:cs="Times New Roman"/>
          <w:sz w:val="20"/>
          <w:szCs w:val="20"/>
        </w:rPr>
        <w:t xml:space="preserve"> </w:t>
      </w:r>
      <w:r w:rsidR="00D92AA8" w:rsidRPr="00C81756">
        <w:rPr>
          <w:rFonts w:ascii="Times New Roman" w:hAnsi="Times New Roman" w:cs="Times New Roman"/>
          <w:sz w:val="20"/>
          <w:szCs w:val="20"/>
        </w:rPr>
        <w:t>body mass index,  time of day, and sedation type</w:t>
      </w:r>
      <w:r w:rsidR="00C40340">
        <w:rPr>
          <w:rFonts w:ascii="Times New Roman" w:hAnsi="Times New Roman" w:cs="Times New Roman"/>
          <w:sz w:val="20"/>
          <w:szCs w:val="20"/>
        </w:rPr>
        <w:t>;</w:t>
      </w:r>
      <w:r w:rsidRPr="00C8175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E65BC" w:rsidRPr="001C2457">
        <w:rPr>
          <w:rFonts w:ascii="Times New Roman" w:hAnsi="Times New Roman" w:cs="Times New Roman"/>
          <w:sz w:val="20"/>
          <w:szCs w:val="20"/>
        </w:rPr>
        <w:t>Highlighted p-values are significant findings.</w:t>
      </w:r>
    </w:p>
    <w:p w14:paraId="0F290F2F" w14:textId="35384029" w:rsidR="00296BDB" w:rsidRDefault="00296BDB" w:rsidP="006E7A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0246AD" w14:textId="545E3642" w:rsidR="00296BDB" w:rsidRDefault="00296BDB" w:rsidP="006E7AE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C88AC3" w14:textId="77777777" w:rsidR="00296BDB" w:rsidRPr="00C81756" w:rsidRDefault="00296BDB" w:rsidP="00296B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780574D" w14:textId="1C2EDCB7" w:rsidR="00296BDB" w:rsidRPr="00C81756" w:rsidRDefault="00296BDB" w:rsidP="00296BD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Pr="00C81756">
        <w:rPr>
          <w:rFonts w:ascii="Times New Roman" w:hAnsi="Times New Roman" w:cs="Times New Roman"/>
          <w:sz w:val="20"/>
          <w:szCs w:val="20"/>
        </w:rPr>
        <w:t xml:space="preserve">Table </w:t>
      </w:r>
      <w:r w:rsidR="0012717B">
        <w:rPr>
          <w:rFonts w:ascii="Times New Roman" w:hAnsi="Times New Roman" w:cs="Times New Roman"/>
          <w:sz w:val="20"/>
          <w:szCs w:val="20"/>
        </w:rPr>
        <w:t>3</w:t>
      </w:r>
      <w:r w:rsidRPr="00C81756">
        <w:rPr>
          <w:rFonts w:ascii="Times New Roman" w:hAnsi="Times New Roman" w:cs="Times New Roman"/>
          <w:sz w:val="20"/>
          <w:szCs w:val="20"/>
        </w:rPr>
        <w:t xml:space="preserve">. Comparison of </w:t>
      </w:r>
      <w:r w:rsidR="0012717B">
        <w:rPr>
          <w:rFonts w:ascii="Times New Roman" w:hAnsi="Times New Roman" w:cs="Times New Roman"/>
          <w:sz w:val="20"/>
          <w:szCs w:val="20"/>
        </w:rPr>
        <w:t xml:space="preserve">the </w:t>
      </w:r>
      <w:r w:rsidRPr="00C81756">
        <w:rPr>
          <w:rFonts w:ascii="Times New Roman" w:hAnsi="Times New Roman" w:cs="Times New Roman"/>
          <w:sz w:val="20"/>
          <w:szCs w:val="20"/>
        </w:rPr>
        <w:t xml:space="preserve">polyp detection </w:t>
      </w:r>
      <w:r w:rsidR="00A545AE">
        <w:rPr>
          <w:rFonts w:ascii="Times New Roman" w:hAnsi="Times New Roman" w:cs="Times New Roman"/>
          <w:sz w:val="20"/>
          <w:szCs w:val="20"/>
        </w:rPr>
        <w:t xml:space="preserve">rate </w:t>
      </w:r>
      <w:r w:rsidRPr="00C81756">
        <w:rPr>
          <w:rFonts w:ascii="Times New Roman" w:hAnsi="Times New Roman" w:cs="Times New Roman"/>
          <w:sz w:val="20"/>
          <w:szCs w:val="20"/>
        </w:rPr>
        <w:t xml:space="preserve">and number of detected polyps between groups </w:t>
      </w:r>
      <w:r w:rsidR="005216D5">
        <w:rPr>
          <w:rFonts w:ascii="Times New Roman" w:hAnsi="Times New Roman" w:cs="Times New Roman"/>
          <w:sz w:val="20"/>
          <w:szCs w:val="20"/>
        </w:rPr>
        <w:t>on all polyp counts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1525"/>
        <w:gridCol w:w="2310"/>
        <w:gridCol w:w="1500"/>
        <w:gridCol w:w="2310"/>
        <w:gridCol w:w="1709"/>
      </w:tblGrid>
      <w:tr w:rsidR="00296BDB" w:rsidRPr="00C81756" w14:paraId="0B824F6F" w14:textId="77777777" w:rsidTr="00074FD5">
        <w:trPr>
          <w:trHeight w:val="224"/>
        </w:trPr>
        <w:tc>
          <w:tcPr>
            <w:tcW w:w="1525" w:type="dxa"/>
            <w:vMerge w:val="restart"/>
          </w:tcPr>
          <w:p w14:paraId="61A1CD35" w14:textId="77777777" w:rsidR="00296BDB" w:rsidRPr="00C81756" w:rsidRDefault="00296BDB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Models</w:t>
            </w:r>
          </w:p>
        </w:tc>
        <w:tc>
          <w:tcPr>
            <w:tcW w:w="3810" w:type="dxa"/>
            <w:gridSpan w:val="2"/>
          </w:tcPr>
          <w:p w14:paraId="174A58DA" w14:textId="77777777" w:rsidR="00296BDB" w:rsidRPr="00C81756" w:rsidRDefault="00296BDB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Polyp detection rate</w:t>
            </w:r>
          </w:p>
        </w:tc>
        <w:tc>
          <w:tcPr>
            <w:tcW w:w="4019" w:type="dxa"/>
            <w:gridSpan w:val="2"/>
          </w:tcPr>
          <w:p w14:paraId="1A3F5A92" w14:textId="77777777" w:rsidR="00296BDB" w:rsidRPr="00C81756" w:rsidRDefault="00296BDB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Number of detected polyps</w:t>
            </w:r>
          </w:p>
        </w:tc>
      </w:tr>
      <w:tr w:rsidR="00296BDB" w:rsidRPr="00C81756" w14:paraId="303864C3" w14:textId="77777777" w:rsidTr="00074FD5">
        <w:trPr>
          <w:trHeight w:val="239"/>
        </w:trPr>
        <w:tc>
          <w:tcPr>
            <w:tcW w:w="1525" w:type="dxa"/>
            <w:vMerge/>
          </w:tcPr>
          <w:p w14:paraId="212E183D" w14:textId="77777777" w:rsidR="00296BDB" w:rsidRPr="00C81756" w:rsidRDefault="00296BDB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00649782" w14:textId="77777777" w:rsidR="00296BDB" w:rsidRPr="00C81756" w:rsidRDefault="00296BDB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  <w:tc>
          <w:tcPr>
            <w:tcW w:w="1500" w:type="dxa"/>
          </w:tcPr>
          <w:p w14:paraId="2E15044F" w14:textId="77777777" w:rsidR="00296BDB" w:rsidRPr="00C81756" w:rsidRDefault="00296BDB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2310" w:type="dxa"/>
          </w:tcPr>
          <w:p w14:paraId="7753195F" w14:textId="77777777" w:rsidR="00296BDB" w:rsidRPr="00C81756" w:rsidRDefault="00296BDB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RR (95% CI)</w:t>
            </w:r>
          </w:p>
        </w:tc>
        <w:tc>
          <w:tcPr>
            <w:tcW w:w="1709" w:type="dxa"/>
          </w:tcPr>
          <w:p w14:paraId="4A015576" w14:textId="77777777" w:rsidR="00296BDB" w:rsidRPr="00C81756" w:rsidRDefault="00296BDB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296BDB" w:rsidRPr="00C81756" w14:paraId="510DE034" w14:textId="77777777" w:rsidTr="00074FD5">
        <w:trPr>
          <w:trHeight w:val="239"/>
        </w:trPr>
        <w:tc>
          <w:tcPr>
            <w:tcW w:w="9354" w:type="dxa"/>
            <w:gridSpan w:val="5"/>
          </w:tcPr>
          <w:p w14:paraId="7E7E5EF5" w14:textId="6336F592" w:rsidR="00296BDB" w:rsidRPr="00C81756" w:rsidRDefault="00296BDB" w:rsidP="00074FD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Example 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CAC vs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 procedures</w:t>
            </w:r>
            <w:r w:rsidR="005216D5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</w:p>
        </w:tc>
      </w:tr>
      <w:tr w:rsidR="005254CC" w:rsidRPr="00C81756" w14:paraId="3B45F6B3" w14:textId="77777777" w:rsidTr="00074FD5">
        <w:trPr>
          <w:trHeight w:val="239"/>
        </w:trPr>
        <w:tc>
          <w:tcPr>
            <w:tcW w:w="1525" w:type="dxa"/>
          </w:tcPr>
          <w:p w14:paraId="1C5F06D5" w14:textId="77777777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LR</w:t>
            </w:r>
          </w:p>
        </w:tc>
        <w:tc>
          <w:tcPr>
            <w:tcW w:w="2310" w:type="dxa"/>
            <w:vAlign w:val="bottom"/>
          </w:tcPr>
          <w:p w14:paraId="0495C7FD" w14:textId="2A27EA64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0.92(0.61,1.39)</w:t>
            </w:r>
          </w:p>
        </w:tc>
        <w:tc>
          <w:tcPr>
            <w:tcW w:w="1500" w:type="dxa"/>
            <w:vAlign w:val="bottom"/>
          </w:tcPr>
          <w:p w14:paraId="0125E7A4" w14:textId="5857CDE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0.702</w:t>
            </w:r>
          </w:p>
        </w:tc>
        <w:tc>
          <w:tcPr>
            <w:tcW w:w="4019" w:type="dxa"/>
            <w:gridSpan w:val="2"/>
            <w:vAlign w:val="bottom"/>
          </w:tcPr>
          <w:p w14:paraId="263430EF" w14:textId="013D9022" w:rsidR="005254CC" w:rsidRPr="00B93C04" w:rsidRDefault="00C40340" w:rsidP="005254CC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</w:t>
            </w:r>
          </w:p>
        </w:tc>
      </w:tr>
      <w:tr w:rsidR="00C40340" w:rsidRPr="00C81756" w14:paraId="7A710455" w14:textId="77777777" w:rsidTr="00074FD5">
        <w:trPr>
          <w:trHeight w:val="239"/>
        </w:trPr>
        <w:tc>
          <w:tcPr>
            <w:tcW w:w="1525" w:type="dxa"/>
          </w:tcPr>
          <w:p w14:paraId="06160703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3810" w:type="dxa"/>
            <w:gridSpan w:val="2"/>
          </w:tcPr>
          <w:p w14:paraId="1617AEF2" w14:textId="70EC2FEC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</w:p>
        </w:tc>
        <w:tc>
          <w:tcPr>
            <w:tcW w:w="2310" w:type="dxa"/>
            <w:vAlign w:val="bottom"/>
          </w:tcPr>
          <w:p w14:paraId="259F3DE0" w14:textId="36A59D0E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1.21(0.98,1.48)</w:t>
            </w:r>
          </w:p>
        </w:tc>
        <w:tc>
          <w:tcPr>
            <w:tcW w:w="1709" w:type="dxa"/>
            <w:vAlign w:val="bottom"/>
          </w:tcPr>
          <w:p w14:paraId="69158A8C" w14:textId="6F4E8D3C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0.071</w:t>
            </w:r>
          </w:p>
        </w:tc>
      </w:tr>
      <w:tr w:rsidR="00C40340" w:rsidRPr="00C81756" w14:paraId="46795DB1" w14:textId="77777777" w:rsidTr="00074FD5">
        <w:trPr>
          <w:trHeight w:val="239"/>
        </w:trPr>
        <w:tc>
          <w:tcPr>
            <w:tcW w:w="1525" w:type="dxa"/>
          </w:tcPr>
          <w:p w14:paraId="5CC02B29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</w:p>
        </w:tc>
        <w:tc>
          <w:tcPr>
            <w:tcW w:w="3810" w:type="dxa"/>
            <w:gridSpan w:val="2"/>
          </w:tcPr>
          <w:p w14:paraId="5344AE84" w14:textId="2FF75D62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0CE7EA01" w14:textId="0A86F7A8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1.21(0.92,1.57)</w:t>
            </w:r>
          </w:p>
        </w:tc>
        <w:tc>
          <w:tcPr>
            <w:tcW w:w="1709" w:type="dxa"/>
            <w:vAlign w:val="bottom"/>
          </w:tcPr>
          <w:p w14:paraId="3808D8FE" w14:textId="338D22EB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C40340" w:rsidRPr="00C81756" w14:paraId="1CEDAA61" w14:textId="77777777" w:rsidTr="00074FD5">
        <w:trPr>
          <w:trHeight w:val="239"/>
        </w:trPr>
        <w:tc>
          <w:tcPr>
            <w:tcW w:w="1525" w:type="dxa"/>
          </w:tcPr>
          <w:p w14:paraId="390C2BD7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</w:p>
        </w:tc>
        <w:tc>
          <w:tcPr>
            <w:tcW w:w="3810" w:type="dxa"/>
            <w:gridSpan w:val="2"/>
          </w:tcPr>
          <w:p w14:paraId="22FA9719" w14:textId="3FC63AC3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02835235" w14:textId="4AF3BF30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1.20(0.91,1.57)</w:t>
            </w:r>
          </w:p>
        </w:tc>
        <w:tc>
          <w:tcPr>
            <w:tcW w:w="1709" w:type="dxa"/>
            <w:vAlign w:val="bottom"/>
          </w:tcPr>
          <w:p w14:paraId="02F5709B" w14:textId="48816F68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0.198</w:t>
            </w:r>
          </w:p>
        </w:tc>
      </w:tr>
      <w:tr w:rsidR="005254CC" w:rsidRPr="00C81756" w14:paraId="68DB56C0" w14:textId="77777777" w:rsidTr="00074FD5">
        <w:trPr>
          <w:trHeight w:val="239"/>
        </w:trPr>
        <w:tc>
          <w:tcPr>
            <w:tcW w:w="1525" w:type="dxa"/>
          </w:tcPr>
          <w:p w14:paraId="64ADFAF6" w14:textId="77777777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2310" w:type="dxa"/>
            <w:vAlign w:val="bottom"/>
          </w:tcPr>
          <w:p w14:paraId="01819C9E" w14:textId="2ED1D541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0.56(0.89,1.17)</w:t>
            </w:r>
          </w:p>
        </w:tc>
        <w:tc>
          <w:tcPr>
            <w:tcW w:w="1500" w:type="dxa"/>
            <w:vAlign w:val="bottom"/>
          </w:tcPr>
          <w:p w14:paraId="6462066E" w14:textId="42EEDAA2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0.120</w:t>
            </w:r>
          </w:p>
        </w:tc>
        <w:tc>
          <w:tcPr>
            <w:tcW w:w="2310" w:type="dxa"/>
            <w:vAlign w:val="bottom"/>
          </w:tcPr>
          <w:p w14:paraId="1F9D8A2C" w14:textId="60463F48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1.44(1.12,1.87)</w:t>
            </w:r>
          </w:p>
        </w:tc>
        <w:tc>
          <w:tcPr>
            <w:tcW w:w="1709" w:type="dxa"/>
            <w:vAlign w:val="bottom"/>
          </w:tcPr>
          <w:p w14:paraId="79CA819D" w14:textId="01F6A379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0.005</w:t>
            </w:r>
          </w:p>
        </w:tc>
      </w:tr>
      <w:tr w:rsidR="005254CC" w:rsidRPr="00C81756" w14:paraId="1831894F" w14:textId="77777777" w:rsidTr="00074FD5">
        <w:trPr>
          <w:trHeight w:val="239"/>
        </w:trPr>
        <w:tc>
          <w:tcPr>
            <w:tcW w:w="1525" w:type="dxa"/>
          </w:tcPr>
          <w:p w14:paraId="419BE130" w14:textId="77777777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ZIRP</w:t>
            </w:r>
          </w:p>
        </w:tc>
        <w:tc>
          <w:tcPr>
            <w:tcW w:w="2310" w:type="dxa"/>
            <w:vAlign w:val="bottom"/>
          </w:tcPr>
          <w:p w14:paraId="141AB553" w14:textId="6DEA052A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0.56(0.87,1.22)</w:t>
            </w:r>
          </w:p>
        </w:tc>
        <w:tc>
          <w:tcPr>
            <w:tcW w:w="1500" w:type="dxa"/>
            <w:vAlign w:val="bottom"/>
          </w:tcPr>
          <w:p w14:paraId="5FAADE2F" w14:textId="45D4FC8B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0.143</w:t>
            </w:r>
          </w:p>
        </w:tc>
        <w:tc>
          <w:tcPr>
            <w:tcW w:w="2310" w:type="dxa"/>
            <w:vAlign w:val="bottom"/>
          </w:tcPr>
          <w:p w14:paraId="391A9148" w14:textId="16E93AA3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1.44(1.05,1.99)</w:t>
            </w:r>
          </w:p>
        </w:tc>
        <w:tc>
          <w:tcPr>
            <w:tcW w:w="1709" w:type="dxa"/>
            <w:vAlign w:val="bottom"/>
          </w:tcPr>
          <w:p w14:paraId="4B4459B0" w14:textId="0C7B4666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0.024</w:t>
            </w:r>
          </w:p>
        </w:tc>
      </w:tr>
      <w:tr w:rsidR="005254CC" w:rsidRPr="00C81756" w14:paraId="7523DE67" w14:textId="77777777" w:rsidTr="00074FD5">
        <w:trPr>
          <w:trHeight w:val="239"/>
        </w:trPr>
        <w:tc>
          <w:tcPr>
            <w:tcW w:w="1525" w:type="dxa"/>
          </w:tcPr>
          <w:p w14:paraId="3F6D6368" w14:textId="0EEFDA05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ZINB</w:t>
            </w:r>
          </w:p>
        </w:tc>
        <w:tc>
          <w:tcPr>
            <w:tcW w:w="2310" w:type="dxa"/>
            <w:vAlign w:val="bottom"/>
          </w:tcPr>
          <w:p w14:paraId="628B601A" w14:textId="70487FF5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0.48(0.85,1.34)</w:t>
            </w:r>
          </w:p>
        </w:tc>
        <w:tc>
          <w:tcPr>
            <w:tcW w:w="1500" w:type="dxa"/>
            <w:vAlign w:val="bottom"/>
          </w:tcPr>
          <w:p w14:paraId="17F29EB0" w14:textId="2861D018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0.163</w:t>
            </w:r>
          </w:p>
        </w:tc>
        <w:tc>
          <w:tcPr>
            <w:tcW w:w="2310" w:type="dxa"/>
            <w:vAlign w:val="bottom"/>
          </w:tcPr>
          <w:p w14:paraId="51BE863A" w14:textId="4B78E662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1.45(1.06,1.98)</w:t>
            </w:r>
          </w:p>
        </w:tc>
        <w:tc>
          <w:tcPr>
            <w:tcW w:w="1709" w:type="dxa"/>
            <w:vAlign w:val="bottom"/>
          </w:tcPr>
          <w:p w14:paraId="15303311" w14:textId="782B2A3F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0.019</w:t>
            </w:r>
          </w:p>
        </w:tc>
      </w:tr>
      <w:tr w:rsidR="005254CC" w:rsidRPr="00C81756" w14:paraId="691B3716" w14:textId="77777777" w:rsidTr="00074FD5">
        <w:trPr>
          <w:trHeight w:val="239"/>
        </w:trPr>
        <w:tc>
          <w:tcPr>
            <w:tcW w:w="1525" w:type="dxa"/>
          </w:tcPr>
          <w:p w14:paraId="7C17FD57" w14:textId="228BAB4A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ZIGP</w:t>
            </w:r>
          </w:p>
        </w:tc>
        <w:tc>
          <w:tcPr>
            <w:tcW w:w="2310" w:type="dxa"/>
            <w:vAlign w:val="bottom"/>
          </w:tcPr>
          <w:p w14:paraId="3F5EF069" w14:textId="2B009B43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0.42(0.86,1.38)</w:t>
            </w:r>
          </w:p>
        </w:tc>
        <w:tc>
          <w:tcPr>
            <w:tcW w:w="1500" w:type="dxa"/>
            <w:vAlign w:val="bottom"/>
          </w:tcPr>
          <w:p w14:paraId="3839C516" w14:textId="5151343A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0.153</w:t>
            </w:r>
          </w:p>
        </w:tc>
        <w:tc>
          <w:tcPr>
            <w:tcW w:w="2310" w:type="dxa"/>
            <w:vAlign w:val="bottom"/>
          </w:tcPr>
          <w:p w14:paraId="1B4AA7C6" w14:textId="334D7B93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1.49(1.09,2.03)</w:t>
            </w:r>
          </w:p>
        </w:tc>
        <w:tc>
          <w:tcPr>
            <w:tcW w:w="1709" w:type="dxa"/>
            <w:vAlign w:val="bottom"/>
          </w:tcPr>
          <w:p w14:paraId="1A13150C" w14:textId="3E8A7C76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0.012</w:t>
            </w:r>
          </w:p>
        </w:tc>
      </w:tr>
      <w:tr w:rsidR="005254CC" w:rsidRPr="00C81756" w14:paraId="5E213029" w14:textId="77777777" w:rsidTr="00074FD5">
        <w:trPr>
          <w:trHeight w:val="239"/>
        </w:trPr>
        <w:tc>
          <w:tcPr>
            <w:tcW w:w="1525" w:type="dxa"/>
          </w:tcPr>
          <w:p w14:paraId="541D3D01" w14:textId="0321096F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ZHP</w:t>
            </w:r>
          </w:p>
        </w:tc>
        <w:tc>
          <w:tcPr>
            <w:tcW w:w="2310" w:type="dxa"/>
            <w:vAlign w:val="bottom"/>
          </w:tcPr>
          <w:p w14:paraId="00BA2C6E" w14:textId="5DEDD944" w:rsidR="005254CC" w:rsidRPr="00B93C04" w:rsidRDefault="005254CC" w:rsidP="00074FD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0.92(0.61,1.</w:t>
            </w:r>
            <w:r w:rsidR="00074FD5">
              <w:rPr>
                <w:rFonts w:ascii="Times New Roman" w:hAnsi="Times New Roman" w:cs="Times New Roman"/>
                <w:color w:val="000000"/>
              </w:rPr>
              <w:t>39</w:t>
            </w:r>
            <w:r w:rsidRPr="00B93C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bottom"/>
          </w:tcPr>
          <w:p w14:paraId="01471C01" w14:textId="5B51FF57" w:rsidR="005254CC" w:rsidRPr="00B93C04" w:rsidRDefault="00074FD5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0.702</w:t>
            </w:r>
          </w:p>
        </w:tc>
        <w:tc>
          <w:tcPr>
            <w:tcW w:w="2310" w:type="dxa"/>
            <w:vAlign w:val="bottom"/>
          </w:tcPr>
          <w:p w14:paraId="200A1401" w14:textId="33F9C748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1.47(1.05,2.04)</w:t>
            </w:r>
          </w:p>
        </w:tc>
        <w:tc>
          <w:tcPr>
            <w:tcW w:w="1709" w:type="dxa"/>
            <w:vAlign w:val="bottom"/>
          </w:tcPr>
          <w:p w14:paraId="3DAE2DD6" w14:textId="105EE9E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0.024</w:t>
            </w:r>
          </w:p>
        </w:tc>
      </w:tr>
      <w:tr w:rsidR="005254CC" w:rsidRPr="00C81756" w14:paraId="3F5E35F1" w14:textId="77777777" w:rsidTr="00074FD5">
        <w:trPr>
          <w:trHeight w:val="239"/>
        </w:trPr>
        <w:tc>
          <w:tcPr>
            <w:tcW w:w="1525" w:type="dxa"/>
          </w:tcPr>
          <w:p w14:paraId="3A418D15" w14:textId="1AD4C24A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ZHNB</w:t>
            </w:r>
          </w:p>
        </w:tc>
        <w:tc>
          <w:tcPr>
            <w:tcW w:w="2310" w:type="dxa"/>
            <w:vAlign w:val="bottom"/>
          </w:tcPr>
          <w:p w14:paraId="7FCE1F97" w14:textId="7307AC71" w:rsidR="005254CC" w:rsidRPr="00B93C04" w:rsidRDefault="005254CC" w:rsidP="00074FD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0.92(0.61,1.</w:t>
            </w:r>
            <w:r w:rsidR="00074FD5">
              <w:rPr>
                <w:rFonts w:ascii="Times New Roman" w:hAnsi="Times New Roman" w:cs="Times New Roman"/>
                <w:color w:val="000000"/>
              </w:rPr>
              <w:t>39</w:t>
            </w:r>
            <w:r w:rsidRPr="00B93C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bottom"/>
          </w:tcPr>
          <w:p w14:paraId="219ED034" w14:textId="4D8FFEE6" w:rsidR="005254CC" w:rsidRPr="00B93C04" w:rsidRDefault="00074FD5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0.702</w:t>
            </w:r>
          </w:p>
        </w:tc>
        <w:tc>
          <w:tcPr>
            <w:tcW w:w="2310" w:type="dxa"/>
            <w:vAlign w:val="bottom"/>
          </w:tcPr>
          <w:p w14:paraId="64A6278A" w14:textId="211442C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1.53(1.10,2.13)</w:t>
            </w:r>
          </w:p>
        </w:tc>
        <w:tc>
          <w:tcPr>
            <w:tcW w:w="1709" w:type="dxa"/>
            <w:vAlign w:val="bottom"/>
          </w:tcPr>
          <w:p w14:paraId="5547D25E" w14:textId="34A4D0CA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0.012</w:t>
            </w:r>
          </w:p>
        </w:tc>
      </w:tr>
      <w:tr w:rsidR="005254CC" w:rsidRPr="00C81756" w14:paraId="1988876D" w14:textId="77777777" w:rsidTr="00074FD5">
        <w:trPr>
          <w:trHeight w:val="239"/>
        </w:trPr>
        <w:tc>
          <w:tcPr>
            <w:tcW w:w="9354" w:type="dxa"/>
            <w:gridSpan w:val="5"/>
          </w:tcPr>
          <w:p w14:paraId="1C483791" w14:textId="65D49925" w:rsidR="005254CC" w:rsidRPr="00B93C04" w:rsidRDefault="005254CC" w:rsidP="005254C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sz w:val="20"/>
                <w:szCs w:val="20"/>
              </w:rPr>
              <w:t>Example dataset 2: Segmental vs. non-segmental withdrawal time protocols</w:t>
            </w:r>
            <w:r w:rsidR="005216D5" w:rsidRPr="00B93C04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  <w:r w:rsidRPr="00B93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254CC" w:rsidRPr="00C81756" w14:paraId="4EC18850" w14:textId="77777777" w:rsidTr="00074FD5">
        <w:trPr>
          <w:trHeight w:val="224"/>
        </w:trPr>
        <w:tc>
          <w:tcPr>
            <w:tcW w:w="1525" w:type="dxa"/>
          </w:tcPr>
          <w:p w14:paraId="25C01A98" w14:textId="77777777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LR</w:t>
            </w:r>
          </w:p>
        </w:tc>
        <w:tc>
          <w:tcPr>
            <w:tcW w:w="2310" w:type="dxa"/>
            <w:vAlign w:val="bottom"/>
          </w:tcPr>
          <w:p w14:paraId="55C90352" w14:textId="1AFFA362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1.64(1.01,2.67)</w:t>
            </w:r>
          </w:p>
        </w:tc>
        <w:tc>
          <w:tcPr>
            <w:tcW w:w="1500" w:type="dxa"/>
            <w:vAlign w:val="bottom"/>
          </w:tcPr>
          <w:p w14:paraId="1B915348" w14:textId="5C2BB32D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0.045</w:t>
            </w:r>
          </w:p>
        </w:tc>
        <w:tc>
          <w:tcPr>
            <w:tcW w:w="4019" w:type="dxa"/>
            <w:gridSpan w:val="2"/>
            <w:vAlign w:val="bottom"/>
          </w:tcPr>
          <w:p w14:paraId="3134B99D" w14:textId="6E8AF1AD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0340" w:rsidRPr="00C81756" w14:paraId="7E96E74F" w14:textId="77777777" w:rsidTr="00074FD5">
        <w:trPr>
          <w:trHeight w:val="224"/>
        </w:trPr>
        <w:tc>
          <w:tcPr>
            <w:tcW w:w="1525" w:type="dxa"/>
          </w:tcPr>
          <w:p w14:paraId="71973B74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3810" w:type="dxa"/>
            <w:gridSpan w:val="2"/>
          </w:tcPr>
          <w:p w14:paraId="51D0BB8A" w14:textId="6814AD2E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</w:p>
        </w:tc>
        <w:tc>
          <w:tcPr>
            <w:tcW w:w="2310" w:type="dxa"/>
            <w:vAlign w:val="bottom"/>
          </w:tcPr>
          <w:p w14:paraId="4FB77446" w14:textId="7A543A28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1.09(0.88,1.34)</w:t>
            </w:r>
          </w:p>
        </w:tc>
        <w:tc>
          <w:tcPr>
            <w:tcW w:w="1709" w:type="dxa"/>
            <w:vAlign w:val="bottom"/>
          </w:tcPr>
          <w:p w14:paraId="4BF484C9" w14:textId="2F7C45C6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0.441</w:t>
            </w:r>
          </w:p>
        </w:tc>
      </w:tr>
      <w:tr w:rsidR="00C40340" w:rsidRPr="00C81756" w14:paraId="3F45DF7E" w14:textId="77777777" w:rsidTr="00074FD5">
        <w:trPr>
          <w:trHeight w:val="224"/>
        </w:trPr>
        <w:tc>
          <w:tcPr>
            <w:tcW w:w="1525" w:type="dxa"/>
          </w:tcPr>
          <w:p w14:paraId="7E34CF29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</w:p>
        </w:tc>
        <w:tc>
          <w:tcPr>
            <w:tcW w:w="3810" w:type="dxa"/>
            <w:gridSpan w:val="2"/>
          </w:tcPr>
          <w:p w14:paraId="4AFC55B3" w14:textId="7C44B49E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4D708CF7" w14:textId="0C47FFF4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1.09(0.82,1.44)</w:t>
            </w:r>
          </w:p>
        </w:tc>
        <w:tc>
          <w:tcPr>
            <w:tcW w:w="1709" w:type="dxa"/>
            <w:vAlign w:val="bottom"/>
          </w:tcPr>
          <w:p w14:paraId="71DCD0DF" w14:textId="4D8D97F8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0.567</w:t>
            </w:r>
          </w:p>
        </w:tc>
      </w:tr>
      <w:tr w:rsidR="00C40340" w:rsidRPr="00C81756" w14:paraId="6ED80EE8" w14:textId="77777777" w:rsidTr="00074FD5">
        <w:trPr>
          <w:trHeight w:val="224"/>
        </w:trPr>
        <w:tc>
          <w:tcPr>
            <w:tcW w:w="1525" w:type="dxa"/>
          </w:tcPr>
          <w:p w14:paraId="769BAE93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</w:p>
        </w:tc>
        <w:tc>
          <w:tcPr>
            <w:tcW w:w="3810" w:type="dxa"/>
            <w:gridSpan w:val="2"/>
          </w:tcPr>
          <w:p w14:paraId="4D853A62" w14:textId="72D21BB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0B1D9A8C" w14:textId="596EB4D8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1.19(0.90,1.57)</w:t>
            </w:r>
          </w:p>
        </w:tc>
        <w:tc>
          <w:tcPr>
            <w:tcW w:w="1709" w:type="dxa"/>
            <w:vAlign w:val="bottom"/>
          </w:tcPr>
          <w:p w14:paraId="09BE9147" w14:textId="4C0BD32B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0.235</w:t>
            </w:r>
          </w:p>
        </w:tc>
      </w:tr>
      <w:tr w:rsidR="005254CC" w:rsidRPr="00C81756" w14:paraId="7F0B691E" w14:textId="77777777" w:rsidTr="00074FD5">
        <w:trPr>
          <w:trHeight w:val="232"/>
        </w:trPr>
        <w:tc>
          <w:tcPr>
            <w:tcW w:w="1525" w:type="dxa"/>
          </w:tcPr>
          <w:p w14:paraId="71C0CA5F" w14:textId="77777777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2310" w:type="dxa"/>
            <w:vAlign w:val="bottom"/>
          </w:tcPr>
          <w:p w14:paraId="0C209487" w14:textId="43E4F9A4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2.56(0.95,6.56)</w:t>
            </w:r>
          </w:p>
        </w:tc>
        <w:tc>
          <w:tcPr>
            <w:tcW w:w="1500" w:type="dxa"/>
            <w:vAlign w:val="bottom"/>
          </w:tcPr>
          <w:p w14:paraId="58EEB5D0" w14:textId="4249D754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0.050</w:t>
            </w:r>
          </w:p>
        </w:tc>
        <w:tc>
          <w:tcPr>
            <w:tcW w:w="2310" w:type="dxa"/>
            <w:vAlign w:val="bottom"/>
          </w:tcPr>
          <w:p w14:paraId="58C1E44C" w14:textId="25D687AF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0.92(0.71,1.19)</w:t>
            </w:r>
          </w:p>
        </w:tc>
        <w:tc>
          <w:tcPr>
            <w:tcW w:w="1709" w:type="dxa"/>
            <w:vAlign w:val="bottom"/>
          </w:tcPr>
          <w:p w14:paraId="21601B7E" w14:textId="32201A12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0.537</w:t>
            </w:r>
          </w:p>
        </w:tc>
      </w:tr>
      <w:tr w:rsidR="005254CC" w:rsidRPr="00C81756" w14:paraId="34D5C41C" w14:textId="77777777" w:rsidTr="00074FD5">
        <w:trPr>
          <w:trHeight w:val="232"/>
        </w:trPr>
        <w:tc>
          <w:tcPr>
            <w:tcW w:w="1525" w:type="dxa"/>
          </w:tcPr>
          <w:p w14:paraId="73CC9483" w14:textId="77777777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ZIRP</w:t>
            </w:r>
          </w:p>
        </w:tc>
        <w:tc>
          <w:tcPr>
            <w:tcW w:w="2310" w:type="dxa"/>
            <w:vAlign w:val="bottom"/>
          </w:tcPr>
          <w:p w14:paraId="0A6A6618" w14:textId="1494E1AF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2.56(0.9,8.07)</w:t>
            </w:r>
          </w:p>
        </w:tc>
        <w:tc>
          <w:tcPr>
            <w:tcW w:w="1500" w:type="dxa"/>
            <w:vAlign w:val="bottom"/>
          </w:tcPr>
          <w:p w14:paraId="2EDB6DFA" w14:textId="2EA2B271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0.108</w:t>
            </w:r>
          </w:p>
        </w:tc>
        <w:tc>
          <w:tcPr>
            <w:tcW w:w="2310" w:type="dxa"/>
            <w:vAlign w:val="bottom"/>
          </w:tcPr>
          <w:p w14:paraId="3316DFB2" w14:textId="32A477E9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0.92(0.66,1.28)</w:t>
            </w:r>
          </w:p>
        </w:tc>
        <w:tc>
          <w:tcPr>
            <w:tcW w:w="1709" w:type="dxa"/>
            <w:vAlign w:val="bottom"/>
          </w:tcPr>
          <w:p w14:paraId="0F907B45" w14:textId="6A98FDD5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0.628</w:t>
            </w:r>
          </w:p>
        </w:tc>
      </w:tr>
      <w:tr w:rsidR="005254CC" w:rsidRPr="00C81756" w14:paraId="5D5E567D" w14:textId="77777777" w:rsidTr="00074FD5">
        <w:trPr>
          <w:trHeight w:val="232"/>
        </w:trPr>
        <w:tc>
          <w:tcPr>
            <w:tcW w:w="1525" w:type="dxa"/>
          </w:tcPr>
          <w:p w14:paraId="07D128F0" w14:textId="676FB0C5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ZINB</w:t>
            </w:r>
            <w:r w:rsidR="005216D5" w:rsidRPr="00521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310" w:type="dxa"/>
            <w:vAlign w:val="bottom"/>
          </w:tcPr>
          <w:p w14:paraId="7E1C2C97" w14:textId="0A4ECC91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6.56(0.95,32.26)</w:t>
            </w:r>
          </w:p>
        </w:tc>
        <w:tc>
          <w:tcPr>
            <w:tcW w:w="1500" w:type="dxa"/>
            <w:vAlign w:val="bottom"/>
          </w:tcPr>
          <w:p w14:paraId="19E79FE8" w14:textId="03565E9F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0.021</w:t>
            </w:r>
          </w:p>
        </w:tc>
        <w:tc>
          <w:tcPr>
            <w:tcW w:w="2310" w:type="dxa"/>
            <w:vAlign w:val="bottom"/>
          </w:tcPr>
          <w:p w14:paraId="65EE5548" w14:textId="0D683491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0.97(0.71,1.32)</w:t>
            </w:r>
          </w:p>
        </w:tc>
        <w:tc>
          <w:tcPr>
            <w:tcW w:w="1709" w:type="dxa"/>
            <w:vAlign w:val="bottom"/>
          </w:tcPr>
          <w:p w14:paraId="034A885F" w14:textId="71B544D0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0.839</w:t>
            </w:r>
          </w:p>
        </w:tc>
      </w:tr>
      <w:tr w:rsidR="005254CC" w:rsidRPr="00C81756" w14:paraId="193B7E9D" w14:textId="77777777" w:rsidTr="00074FD5">
        <w:trPr>
          <w:trHeight w:val="232"/>
        </w:trPr>
        <w:tc>
          <w:tcPr>
            <w:tcW w:w="1525" w:type="dxa"/>
          </w:tcPr>
          <w:p w14:paraId="0728D92D" w14:textId="42DD6669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ZIGP</w:t>
            </w:r>
            <w:r w:rsidR="005216D5" w:rsidRPr="005216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310" w:type="dxa"/>
            <w:vAlign w:val="bottom"/>
          </w:tcPr>
          <w:p w14:paraId="45203CB5" w14:textId="521DCADC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8.04(0.89,45.11)</w:t>
            </w:r>
          </w:p>
        </w:tc>
        <w:tc>
          <w:tcPr>
            <w:tcW w:w="1500" w:type="dxa"/>
            <w:vAlign w:val="bottom"/>
          </w:tcPr>
          <w:p w14:paraId="00C5CFCA" w14:textId="2378AC1E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0.018</w:t>
            </w:r>
          </w:p>
        </w:tc>
        <w:tc>
          <w:tcPr>
            <w:tcW w:w="2310" w:type="dxa"/>
            <w:vAlign w:val="bottom"/>
          </w:tcPr>
          <w:p w14:paraId="3FC1184D" w14:textId="75FB8A44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0.87(0.63,1.21)</w:t>
            </w:r>
          </w:p>
        </w:tc>
        <w:tc>
          <w:tcPr>
            <w:tcW w:w="1709" w:type="dxa"/>
            <w:vAlign w:val="bottom"/>
          </w:tcPr>
          <w:p w14:paraId="6DCE2A59" w14:textId="4DF451DB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0.411</w:t>
            </w:r>
          </w:p>
        </w:tc>
      </w:tr>
      <w:tr w:rsidR="005254CC" w:rsidRPr="00C81756" w14:paraId="681BD6B3" w14:textId="77777777" w:rsidTr="00074FD5">
        <w:trPr>
          <w:trHeight w:val="232"/>
        </w:trPr>
        <w:tc>
          <w:tcPr>
            <w:tcW w:w="1525" w:type="dxa"/>
          </w:tcPr>
          <w:p w14:paraId="1A74FE44" w14:textId="6377CA73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ZHP</w:t>
            </w:r>
          </w:p>
        </w:tc>
        <w:tc>
          <w:tcPr>
            <w:tcW w:w="2310" w:type="dxa"/>
            <w:vAlign w:val="bottom"/>
          </w:tcPr>
          <w:p w14:paraId="154B3725" w14:textId="30F521D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1.64(1.01,2.67)</w:t>
            </w:r>
          </w:p>
        </w:tc>
        <w:tc>
          <w:tcPr>
            <w:tcW w:w="1500" w:type="dxa"/>
            <w:vAlign w:val="bottom"/>
          </w:tcPr>
          <w:p w14:paraId="018F4203" w14:textId="4720026E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0.045</w:t>
            </w:r>
          </w:p>
        </w:tc>
        <w:tc>
          <w:tcPr>
            <w:tcW w:w="2310" w:type="dxa"/>
            <w:vAlign w:val="bottom"/>
          </w:tcPr>
          <w:p w14:paraId="6FE43013" w14:textId="320A212F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0.94(0.69,1.29)</w:t>
            </w:r>
          </w:p>
        </w:tc>
        <w:tc>
          <w:tcPr>
            <w:tcW w:w="1709" w:type="dxa"/>
            <w:vAlign w:val="bottom"/>
          </w:tcPr>
          <w:p w14:paraId="20153195" w14:textId="49A7DF24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0.714</w:t>
            </w:r>
          </w:p>
        </w:tc>
      </w:tr>
      <w:tr w:rsidR="005254CC" w:rsidRPr="00C81756" w14:paraId="62179FA7" w14:textId="77777777" w:rsidTr="00074FD5">
        <w:trPr>
          <w:trHeight w:val="232"/>
        </w:trPr>
        <w:tc>
          <w:tcPr>
            <w:tcW w:w="1525" w:type="dxa"/>
          </w:tcPr>
          <w:p w14:paraId="0F088C5D" w14:textId="059E8BA0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ZHNB</w:t>
            </w:r>
          </w:p>
        </w:tc>
        <w:tc>
          <w:tcPr>
            <w:tcW w:w="2310" w:type="dxa"/>
            <w:vAlign w:val="bottom"/>
          </w:tcPr>
          <w:p w14:paraId="55FD7E83" w14:textId="4828447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1.64(1.01,2.67)</w:t>
            </w:r>
          </w:p>
        </w:tc>
        <w:tc>
          <w:tcPr>
            <w:tcW w:w="1500" w:type="dxa"/>
            <w:vAlign w:val="bottom"/>
          </w:tcPr>
          <w:p w14:paraId="78EB404D" w14:textId="4BD761A5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0.045</w:t>
            </w:r>
          </w:p>
        </w:tc>
        <w:tc>
          <w:tcPr>
            <w:tcW w:w="2310" w:type="dxa"/>
            <w:vAlign w:val="bottom"/>
          </w:tcPr>
          <w:p w14:paraId="740ECC92" w14:textId="20C9DDAC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0.98(0.7,1.36)</w:t>
            </w:r>
          </w:p>
        </w:tc>
        <w:tc>
          <w:tcPr>
            <w:tcW w:w="1709" w:type="dxa"/>
            <w:vAlign w:val="bottom"/>
          </w:tcPr>
          <w:p w14:paraId="76CAEDF4" w14:textId="7B49C415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0.886</w:t>
            </w:r>
          </w:p>
        </w:tc>
      </w:tr>
      <w:tr w:rsidR="005254CC" w:rsidRPr="00C81756" w14:paraId="2D8FFE36" w14:textId="77777777" w:rsidTr="00074FD5">
        <w:trPr>
          <w:trHeight w:val="232"/>
        </w:trPr>
        <w:tc>
          <w:tcPr>
            <w:tcW w:w="9354" w:type="dxa"/>
            <w:gridSpan w:val="5"/>
          </w:tcPr>
          <w:p w14:paraId="3F54A6CE" w14:textId="4CBCF8A3" w:rsidR="005254CC" w:rsidRPr="00B93C04" w:rsidRDefault="005254CC" w:rsidP="005254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sz w:val="20"/>
                <w:szCs w:val="20"/>
              </w:rPr>
              <w:t>Example dataset 3: After the GI fellowship program vs.  before the GI fellowship program</w:t>
            </w:r>
            <w:r w:rsidR="005216D5" w:rsidRPr="00B93C0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254CC" w:rsidRPr="00C81756" w14:paraId="520BA6BC" w14:textId="77777777" w:rsidTr="00074FD5">
        <w:trPr>
          <w:trHeight w:val="224"/>
        </w:trPr>
        <w:tc>
          <w:tcPr>
            <w:tcW w:w="1525" w:type="dxa"/>
          </w:tcPr>
          <w:p w14:paraId="08181B23" w14:textId="3A5BBB6A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LR</w:t>
            </w:r>
          </w:p>
        </w:tc>
        <w:tc>
          <w:tcPr>
            <w:tcW w:w="2310" w:type="dxa"/>
            <w:vAlign w:val="bottom"/>
          </w:tcPr>
          <w:p w14:paraId="1FD5C610" w14:textId="7E76A999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1.64(1.36,1.97)</w:t>
            </w:r>
          </w:p>
        </w:tc>
        <w:tc>
          <w:tcPr>
            <w:tcW w:w="1500" w:type="dxa"/>
            <w:vAlign w:val="bottom"/>
          </w:tcPr>
          <w:p w14:paraId="671C1E10" w14:textId="29554A05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  <w:tc>
          <w:tcPr>
            <w:tcW w:w="4019" w:type="dxa"/>
            <w:gridSpan w:val="2"/>
            <w:vAlign w:val="bottom"/>
          </w:tcPr>
          <w:p w14:paraId="3CBA4C3D" w14:textId="4B2E11D1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0340" w:rsidRPr="00C81756" w14:paraId="171FB4D8" w14:textId="77777777" w:rsidTr="00074FD5">
        <w:trPr>
          <w:trHeight w:val="224"/>
        </w:trPr>
        <w:tc>
          <w:tcPr>
            <w:tcW w:w="1525" w:type="dxa"/>
          </w:tcPr>
          <w:p w14:paraId="24086DB0" w14:textId="6C31A19B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3810" w:type="dxa"/>
            <w:gridSpan w:val="2"/>
          </w:tcPr>
          <w:p w14:paraId="7264C849" w14:textId="3FA26C19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</w:p>
        </w:tc>
        <w:tc>
          <w:tcPr>
            <w:tcW w:w="2310" w:type="dxa"/>
            <w:vAlign w:val="bottom"/>
          </w:tcPr>
          <w:p w14:paraId="1F648013" w14:textId="4AD8CFB6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1.61(1.46,1.78)</w:t>
            </w:r>
          </w:p>
        </w:tc>
        <w:tc>
          <w:tcPr>
            <w:tcW w:w="1709" w:type="dxa"/>
            <w:vAlign w:val="bottom"/>
          </w:tcPr>
          <w:p w14:paraId="6D920D93" w14:textId="32861F0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0217BEEE" w14:textId="77777777" w:rsidTr="00074FD5">
        <w:trPr>
          <w:trHeight w:val="224"/>
        </w:trPr>
        <w:tc>
          <w:tcPr>
            <w:tcW w:w="1525" w:type="dxa"/>
          </w:tcPr>
          <w:p w14:paraId="3669806F" w14:textId="471197D1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</w:p>
        </w:tc>
        <w:tc>
          <w:tcPr>
            <w:tcW w:w="3810" w:type="dxa"/>
            <w:gridSpan w:val="2"/>
          </w:tcPr>
          <w:p w14:paraId="0871047C" w14:textId="5519DB9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72C5BA92" w14:textId="7AA547B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1.61(1.39,1.87)</w:t>
            </w:r>
          </w:p>
        </w:tc>
        <w:tc>
          <w:tcPr>
            <w:tcW w:w="1709" w:type="dxa"/>
            <w:vAlign w:val="bottom"/>
          </w:tcPr>
          <w:p w14:paraId="269375B7" w14:textId="5E611CB8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212F6AD5" w14:textId="77777777" w:rsidTr="00074FD5">
        <w:trPr>
          <w:trHeight w:val="224"/>
        </w:trPr>
        <w:tc>
          <w:tcPr>
            <w:tcW w:w="1525" w:type="dxa"/>
          </w:tcPr>
          <w:p w14:paraId="640474F2" w14:textId="08FA04F8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</w:p>
        </w:tc>
        <w:tc>
          <w:tcPr>
            <w:tcW w:w="3810" w:type="dxa"/>
            <w:gridSpan w:val="2"/>
          </w:tcPr>
          <w:p w14:paraId="1A074282" w14:textId="5C0A07E5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238F307F" w14:textId="406A84A3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1.60(1.39,1.85)</w:t>
            </w:r>
          </w:p>
        </w:tc>
        <w:tc>
          <w:tcPr>
            <w:tcW w:w="1709" w:type="dxa"/>
            <w:vAlign w:val="bottom"/>
          </w:tcPr>
          <w:p w14:paraId="4744459D" w14:textId="4E979C21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5254CC" w:rsidRPr="00C81756" w14:paraId="6DBC9899" w14:textId="77777777" w:rsidTr="00074FD5">
        <w:trPr>
          <w:trHeight w:val="232"/>
        </w:trPr>
        <w:tc>
          <w:tcPr>
            <w:tcW w:w="1525" w:type="dxa"/>
          </w:tcPr>
          <w:p w14:paraId="33223C34" w14:textId="7A9D61FA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</w:p>
        </w:tc>
        <w:tc>
          <w:tcPr>
            <w:tcW w:w="2310" w:type="dxa"/>
            <w:vAlign w:val="bottom"/>
          </w:tcPr>
          <w:p w14:paraId="436C7407" w14:textId="4801F60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1.38(0.97,1.83)</w:t>
            </w:r>
          </w:p>
        </w:tc>
        <w:tc>
          <w:tcPr>
            <w:tcW w:w="1500" w:type="dxa"/>
            <w:vAlign w:val="bottom"/>
          </w:tcPr>
          <w:p w14:paraId="32AC01EB" w14:textId="0E484FC6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0.027</w:t>
            </w:r>
          </w:p>
        </w:tc>
        <w:tc>
          <w:tcPr>
            <w:tcW w:w="2310" w:type="dxa"/>
            <w:vAlign w:val="bottom"/>
          </w:tcPr>
          <w:p w14:paraId="0BD251E4" w14:textId="516F43F8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1.39(1.21,1.60)</w:t>
            </w:r>
          </w:p>
        </w:tc>
        <w:tc>
          <w:tcPr>
            <w:tcW w:w="1709" w:type="dxa"/>
            <w:vAlign w:val="bottom"/>
          </w:tcPr>
          <w:p w14:paraId="1E9C502D" w14:textId="4FFB7733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5254CC" w:rsidRPr="00C81756" w14:paraId="5C8853BF" w14:textId="77777777" w:rsidTr="00074FD5">
        <w:trPr>
          <w:trHeight w:val="232"/>
        </w:trPr>
        <w:tc>
          <w:tcPr>
            <w:tcW w:w="1525" w:type="dxa"/>
          </w:tcPr>
          <w:p w14:paraId="77372602" w14:textId="02C4A365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ZIRP</w:t>
            </w:r>
          </w:p>
        </w:tc>
        <w:tc>
          <w:tcPr>
            <w:tcW w:w="2310" w:type="dxa"/>
            <w:vAlign w:val="bottom"/>
          </w:tcPr>
          <w:p w14:paraId="19BA0175" w14:textId="7D18C055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1.38(0.95,1.89)</w:t>
            </w:r>
          </w:p>
        </w:tc>
        <w:tc>
          <w:tcPr>
            <w:tcW w:w="1500" w:type="dxa"/>
            <w:vAlign w:val="bottom"/>
          </w:tcPr>
          <w:p w14:paraId="0FD69A2F" w14:textId="399770CB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0.049</w:t>
            </w:r>
          </w:p>
        </w:tc>
        <w:tc>
          <w:tcPr>
            <w:tcW w:w="2310" w:type="dxa"/>
            <w:vAlign w:val="bottom"/>
          </w:tcPr>
          <w:p w14:paraId="36E5A4C9" w14:textId="01CEF59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1.39(1.15,1.68)</w:t>
            </w:r>
          </w:p>
        </w:tc>
        <w:tc>
          <w:tcPr>
            <w:tcW w:w="1709" w:type="dxa"/>
            <w:vAlign w:val="bottom"/>
          </w:tcPr>
          <w:p w14:paraId="22EF9733" w14:textId="7BB04D29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</w:p>
        </w:tc>
      </w:tr>
      <w:tr w:rsidR="005254CC" w:rsidRPr="00C81756" w14:paraId="4B1A773F" w14:textId="77777777" w:rsidTr="00074FD5">
        <w:trPr>
          <w:trHeight w:val="232"/>
        </w:trPr>
        <w:tc>
          <w:tcPr>
            <w:tcW w:w="1525" w:type="dxa"/>
          </w:tcPr>
          <w:p w14:paraId="7501A684" w14:textId="21929140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ZINB*</w:t>
            </w:r>
            <w:r w:rsidR="005216D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  <w:vAlign w:val="bottom"/>
          </w:tcPr>
          <w:p w14:paraId="5B5E17E1" w14:textId="358D1DA7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1.83(0.64,8.67)</w:t>
            </w:r>
          </w:p>
        </w:tc>
        <w:tc>
          <w:tcPr>
            <w:tcW w:w="1500" w:type="dxa"/>
            <w:vAlign w:val="bottom"/>
          </w:tcPr>
          <w:p w14:paraId="43C6EB61" w14:textId="01B74E89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0.446</w:t>
            </w:r>
          </w:p>
        </w:tc>
        <w:tc>
          <w:tcPr>
            <w:tcW w:w="2310" w:type="dxa"/>
            <w:vAlign w:val="bottom"/>
          </w:tcPr>
          <w:p w14:paraId="4140BD82" w14:textId="704CA074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1.57(1.34,1.84)</w:t>
            </w:r>
          </w:p>
        </w:tc>
        <w:tc>
          <w:tcPr>
            <w:tcW w:w="1709" w:type="dxa"/>
            <w:vAlign w:val="bottom"/>
          </w:tcPr>
          <w:p w14:paraId="6BB2F2D3" w14:textId="46B4754F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5254CC" w:rsidRPr="00C81756" w14:paraId="3256F156" w14:textId="77777777" w:rsidTr="00074FD5">
        <w:trPr>
          <w:trHeight w:val="232"/>
        </w:trPr>
        <w:tc>
          <w:tcPr>
            <w:tcW w:w="1525" w:type="dxa"/>
          </w:tcPr>
          <w:p w14:paraId="515D899F" w14:textId="16CA71EF" w:rsidR="005254CC" w:rsidRPr="00C81756" w:rsidRDefault="00552F40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ZIGP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  <w:vAlign w:val="bottom"/>
          </w:tcPr>
          <w:p w14:paraId="0C757B85" w14:textId="462F9371" w:rsidR="005254CC" w:rsidRPr="00B93C04" w:rsidRDefault="00552F40" w:rsidP="00552F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1.35</w:t>
            </w:r>
            <w:r w:rsidR="005254CC" w:rsidRPr="00B93C04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0.23</w:t>
            </w:r>
            <w:r w:rsidR="005254CC" w:rsidRPr="00B93C0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7.75</w:t>
            </w:r>
            <w:r w:rsidR="005254CC" w:rsidRPr="00B93C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bottom"/>
          </w:tcPr>
          <w:p w14:paraId="1210603B" w14:textId="25085B4B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0.499</w:t>
            </w:r>
          </w:p>
        </w:tc>
        <w:tc>
          <w:tcPr>
            <w:tcW w:w="2310" w:type="dxa"/>
            <w:vAlign w:val="bottom"/>
          </w:tcPr>
          <w:p w14:paraId="194872C8" w14:textId="67F1AB57" w:rsidR="005254CC" w:rsidRPr="00B93C04" w:rsidRDefault="00552F40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1.49(1.28,1.75</w:t>
            </w:r>
            <w:r w:rsidR="005254CC" w:rsidRPr="00B93C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9" w:type="dxa"/>
            <w:vAlign w:val="bottom"/>
          </w:tcPr>
          <w:p w14:paraId="0B6810BE" w14:textId="2455EC96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5254CC" w:rsidRPr="00C81756" w14:paraId="7AB45B2C" w14:textId="77777777" w:rsidTr="00074FD5">
        <w:trPr>
          <w:trHeight w:val="232"/>
        </w:trPr>
        <w:tc>
          <w:tcPr>
            <w:tcW w:w="1525" w:type="dxa"/>
          </w:tcPr>
          <w:p w14:paraId="4BA20092" w14:textId="42F2F326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ZHP</w:t>
            </w:r>
          </w:p>
        </w:tc>
        <w:tc>
          <w:tcPr>
            <w:tcW w:w="2310" w:type="dxa"/>
            <w:vAlign w:val="bottom"/>
          </w:tcPr>
          <w:p w14:paraId="20FCBA6E" w14:textId="0F620D0A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1.64(1.36,1.97)</w:t>
            </w:r>
          </w:p>
        </w:tc>
        <w:tc>
          <w:tcPr>
            <w:tcW w:w="1500" w:type="dxa"/>
            <w:vAlign w:val="bottom"/>
          </w:tcPr>
          <w:p w14:paraId="1A88DC30" w14:textId="3F9AE43E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  <w:tc>
          <w:tcPr>
            <w:tcW w:w="2310" w:type="dxa"/>
            <w:vAlign w:val="bottom"/>
          </w:tcPr>
          <w:p w14:paraId="0F73E931" w14:textId="22A83FD7" w:rsidR="005254CC" w:rsidRPr="00B93C04" w:rsidRDefault="005254CC" w:rsidP="007A0C19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1.40(1.</w:t>
            </w:r>
            <w:r w:rsidR="007A0C19">
              <w:rPr>
                <w:rFonts w:ascii="Times New Roman" w:hAnsi="Times New Roman" w:cs="Times New Roman"/>
                <w:color w:val="000000"/>
              </w:rPr>
              <w:t>22,1.61</w:t>
            </w:r>
            <w:r w:rsidRPr="00B93C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9" w:type="dxa"/>
            <w:vAlign w:val="bottom"/>
          </w:tcPr>
          <w:p w14:paraId="6CC5C8C7" w14:textId="4DA031B9" w:rsidR="005254CC" w:rsidRPr="00B93C04" w:rsidRDefault="007A0C19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&lt;</w:t>
            </w:r>
            <w:r w:rsidR="005254CC"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0.001</w:t>
            </w:r>
          </w:p>
        </w:tc>
      </w:tr>
      <w:tr w:rsidR="005254CC" w:rsidRPr="00C81756" w14:paraId="6E21C9E0" w14:textId="77777777" w:rsidTr="00074FD5">
        <w:trPr>
          <w:trHeight w:val="232"/>
        </w:trPr>
        <w:tc>
          <w:tcPr>
            <w:tcW w:w="1525" w:type="dxa"/>
          </w:tcPr>
          <w:p w14:paraId="65377FFD" w14:textId="7D66D890" w:rsidR="005254CC" w:rsidRPr="00C81756" w:rsidRDefault="005254CC" w:rsidP="00525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ZHNB</w:t>
            </w:r>
          </w:p>
        </w:tc>
        <w:tc>
          <w:tcPr>
            <w:tcW w:w="2310" w:type="dxa"/>
            <w:vAlign w:val="bottom"/>
          </w:tcPr>
          <w:p w14:paraId="1D35F9B5" w14:textId="2D70D2DC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1.64(1.36,1.97)</w:t>
            </w:r>
          </w:p>
        </w:tc>
        <w:tc>
          <w:tcPr>
            <w:tcW w:w="1500" w:type="dxa"/>
            <w:vAlign w:val="bottom"/>
          </w:tcPr>
          <w:p w14:paraId="3AB964B4" w14:textId="5C55FFD0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  <w:tc>
          <w:tcPr>
            <w:tcW w:w="2310" w:type="dxa"/>
            <w:vAlign w:val="bottom"/>
          </w:tcPr>
          <w:p w14:paraId="75591FF5" w14:textId="457773AF" w:rsidR="005254CC" w:rsidRPr="00B93C04" w:rsidRDefault="005254CC" w:rsidP="007A0C19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1.54(1.2</w:t>
            </w:r>
            <w:r w:rsidR="007A0C19">
              <w:rPr>
                <w:rFonts w:ascii="Times New Roman" w:hAnsi="Times New Roman" w:cs="Times New Roman"/>
                <w:color w:val="000000"/>
              </w:rPr>
              <w:t>3,1.94</w:t>
            </w:r>
            <w:r w:rsidRPr="00B93C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9" w:type="dxa"/>
            <w:vAlign w:val="bottom"/>
          </w:tcPr>
          <w:p w14:paraId="772C00A6" w14:textId="40D406C3" w:rsidR="005254CC" w:rsidRPr="00B93C04" w:rsidRDefault="005254CC" w:rsidP="005254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</w:tbl>
    <w:p w14:paraId="68D3E7A0" w14:textId="19173114" w:rsidR="00C40340" w:rsidRDefault="00296BDB" w:rsidP="00C403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1756">
        <w:rPr>
          <w:rFonts w:ascii="Times New Roman" w:hAnsi="Times New Roman" w:cs="Times New Roman"/>
          <w:sz w:val="20"/>
          <w:szCs w:val="20"/>
        </w:rPr>
        <w:t>OR: Odds Ratio; RR: Risk</w:t>
      </w:r>
      <w:r w:rsidR="00196B09">
        <w:rPr>
          <w:rFonts w:ascii="Times New Roman" w:hAnsi="Times New Roman" w:cs="Times New Roman"/>
          <w:sz w:val="20"/>
          <w:szCs w:val="20"/>
        </w:rPr>
        <w:t xml:space="preserve"> Ratio</w:t>
      </w:r>
      <w:r w:rsidRPr="00C81756">
        <w:rPr>
          <w:rFonts w:ascii="Times New Roman" w:hAnsi="Times New Roman" w:cs="Times New Roman"/>
          <w:sz w:val="20"/>
          <w:szCs w:val="20"/>
        </w:rPr>
        <w:t xml:space="preserve">; CI: Confidence Interval; NA: Not Applicable; LR: Logistic Regression; PR: Poisson Regression; RP: Robust Poisson; NB: Negative Binomial; ZIP: Zero-inflated Poisson; ZIRP: Zero-inflated Robust Poisson; ZINB: Zero-inflated Negative Binomial; ZIGP: </w:t>
      </w:r>
      <w:r w:rsidR="000D09B1" w:rsidRPr="00C81756">
        <w:rPr>
          <w:rFonts w:ascii="Times New Roman" w:hAnsi="Times New Roman" w:cs="Times New Roman"/>
          <w:sz w:val="20"/>
          <w:szCs w:val="20"/>
        </w:rPr>
        <w:t xml:space="preserve">ZIGP: </w:t>
      </w:r>
      <w:r w:rsidR="000D09B1">
        <w:rPr>
          <w:rFonts w:ascii="Times New Roman" w:hAnsi="Times New Roman" w:cs="Times New Roman"/>
          <w:sz w:val="20"/>
          <w:szCs w:val="20"/>
        </w:rPr>
        <w:t>Zero-inflated</w:t>
      </w:r>
      <w:r w:rsidR="000D09B1" w:rsidRPr="00C81756">
        <w:rPr>
          <w:rFonts w:ascii="Times New Roman" w:hAnsi="Times New Roman" w:cs="Times New Roman"/>
          <w:sz w:val="20"/>
          <w:szCs w:val="20"/>
        </w:rPr>
        <w:t xml:space="preserve"> Generalized Poisson; </w:t>
      </w:r>
      <w:r w:rsidR="000D09B1">
        <w:rPr>
          <w:rFonts w:ascii="Times New Roman" w:hAnsi="Times New Roman" w:cs="Times New Roman"/>
          <w:sz w:val="20"/>
          <w:szCs w:val="20"/>
        </w:rPr>
        <w:t xml:space="preserve">ZHP: </w:t>
      </w:r>
      <w:r w:rsidR="00196B09">
        <w:rPr>
          <w:rFonts w:ascii="Times New Roman" w:hAnsi="Times New Roman" w:cs="Times New Roman"/>
          <w:sz w:val="20"/>
          <w:szCs w:val="20"/>
        </w:rPr>
        <w:t xml:space="preserve">Zero hurdle Poisson; ZHNB: Zero </w:t>
      </w:r>
      <w:r w:rsidR="000D09B1">
        <w:rPr>
          <w:rFonts w:ascii="Times New Roman" w:hAnsi="Times New Roman" w:cs="Times New Roman"/>
          <w:sz w:val="20"/>
          <w:szCs w:val="20"/>
        </w:rPr>
        <w:t xml:space="preserve">hurdle Negative Binomial; </w:t>
      </w:r>
      <w:r w:rsidRPr="00C81756">
        <w:rPr>
          <w:rFonts w:ascii="Times New Roman" w:hAnsi="Times New Roman" w:cs="Times New Roman"/>
          <w:sz w:val="20"/>
          <w:szCs w:val="20"/>
        </w:rPr>
        <w:t>CAC: Cap-Assisted Colonoscopy; SC: Standard Colonoscopy</w:t>
      </w:r>
      <w:r w:rsidR="00890B85">
        <w:rPr>
          <w:rFonts w:ascii="Times New Roman" w:hAnsi="Times New Roman" w:cs="Times New Roman"/>
          <w:sz w:val="20"/>
          <w:szCs w:val="20"/>
        </w:rPr>
        <w:t>;</w:t>
      </w:r>
      <w:r w:rsidR="00890B85" w:rsidRPr="00043367">
        <w:rPr>
          <w:rFonts w:ascii="Times New Roman" w:hAnsi="Times New Roman" w:cs="Times New Roman"/>
          <w:sz w:val="20"/>
          <w:szCs w:val="20"/>
        </w:rPr>
        <w:t xml:space="preserve"> </w:t>
      </w:r>
      <w:r w:rsidR="00890B85">
        <w:rPr>
          <w:rFonts w:ascii="Times New Roman" w:hAnsi="Times New Roman" w:cs="Times New Roman"/>
          <w:sz w:val="20"/>
          <w:szCs w:val="20"/>
        </w:rPr>
        <w:t xml:space="preserve">GI: Gastroenterology; </w:t>
      </w:r>
      <w:r w:rsidRPr="00C81756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C81756">
        <w:rPr>
          <w:rFonts w:ascii="Times New Roman" w:hAnsi="Times New Roman" w:cs="Times New Roman"/>
          <w:sz w:val="20"/>
          <w:szCs w:val="20"/>
        </w:rPr>
        <w:t xml:space="preserve"> Adjusted for total procedure time</w:t>
      </w:r>
      <w:r w:rsidR="005216D5">
        <w:rPr>
          <w:rFonts w:ascii="Times New Roman" w:hAnsi="Times New Roman" w:cs="Times New Roman"/>
          <w:sz w:val="20"/>
          <w:szCs w:val="20"/>
        </w:rPr>
        <w:t xml:space="preserve"> </w:t>
      </w:r>
      <w:r w:rsidR="005216D5" w:rsidRPr="005216D5">
        <w:rPr>
          <w:rFonts w:ascii="Calibri" w:hAnsi="Calibri" w:cs="Calibri"/>
          <w:color w:val="000000"/>
          <w:vertAlign w:val="superscript"/>
        </w:rPr>
        <w:t>$</w:t>
      </w:r>
      <w:r w:rsidR="005216D5">
        <w:rPr>
          <w:rFonts w:ascii="Times New Roman" w:hAnsi="Times New Roman" w:cs="Times New Roman"/>
          <w:sz w:val="20"/>
          <w:szCs w:val="20"/>
        </w:rPr>
        <w:t xml:space="preserve"> inflated part of the model was only adjusted for age, </w:t>
      </w:r>
      <w:r w:rsidR="00494B02">
        <w:rPr>
          <w:rFonts w:ascii="Times New Roman" w:hAnsi="Times New Roman" w:cs="Times New Roman"/>
          <w:sz w:val="20"/>
          <w:szCs w:val="20"/>
        </w:rPr>
        <w:t>sex</w:t>
      </w:r>
      <w:r w:rsidR="005216D5">
        <w:rPr>
          <w:rFonts w:ascii="Times New Roman" w:hAnsi="Times New Roman" w:cs="Times New Roman"/>
          <w:sz w:val="20"/>
          <w:szCs w:val="20"/>
        </w:rPr>
        <w:t>, and total procedure time;</w:t>
      </w:r>
      <w:r w:rsidR="005216D5" w:rsidRPr="00C81756">
        <w:rPr>
          <w:rFonts w:ascii="Times New Roman" w:hAnsi="Times New Roman" w:cs="Times New Roman"/>
          <w:sz w:val="20"/>
          <w:szCs w:val="20"/>
        </w:rPr>
        <w:t xml:space="preserve"> *Adjusted for age, body mass index, </w:t>
      </w:r>
      <w:r w:rsidR="00494B02">
        <w:rPr>
          <w:rFonts w:ascii="Times New Roman" w:hAnsi="Times New Roman" w:cs="Times New Roman"/>
          <w:sz w:val="20"/>
          <w:szCs w:val="20"/>
        </w:rPr>
        <w:t>sex</w:t>
      </w:r>
      <w:r w:rsidR="005216D5" w:rsidRPr="00C81756">
        <w:rPr>
          <w:rFonts w:ascii="Times New Roman" w:hAnsi="Times New Roman" w:cs="Times New Roman"/>
          <w:sz w:val="20"/>
          <w:szCs w:val="20"/>
        </w:rPr>
        <w:t>, time of day, and sedation type.</w:t>
      </w:r>
      <w:r w:rsidR="005216D5" w:rsidRPr="00C8175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216D5">
        <w:rPr>
          <w:rFonts w:ascii="Times New Roman" w:hAnsi="Times New Roman" w:cs="Times New Roman"/>
          <w:sz w:val="20"/>
          <w:szCs w:val="20"/>
        </w:rPr>
        <w:t>**</w:t>
      </w:r>
      <w:r w:rsidR="00552F40">
        <w:rPr>
          <w:rFonts w:ascii="Times New Roman" w:hAnsi="Times New Roman" w:cs="Times New Roman"/>
          <w:sz w:val="20"/>
          <w:szCs w:val="20"/>
        </w:rPr>
        <w:t>Inflated</w:t>
      </w:r>
      <w:r w:rsidR="005216D5">
        <w:rPr>
          <w:rFonts w:ascii="Times New Roman" w:hAnsi="Times New Roman" w:cs="Times New Roman"/>
          <w:sz w:val="20"/>
          <w:szCs w:val="20"/>
        </w:rPr>
        <w:t xml:space="preserve"> part </w:t>
      </w:r>
      <w:r w:rsidR="00552F40">
        <w:rPr>
          <w:rFonts w:ascii="Times New Roman" w:hAnsi="Times New Roman" w:cs="Times New Roman"/>
          <w:sz w:val="20"/>
          <w:szCs w:val="20"/>
        </w:rPr>
        <w:t xml:space="preserve">of the models </w:t>
      </w:r>
      <w:r w:rsidR="005216D5">
        <w:rPr>
          <w:rFonts w:ascii="Times New Roman" w:hAnsi="Times New Roman" w:cs="Times New Roman"/>
          <w:sz w:val="20"/>
          <w:szCs w:val="20"/>
        </w:rPr>
        <w:t xml:space="preserve">only adjusted for </w:t>
      </w:r>
      <w:r w:rsidR="005216D5" w:rsidRPr="00C81756">
        <w:rPr>
          <w:rFonts w:ascii="Times New Roman" w:hAnsi="Times New Roman" w:cs="Times New Roman"/>
          <w:sz w:val="20"/>
          <w:szCs w:val="20"/>
        </w:rPr>
        <w:t xml:space="preserve">age, </w:t>
      </w:r>
      <w:r w:rsidR="00494B02">
        <w:rPr>
          <w:rFonts w:ascii="Times New Roman" w:hAnsi="Times New Roman" w:cs="Times New Roman"/>
          <w:sz w:val="20"/>
          <w:szCs w:val="20"/>
        </w:rPr>
        <w:t>sex</w:t>
      </w:r>
      <w:r w:rsidR="00890B85">
        <w:rPr>
          <w:rFonts w:ascii="Times New Roman" w:hAnsi="Times New Roman" w:cs="Times New Roman"/>
          <w:sz w:val="20"/>
          <w:szCs w:val="20"/>
        </w:rPr>
        <w:t xml:space="preserve">, and </w:t>
      </w:r>
      <w:r w:rsidR="005216D5" w:rsidRPr="00C81756">
        <w:rPr>
          <w:rFonts w:ascii="Times New Roman" w:hAnsi="Times New Roman" w:cs="Times New Roman"/>
          <w:sz w:val="20"/>
          <w:szCs w:val="20"/>
        </w:rPr>
        <w:t>body mass index</w:t>
      </w:r>
      <w:r w:rsidR="00C40340">
        <w:rPr>
          <w:rFonts w:ascii="Times New Roman" w:hAnsi="Times New Roman" w:cs="Times New Roman"/>
          <w:sz w:val="20"/>
          <w:szCs w:val="20"/>
        </w:rPr>
        <w:t xml:space="preserve">; </w:t>
      </w:r>
      <w:r w:rsidR="00C40340" w:rsidRPr="001C2457">
        <w:rPr>
          <w:rFonts w:ascii="Times New Roman" w:hAnsi="Times New Roman" w:cs="Times New Roman"/>
          <w:sz w:val="20"/>
          <w:szCs w:val="20"/>
        </w:rPr>
        <w:t>Highlighted p-values are significant findings.</w:t>
      </w:r>
      <w:r w:rsidR="005216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9BDDB8" w14:textId="77777777" w:rsidR="00C40340" w:rsidRDefault="00C40340" w:rsidP="00C403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FC97F7" w14:textId="4C199637" w:rsidR="00C40340" w:rsidRPr="00C81756" w:rsidRDefault="00C40340" w:rsidP="00C403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Pr="00C81756">
        <w:rPr>
          <w:rFonts w:ascii="Times New Roman" w:hAnsi="Times New Roman" w:cs="Times New Roman"/>
          <w:sz w:val="20"/>
          <w:szCs w:val="20"/>
        </w:rPr>
        <w:t xml:space="preserve">Table </w:t>
      </w:r>
      <w:r w:rsidR="0012717B">
        <w:rPr>
          <w:rFonts w:ascii="Times New Roman" w:hAnsi="Times New Roman" w:cs="Times New Roman"/>
          <w:sz w:val="20"/>
          <w:szCs w:val="20"/>
        </w:rPr>
        <w:t>4</w:t>
      </w:r>
      <w:r w:rsidRPr="00C81756">
        <w:rPr>
          <w:rFonts w:ascii="Times New Roman" w:hAnsi="Times New Roman" w:cs="Times New Roman"/>
          <w:sz w:val="20"/>
          <w:szCs w:val="20"/>
        </w:rPr>
        <w:t>. Comparison of polyp detection</w:t>
      </w:r>
      <w:r w:rsidR="00A545AE">
        <w:rPr>
          <w:rFonts w:ascii="Times New Roman" w:hAnsi="Times New Roman" w:cs="Times New Roman"/>
          <w:sz w:val="20"/>
          <w:szCs w:val="20"/>
        </w:rPr>
        <w:t xml:space="preserve"> rate</w:t>
      </w:r>
      <w:r w:rsidRPr="00C81756">
        <w:rPr>
          <w:rFonts w:ascii="Times New Roman" w:hAnsi="Times New Roman" w:cs="Times New Roman"/>
          <w:sz w:val="20"/>
          <w:szCs w:val="20"/>
        </w:rPr>
        <w:t xml:space="preserve"> and the number of detected polyps between</w:t>
      </w:r>
      <w:r>
        <w:rPr>
          <w:rFonts w:ascii="Times New Roman" w:hAnsi="Times New Roman" w:cs="Times New Roman"/>
          <w:sz w:val="20"/>
          <w:szCs w:val="20"/>
        </w:rPr>
        <w:t xml:space="preserve"> the presence and absence of the</w:t>
      </w:r>
      <w:r w:rsidRPr="00C40340">
        <w:rPr>
          <w:rFonts w:ascii="Times New Roman" w:hAnsi="Times New Roman" w:cs="Times New Roman"/>
          <w:sz w:val="20"/>
          <w:szCs w:val="20"/>
        </w:rPr>
        <w:t xml:space="preserve"> GI fellowship program </w:t>
      </w:r>
      <w:r>
        <w:rPr>
          <w:rFonts w:ascii="Times New Roman" w:hAnsi="Times New Roman" w:cs="Times New Roman"/>
          <w:sz w:val="20"/>
          <w:szCs w:val="20"/>
        </w:rPr>
        <w:t>after imputing missing data</w:t>
      </w:r>
      <w:r w:rsidR="00F8286F">
        <w:rPr>
          <w:rFonts w:ascii="Times New Roman" w:hAnsi="Times New Roman" w:cs="Times New Roman"/>
          <w:sz w:val="20"/>
          <w:szCs w:val="20"/>
        </w:rPr>
        <w:t xml:space="preserve"> (N=2127)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1525"/>
        <w:gridCol w:w="2310"/>
        <w:gridCol w:w="1500"/>
        <w:gridCol w:w="2310"/>
        <w:gridCol w:w="1709"/>
      </w:tblGrid>
      <w:tr w:rsidR="00C40340" w:rsidRPr="00C81756" w14:paraId="54297B64" w14:textId="77777777" w:rsidTr="00074FD5">
        <w:trPr>
          <w:trHeight w:val="224"/>
        </w:trPr>
        <w:tc>
          <w:tcPr>
            <w:tcW w:w="1525" w:type="dxa"/>
            <w:vMerge w:val="restart"/>
          </w:tcPr>
          <w:p w14:paraId="5D5E9102" w14:textId="77777777" w:rsidR="00C40340" w:rsidRPr="00C81756" w:rsidRDefault="00C40340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Models</w:t>
            </w:r>
          </w:p>
        </w:tc>
        <w:tc>
          <w:tcPr>
            <w:tcW w:w="3810" w:type="dxa"/>
            <w:gridSpan w:val="2"/>
          </w:tcPr>
          <w:p w14:paraId="0FEDCF00" w14:textId="77777777" w:rsidR="00C40340" w:rsidRPr="00C81756" w:rsidRDefault="00C40340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Polyp detection rate</w:t>
            </w:r>
          </w:p>
        </w:tc>
        <w:tc>
          <w:tcPr>
            <w:tcW w:w="4019" w:type="dxa"/>
            <w:gridSpan w:val="2"/>
          </w:tcPr>
          <w:p w14:paraId="312ADB3D" w14:textId="77777777" w:rsidR="00C40340" w:rsidRPr="00C81756" w:rsidRDefault="00C40340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Number of detected polyps</w:t>
            </w:r>
          </w:p>
        </w:tc>
      </w:tr>
      <w:tr w:rsidR="00C40340" w:rsidRPr="00C81756" w14:paraId="6B6568F2" w14:textId="77777777" w:rsidTr="00074FD5">
        <w:trPr>
          <w:trHeight w:val="239"/>
        </w:trPr>
        <w:tc>
          <w:tcPr>
            <w:tcW w:w="1525" w:type="dxa"/>
            <w:vMerge/>
          </w:tcPr>
          <w:p w14:paraId="566F8910" w14:textId="77777777" w:rsidR="00C40340" w:rsidRPr="00C81756" w:rsidRDefault="00C40340" w:rsidP="00074FD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0FEA0D92" w14:textId="77777777" w:rsidR="00C40340" w:rsidRPr="00C81756" w:rsidRDefault="00C40340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  <w:tc>
          <w:tcPr>
            <w:tcW w:w="1500" w:type="dxa"/>
          </w:tcPr>
          <w:p w14:paraId="21175CF4" w14:textId="77777777" w:rsidR="00C40340" w:rsidRPr="00C81756" w:rsidRDefault="00C40340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2310" w:type="dxa"/>
          </w:tcPr>
          <w:p w14:paraId="1855B7FD" w14:textId="77777777" w:rsidR="00C40340" w:rsidRPr="00C81756" w:rsidRDefault="00C40340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RR (95% CI)</w:t>
            </w:r>
          </w:p>
        </w:tc>
        <w:tc>
          <w:tcPr>
            <w:tcW w:w="1709" w:type="dxa"/>
          </w:tcPr>
          <w:p w14:paraId="2B8012FE" w14:textId="77777777" w:rsidR="00C40340" w:rsidRPr="00C81756" w:rsidRDefault="00C40340" w:rsidP="00074FD5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C40340" w:rsidRPr="00C81756" w14:paraId="78B19743" w14:textId="77777777" w:rsidTr="00074FD5">
        <w:trPr>
          <w:trHeight w:val="232"/>
        </w:trPr>
        <w:tc>
          <w:tcPr>
            <w:tcW w:w="9354" w:type="dxa"/>
            <w:gridSpan w:val="5"/>
          </w:tcPr>
          <w:p w14:paraId="7F97AC15" w14:textId="77777777" w:rsidR="00C40340" w:rsidRPr="00C81756" w:rsidRDefault="00C40340" w:rsidP="00074F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Example 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After the GI fellowship program vs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before the GI fellowship 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C40340" w:rsidRPr="00C81756" w14:paraId="50A85854" w14:textId="77777777" w:rsidTr="00074FD5">
        <w:trPr>
          <w:trHeight w:val="224"/>
        </w:trPr>
        <w:tc>
          <w:tcPr>
            <w:tcW w:w="1525" w:type="dxa"/>
          </w:tcPr>
          <w:p w14:paraId="5004EC6F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LR</w:t>
            </w:r>
          </w:p>
        </w:tc>
        <w:tc>
          <w:tcPr>
            <w:tcW w:w="2310" w:type="dxa"/>
            <w:vAlign w:val="bottom"/>
          </w:tcPr>
          <w:p w14:paraId="67EF4B58" w14:textId="44742270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1.65(1.38,1.97)</w:t>
            </w:r>
          </w:p>
        </w:tc>
        <w:tc>
          <w:tcPr>
            <w:tcW w:w="1500" w:type="dxa"/>
            <w:vAlign w:val="bottom"/>
          </w:tcPr>
          <w:p w14:paraId="622A53D2" w14:textId="35E0513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  <w:tc>
          <w:tcPr>
            <w:tcW w:w="4019" w:type="dxa"/>
            <w:gridSpan w:val="2"/>
            <w:vAlign w:val="bottom"/>
          </w:tcPr>
          <w:p w14:paraId="0CDE8BDD" w14:textId="70DF02B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</w:tr>
      <w:tr w:rsidR="00C40340" w:rsidRPr="00C81756" w14:paraId="1C6332F5" w14:textId="77777777" w:rsidTr="00074FD5">
        <w:trPr>
          <w:trHeight w:val="224"/>
        </w:trPr>
        <w:tc>
          <w:tcPr>
            <w:tcW w:w="1525" w:type="dxa"/>
          </w:tcPr>
          <w:p w14:paraId="65516D73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3810" w:type="dxa"/>
            <w:gridSpan w:val="2"/>
          </w:tcPr>
          <w:p w14:paraId="7FE0B3EF" w14:textId="19E8039D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</w:p>
        </w:tc>
        <w:tc>
          <w:tcPr>
            <w:tcW w:w="2310" w:type="dxa"/>
            <w:vAlign w:val="bottom"/>
          </w:tcPr>
          <w:p w14:paraId="6A63CBE3" w14:textId="72B8BB55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1.67(1.52,1.84)</w:t>
            </w:r>
          </w:p>
        </w:tc>
        <w:tc>
          <w:tcPr>
            <w:tcW w:w="1709" w:type="dxa"/>
            <w:vAlign w:val="bottom"/>
          </w:tcPr>
          <w:p w14:paraId="1191AB3E" w14:textId="78047311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01746199" w14:textId="77777777" w:rsidTr="00074FD5">
        <w:trPr>
          <w:trHeight w:val="224"/>
        </w:trPr>
        <w:tc>
          <w:tcPr>
            <w:tcW w:w="1525" w:type="dxa"/>
          </w:tcPr>
          <w:p w14:paraId="24A694C8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</w:p>
        </w:tc>
        <w:tc>
          <w:tcPr>
            <w:tcW w:w="3810" w:type="dxa"/>
            <w:gridSpan w:val="2"/>
          </w:tcPr>
          <w:p w14:paraId="25A683D7" w14:textId="74DF660A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001C9804" w14:textId="33F7B320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1.67(1.45,1.92)</w:t>
            </w:r>
          </w:p>
        </w:tc>
        <w:tc>
          <w:tcPr>
            <w:tcW w:w="1709" w:type="dxa"/>
            <w:vAlign w:val="bottom"/>
          </w:tcPr>
          <w:p w14:paraId="64007AD0" w14:textId="5DBF3AE0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0C4CDEC2" w14:textId="77777777" w:rsidTr="00074FD5">
        <w:trPr>
          <w:trHeight w:val="224"/>
        </w:trPr>
        <w:tc>
          <w:tcPr>
            <w:tcW w:w="1525" w:type="dxa"/>
          </w:tcPr>
          <w:p w14:paraId="68D0D8E3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</w:p>
        </w:tc>
        <w:tc>
          <w:tcPr>
            <w:tcW w:w="3810" w:type="dxa"/>
            <w:gridSpan w:val="2"/>
          </w:tcPr>
          <w:p w14:paraId="2F1D600C" w14:textId="395A7CD4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i/>
                <w:sz w:val="20"/>
                <w:szCs w:val="20"/>
              </w:rPr>
              <w:t>NA</w:t>
            </w:r>
          </w:p>
        </w:tc>
        <w:tc>
          <w:tcPr>
            <w:tcW w:w="2310" w:type="dxa"/>
            <w:vAlign w:val="bottom"/>
          </w:tcPr>
          <w:p w14:paraId="14FA7AAA" w14:textId="47DEEBF4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1.66(1.45,1.90)</w:t>
            </w:r>
          </w:p>
        </w:tc>
        <w:tc>
          <w:tcPr>
            <w:tcW w:w="1709" w:type="dxa"/>
            <w:vAlign w:val="bottom"/>
          </w:tcPr>
          <w:p w14:paraId="6840781D" w14:textId="0C428C34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30F945D6" w14:textId="77777777" w:rsidTr="00074FD5">
        <w:trPr>
          <w:trHeight w:val="232"/>
        </w:trPr>
        <w:tc>
          <w:tcPr>
            <w:tcW w:w="1525" w:type="dxa"/>
          </w:tcPr>
          <w:p w14:paraId="7C0A735E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ZIP</w:t>
            </w:r>
          </w:p>
        </w:tc>
        <w:tc>
          <w:tcPr>
            <w:tcW w:w="2310" w:type="dxa"/>
            <w:vAlign w:val="bottom"/>
          </w:tcPr>
          <w:p w14:paraId="37F8D483" w14:textId="1D2DBE2C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1.27(0.92,1.68)</w:t>
            </w:r>
          </w:p>
        </w:tc>
        <w:tc>
          <w:tcPr>
            <w:tcW w:w="1500" w:type="dxa"/>
            <w:vAlign w:val="bottom"/>
          </w:tcPr>
          <w:p w14:paraId="5FFD66B3" w14:textId="3FF13C5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0.088</w:t>
            </w:r>
          </w:p>
        </w:tc>
        <w:tc>
          <w:tcPr>
            <w:tcW w:w="2310" w:type="dxa"/>
            <w:vAlign w:val="bottom"/>
          </w:tcPr>
          <w:p w14:paraId="1759DB50" w14:textId="4E0EDCF6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1.50(1.31,1.71)</w:t>
            </w:r>
          </w:p>
        </w:tc>
        <w:tc>
          <w:tcPr>
            <w:tcW w:w="1709" w:type="dxa"/>
            <w:vAlign w:val="bottom"/>
          </w:tcPr>
          <w:p w14:paraId="6D3F5052" w14:textId="2D0E7F96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723FCE50" w14:textId="77777777" w:rsidTr="00074FD5">
        <w:trPr>
          <w:trHeight w:val="232"/>
        </w:trPr>
        <w:tc>
          <w:tcPr>
            <w:tcW w:w="1525" w:type="dxa"/>
          </w:tcPr>
          <w:p w14:paraId="65F8F9E2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ZIRP</w:t>
            </w:r>
          </w:p>
        </w:tc>
        <w:tc>
          <w:tcPr>
            <w:tcW w:w="2310" w:type="dxa"/>
            <w:vAlign w:val="bottom"/>
          </w:tcPr>
          <w:p w14:paraId="1B973676" w14:textId="5B368DBE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1.27(0.88,1.75)</w:t>
            </w:r>
          </w:p>
        </w:tc>
        <w:tc>
          <w:tcPr>
            <w:tcW w:w="1500" w:type="dxa"/>
            <w:vAlign w:val="bottom"/>
          </w:tcPr>
          <w:p w14:paraId="1310FACD" w14:textId="341C1A02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0.131</w:t>
            </w:r>
          </w:p>
        </w:tc>
        <w:tc>
          <w:tcPr>
            <w:tcW w:w="2310" w:type="dxa"/>
            <w:vAlign w:val="bottom"/>
          </w:tcPr>
          <w:p w14:paraId="0D724B37" w14:textId="43791905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1.50(1.24,1.80)</w:t>
            </w:r>
          </w:p>
        </w:tc>
        <w:tc>
          <w:tcPr>
            <w:tcW w:w="1709" w:type="dxa"/>
            <w:vAlign w:val="bottom"/>
          </w:tcPr>
          <w:p w14:paraId="74BC2E0E" w14:textId="20415F05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2D4EE185" w14:textId="77777777" w:rsidTr="00074FD5">
        <w:trPr>
          <w:trHeight w:val="232"/>
        </w:trPr>
        <w:tc>
          <w:tcPr>
            <w:tcW w:w="1525" w:type="dxa"/>
          </w:tcPr>
          <w:p w14:paraId="14DABD64" w14:textId="3F3B58B4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ZINB</w:t>
            </w:r>
            <w:r w:rsidR="00611EB2" w:rsidRPr="00611E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310" w:type="dxa"/>
            <w:vAlign w:val="bottom"/>
          </w:tcPr>
          <w:p w14:paraId="26A04F37" w14:textId="6F6E5FC3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3.02(0.63,55.46)</w:t>
            </w:r>
          </w:p>
        </w:tc>
        <w:tc>
          <w:tcPr>
            <w:tcW w:w="1500" w:type="dxa"/>
            <w:vAlign w:val="bottom"/>
          </w:tcPr>
          <w:p w14:paraId="6F0BB90F" w14:textId="17481386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0.456</w:t>
            </w:r>
          </w:p>
        </w:tc>
        <w:tc>
          <w:tcPr>
            <w:tcW w:w="2310" w:type="dxa"/>
            <w:vAlign w:val="bottom"/>
          </w:tcPr>
          <w:p w14:paraId="2FC76A9D" w14:textId="17C1B7B9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1.62(1.40,1.87)</w:t>
            </w:r>
          </w:p>
        </w:tc>
        <w:tc>
          <w:tcPr>
            <w:tcW w:w="1709" w:type="dxa"/>
            <w:vAlign w:val="bottom"/>
          </w:tcPr>
          <w:p w14:paraId="1051CDBF" w14:textId="06E70385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04ACD75C" w14:textId="77777777" w:rsidTr="00074FD5">
        <w:trPr>
          <w:trHeight w:val="232"/>
        </w:trPr>
        <w:tc>
          <w:tcPr>
            <w:tcW w:w="1525" w:type="dxa"/>
          </w:tcPr>
          <w:p w14:paraId="462E6995" w14:textId="00E7F72B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ZIGP</w:t>
            </w:r>
            <w:r w:rsidR="00611EB2" w:rsidRPr="00611E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310" w:type="dxa"/>
            <w:vAlign w:val="bottom"/>
          </w:tcPr>
          <w:p w14:paraId="7D9550CB" w14:textId="7FE190D6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3.01(0.71,30.08)</w:t>
            </w:r>
          </w:p>
        </w:tc>
        <w:tc>
          <w:tcPr>
            <w:tcW w:w="1500" w:type="dxa"/>
            <w:vAlign w:val="bottom"/>
          </w:tcPr>
          <w:p w14:paraId="64496984" w14:textId="08F96441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0.349</w:t>
            </w:r>
          </w:p>
        </w:tc>
        <w:tc>
          <w:tcPr>
            <w:tcW w:w="2310" w:type="dxa"/>
            <w:vAlign w:val="bottom"/>
          </w:tcPr>
          <w:p w14:paraId="6F61CAD6" w14:textId="2767BFAA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1.49(1.31,1.71)</w:t>
            </w:r>
          </w:p>
        </w:tc>
        <w:tc>
          <w:tcPr>
            <w:tcW w:w="1709" w:type="dxa"/>
            <w:vAlign w:val="bottom"/>
          </w:tcPr>
          <w:p w14:paraId="15AF6470" w14:textId="677EC61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52BBDB74" w14:textId="77777777" w:rsidTr="00074FD5">
        <w:trPr>
          <w:trHeight w:val="232"/>
        </w:trPr>
        <w:tc>
          <w:tcPr>
            <w:tcW w:w="1525" w:type="dxa"/>
          </w:tcPr>
          <w:p w14:paraId="75CEA083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ZHP</w:t>
            </w:r>
          </w:p>
        </w:tc>
        <w:tc>
          <w:tcPr>
            <w:tcW w:w="2310" w:type="dxa"/>
            <w:vAlign w:val="bottom"/>
          </w:tcPr>
          <w:p w14:paraId="12F0B55B" w14:textId="0C5C03A5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1.65(1.38,1.97)</w:t>
            </w:r>
          </w:p>
        </w:tc>
        <w:tc>
          <w:tcPr>
            <w:tcW w:w="1500" w:type="dxa"/>
            <w:vAlign w:val="bottom"/>
          </w:tcPr>
          <w:p w14:paraId="376A2FF6" w14:textId="6613A622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  <w:tc>
          <w:tcPr>
            <w:tcW w:w="2310" w:type="dxa"/>
            <w:vAlign w:val="bottom"/>
          </w:tcPr>
          <w:p w14:paraId="7FBECA47" w14:textId="7DB2050D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1.50(1.25,1.81)</w:t>
            </w:r>
          </w:p>
        </w:tc>
        <w:tc>
          <w:tcPr>
            <w:tcW w:w="1709" w:type="dxa"/>
            <w:vAlign w:val="bottom"/>
          </w:tcPr>
          <w:p w14:paraId="556304CC" w14:textId="05824E77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  <w:tr w:rsidR="00C40340" w:rsidRPr="00C81756" w14:paraId="0A862DA8" w14:textId="77777777" w:rsidTr="00074FD5">
        <w:trPr>
          <w:trHeight w:val="232"/>
        </w:trPr>
        <w:tc>
          <w:tcPr>
            <w:tcW w:w="1525" w:type="dxa"/>
          </w:tcPr>
          <w:p w14:paraId="0BDEC6B6" w14:textId="77777777" w:rsidR="00C40340" w:rsidRPr="00C81756" w:rsidRDefault="00C40340" w:rsidP="00C403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ZHNB</w:t>
            </w:r>
          </w:p>
        </w:tc>
        <w:tc>
          <w:tcPr>
            <w:tcW w:w="2310" w:type="dxa"/>
            <w:vAlign w:val="bottom"/>
          </w:tcPr>
          <w:p w14:paraId="7C79F839" w14:textId="2148C6DF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1.65(1.38,1.97)</w:t>
            </w:r>
          </w:p>
        </w:tc>
        <w:tc>
          <w:tcPr>
            <w:tcW w:w="1500" w:type="dxa"/>
            <w:vAlign w:val="bottom"/>
          </w:tcPr>
          <w:p w14:paraId="6E34A72E" w14:textId="6D7A1CFB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  <w:tc>
          <w:tcPr>
            <w:tcW w:w="2310" w:type="dxa"/>
            <w:vAlign w:val="bottom"/>
          </w:tcPr>
          <w:p w14:paraId="74FE6EF1" w14:textId="3127A546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color w:val="000000"/>
              </w:rPr>
              <w:t>1.67(1.33,2.09)</w:t>
            </w:r>
          </w:p>
        </w:tc>
        <w:tc>
          <w:tcPr>
            <w:tcW w:w="1709" w:type="dxa"/>
            <w:vAlign w:val="bottom"/>
          </w:tcPr>
          <w:p w14:paraId="5FF30EA8" w14:textId="7308EED0" w:rsidR="00C40340" w:rsidRPr="00B93C04" w:rsidRDefault="00C40340" w:rsidP="00C4034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3C04">
              <w:rPr>
                <w:rFonts w:ascii="Times New Roman" w:hAnsi="Times New Roman" w:cs="Times New Roman"/>
                <w:b/>
                <w:bCs/>
                <w:color w:val="000000"/>
              </w:rPr>
              <w:t>&lt;0.001</w:t>
            </w:r>
          </w:p>
        </w:tc>
      </w:tr>
    </w:tbl>
    <w:p w14:paraId="58924BB7" w14:textId="721FCB5E" w:rsidR="00C40340" w:rsidRPr="00C81756" w:rsidRDefault="00C40340" w:rsidP="00C403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81756">
        <w:rPr>
          <w:rFonts w:ascii="Times New Roman" w:hAnsi="Times New Roman" w:cs="Times New Roman"/>
          <w:sz w:val="20"/>
          <w:szCs w:val="20"/>
        </w:rPr>
        <w:t>OR: Odds Ratio; RR: Risk</w:t>
      </w:r>
      <w:r w:rsidR="00196B09">
        <w:rPr>
          <w:rFonts w:ascii="Times New Roman" w:hAnsi="Times New Roman" w:cs="Times New Roman"/>
          <w:sz w:val="20"/>
          <w:szCs w:val="20"/>
        </w:rPr>
        <w:t xml:space="preserve"> Ratio</w:t>
      </w:r>
      <w:r w:rsidRPr="00C81756">
        <w:rPr>
          <w:rFonts w:ascii="Times New Roman" w:hAnsi="Times New Roman" w:cs="Times New Roman"/>
          <w:sz w:val="20"/>
          <w:szCs w:val="20"/>
        </w:rPr>
        <w:t xml:space="preserve">; CI: Confidence Interval; NA: Not Applicable; LR: Logistic Regression; PR: Poisson Regression; RP: Robust Poisson; NB: Negative Binomial; ZIP: Zero-inflated Poisson; ZIRP: Zero-inflated Robust Poisson; ZINB: Zero-inflated Negative Binomial; ZIGP: </w:t>
      </w:r>
      <w:r w:rsidR="000D09B1" w:rsidRPr="00C81756">
        <w:rPr>
          <w:rFonts w:ascii="Times New Roman" w:hAnsi="Times New Roman" w:cs="Times New Roman"/>
          <w:sz w:val="20"/>
          <w:szCs w:val="20"/>
        </w:rPr>
        <w:t xml:space="preserve">ZIGP: </w:t>
      </w:r>
      <w:r w:rsidR="000D09B1">
        <w:rPr>
          <w:rFonts w:ascii="Times New Roman" w:hAnsi="Times New Roman" w:cs="Times New Roman"/>
          <w:sz w:val="20"/>
          <w:szCs w:val="20"/>
        </w:rPr>
        <w:t>Zero-inflated</w:t>
      </w:r>
      <w:r w:rsidR="000D09B1" w:rsidRPr="00C81756">
        <w:rPr>
          <w:rFonts w:ascii="Times New Roman" w:hAnsi="Times New Roman" w:cs="Times New Roman"/>
          <w:sz w:val="20"/>
          <w:szCs w:val="20"/>
        </w:rPr>
        <w:t xml:space="preserve"> Generalized Poisson; </w:t>
      </w:r>
      <w:r w:rsidR="00196B09">
        <w:rPr>
          <w:rFonts w:ascii="Times New Roman" w:hAnsi="Times New Roman" w:cs="Times New Roman"/>
          <w:sz w:val="20"/>
          <w:szCs w:val="20"/>
        </w:rPr>
        <w:t xml:space="preserve">ZHP: Zero hurdle Poisson; ZHNB: Zero </w:t>
      </w:r>
      <w:r w:rsidR="000D09B1">
        <w:rPr>
          <w:rFonts w:ascii="Times New Roman" w:hAnsi="Times New Roman" w:cs="Times New Roman"/>
          <w:sz w:val="20"/>
          <w:szCs w:val="20"/>
        </w:rPr>
        <w:t xml:space="preserve">hurdle Negative Binomial; </w:t>
      </w:r>
      <w:r w:rsidRPr="00C81756">
        <w:rPr>
          <w:rFonts w:ascii="Times New Roman" w:hAnsi="Times New Roman" w:cs="Times New Roman"/>
          <w:sz w:val="20"/>
          <w:szCs w:val="20"/>
        </w:rPr>
        <w:t xml:space="preserve">*Adjusted for </w:t>
      </w:r>
      <w:r w:rsidR="00611EB2" w:rsidRPr="00C81756">
        <w:rPr>
          <w:rFonts w:ascii="Times New Roman" w:hAnsi="Times New Roman" w:cs="Times New Roman"/>
          <w:sz w:val="20"/>
          <w:szCs w:val="20"/>
        </w:rPr>
        <w:t>age,</w:t>
      </w:r>
      <w:r w:rsidR="00890B85">
        <w:rPr>
          <w:rFonts w:ascii="Times New Roman" w:hAnsi="Times New Roman" w:cs="Times New Roman"/>
          <w:sz w:val="20"/>
          <w:szCs w:val="20"/>
        </w:rPr>
        <w:t xml:space="preserve"> </w:t>
      </w:r>
      <w:r w:rsidR="00494B02">
        <w:rPr>
          <w:rFonts w:ascii="Times New Roman" w:hAnsi="Times New Roman" w:cs="Times New Roman"/>
          <w:sz w:val="20"/>
          <w:szCs w:val="20"/>
        </w:rPr>
        <w:t>sex</w:t>
      </w:r>
      <w:r w:rsidR="00890B85">
        <w:rPr>
          <w:rFonts w:ascii="Times New Roman" w:hAnsi="Times New Roman" w:cs="Times New Roman"/>
          <w:sz w:val="20"/>
          <w:szCs w:val="20"/>
        </w:rPr>
        <w:t>,</w:t>
      </w:r>
      <w:r w:rsidR="00611EB2" w:rsidRPr="00C81756">
        <w:rPr>
          <w:rFonts w:ascii="Times New Roman" w:hAnsi="Times New Roman" w:cs="Times New Roman"/>
          <w:sz w:val="20"/>
          <w:szCs w:val="20"/>
        </w:rPr>
        <w:t xml:space="preserve"> body mass index, sex, time of day, and sedation type</w:t>
      </w:r>
      <w:r w:rsidR="00611EB2">
        <w:rPr>
          <w:rFonts w:ascii="Times New Roman" w:hAnsi="Times New Roman" w:cs="Times New Roman"/>
          <w:sz w:val="20"/>
          <w:szCs w:val="20"/>
        </w:rPr>
        <w:t>;</w:t>
      </w:r>
      <w:r w:rsidRPr="00C8175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216D5">
        <w:rPr>
          <w:rFonts w:ascii="Calibri" w:hAnsi="Calibri" w:cs="Calibri"/>
          <w:color w:val="000000"/>
          <w:vertAlign w:val="superscript"/>
        </w:rPr>
        <w:t>$</w:t>
      </w:r>
      <w:r>
        <w:rPr>
          <w:rFonts w:ascii="Times New Roman" w:hAnsi="Times New Roman" w:cs="Times New Roman"/>
          <w:sz w:val="20"/>
          <w:szCs w:val="20"/>
        </w:rPr>
        <w:t xml:space="preserve"> inflated part of the model was only adjusted for age, </w:t>
      </w:r>
      <w:r w:rsidR="00494B02">
        <w:rPr>
          <w:rFonts w:ascii="Times New Roman" w:hAnsi="Times New Roman" w:cs="Times New Roman"/>
          <w:sz w:val="20"/>
          <w:szCs w:val="20"/>
        </w:rPr>
        <w:t>sex</w:t>
      </w:r>
      <w:r>
        <w:rPr>
          <w:rFonts w:ascii="Times New Roman" w:hAnsi="Times New Roman" w:cs="Times New Roman"/>
          <w:sz w:val="20"/>
          <w:szCs w:val="20"/>
        </w:rPr>
        <w:t xml:space="preserve">, and </w:t>
      </w:r>
      <w:r w:rsidR="00611EB2" w:rsidRPr="00C81756">
        <w:rPr>
          <w:rFonts w:ascii="Times New Roman" w:hAnsi="Times New Roman" w:cs="Times New Roman"/>
          <w:sz w:val="20"/>
          <w:szCs w:val="20"/>
        </w:rPr>
        <w:t>body mass index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C81756">
        <w:rPr>
          <w:rFonts w:ascii="Times New Roman" w:hAnsi="Times New Roman" w:cs="Times New Roman"/>
          <w:sz w:val="20"/>
          <w:szCs w:val="20"/>
        </w:rPr>
        <w:t xml:space="preserve"> </w:t>
      </w:r>
      <w:r w:rsidR="00611EB2">
        <w:rPr>
          <w:rFonts w:ascii="Calibri" w:hAnsi="Calibri" w:cs="Calibri"/>
          <w:color w:val="000000"/>
          <w:vertAlign w:val="superscript"/>
        </w:rPr>
        <w:t>#</w:t>
      </w:r>
      <w:r w:rsidR="00611EB2">
        <w:rPr>
          <w:rFonts w:ascii="Times New Roman" w:hAnsi="Times New Roman" w:cs="Times New Roman"/>
          <w:sz w:val="20"/>
          <w:szCs w:val="20"/>
        </w:rPr>
        <w:t xml:space="preserve">inflated part of the model was only adjusted for age, </w:t>
      </w:r>
      <w:r w:rsidR="00494B02">
        <w:rPr>
          <w:rFonts w:ascii="Times New Roman" w:hAnsi="Times New Roman" w:cs="Times New Roman"/>
          <w:sz w:val="20"/>
          <w:szCs w:val="20"/>
        </w:rPr>
        <w:t>sex</w:t>
      </w:r>
      <w:r w:rsidR="00611EB2">
        <w:rPr>
          <w:rFonts w:ascii="Times New Roman" w:hAnsi="Times New Roman" w:cs="Times New Roman"/>
          <w:sz w:val="20"/>
          <w:szCs w:val="20"/>
        </w:rPr>
        <w:t>,</w:t>
      </w:r>
      <w:r w:rsidR="00890B85">
        <w:rPr>
          <w:rFonts w:ascii="Times New Roman" w:hAnsi="Times New Roman" w:cs="Times New Roman"/>
          <w:sz w:val="20"/>
          <w:szCs w:val="20"/>
        </w:rPr>
        <w:t xml:space="preserve"> and</w:t>
      </w:r>
      <w:r w:rsidR="00611EB2">
        <w:rPr>
          <w:rFonts w:ascii="Times New Roman" w:hAnsi="Times New Roman" w:cs="Times New Roman"/>
          <w:sz w:val="20"/>
          <w:szCs w:val="20"/>
        </w:rPr>
        <w:t xml:space="preserve"> </w:t>
      </w:r>
      <w:r w:rsidR="00611EB2" w:rsidRPr="00C81756">
        <w:rPr>
          <w:rFonts w:ascii="Times New Roman" w:hAnsi="Times New Roman" w:cs="Times New Roman"/>
          <w:sz w:val="20"/>
          <w:szCs w:val="20"/>
        </w:rPr>
        <w:t>body mass index</w:t>
      </w:r>
      <w:r w:rsidR="00611EB2">
        <w:rPr>
          <w:rFonts w:ascii="Times New Roman" w:hAnsi="Times New Roman" w:cs="Times New Roman"/>
          <w:sz w:val="20"/>
          <w:szCs w:val="20"/>
        </w:rPr>
        <w:t>;</w:t>
      </w:r>
      <w:r w:rsidR="00611EB2" w:rsidRPr="00C81756">
        <w:rPr>
          <w:rFonts w:ascii="Times New Roman" w:hAnsi="Times New Roman" w:cs="Times New Roman"/>
          <w:sz w:val="20"/>
          <w:szCs w:val="20"/>
        </w:rPr>
        <w:t xml:space="preserve"> </w:t>
      </w:r>
      <w:r w:rsidRPr="001C2457">
        <w:rPr>
          <w:rFonts w:ascii="Times New Roman" w:hAnsi="Times New Roman" w:cs="Times New Roman"/>
          <w:sz w:val="20"/>
          <w:szCs w:val="20"/>
        </w:rPr>
        <w:t>Highlighted p-values are significant findings.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E34C8C" w14:textId="77777777" w:rsidR="00C40340" w:rsidRPr="00C81756" w:rsidRDefault="00C40340" w:rsidP="006E7A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F267F25" w14:textId="23E02AC3" w:rsidR="00D35205" w:rsidRPr="00C81756" w:rsidRDefault="00031F0E" w:rsidP="00D3520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Pr="00C81756">
        <w:rPr>
          <w:rFonts w:ascii="Times New Roman" w:hAnsi="Times New Roman" w:cs="Times New Roman"/>
          <w:sz w:val="20"/>
          <w:szCs w:val="20"/>
        </w:rPr>
        <w:t>Table</w:t>
      </w:r>
      <w:r w:rsidR="00611EB2">
        <w:rPr>
          <w:rFonts w:ascii="Times New Roman" w:hAnsi="Times New Roman" w:cs="Times New Roman"/>
          <w:sz w:val="20"/>
          <w:szCs w:val="20"/>
        </w:rPr>
        <w:t xml:space="preserve"> </w:t>
      </w:r>
      <w:r w:rsidR="0012717B">
        <w:rPr>
          <w:rFonts w:ascii="Times New Roman" w:hAnsi="Times New Roman" w:cs="Times New Roman"/>
          <w:sz w:val="20"/>
          <w:szCs w:val="20"/>
        </w:rPr>
        <w:t>5</w:t>
      </w:r>
      <w:r w:rsidR="006C75EA" w:rsidRPr="00C81756">
        <w:rPr>
          <w:rFonts w:ascii="Times New Roman" w:hAnsi="Times New Roman" w:cs="Times New Roman"/>
          <w:sz w:val="20"/>
          <w:szCs w:val="20"/>
        </w:rPr>
        <w:t>.</w:t>
      </w:r>
      <w:r w:rsidR="00D35205" w:rsidRPr="00C81756">
        <w:rPr>
          <w:rFonts w:ascii="Times New Roman" w:hAnsi="Times New Roman" w:cs="Times New Roman"/>
          <w:sz w:val="20"/>
          <w:szCs w:val="20"/>
        </w:rPr>
        <w:t xml:space="preserve"> Associated factors with </w:t>
      </w:r>
      <w:r w:rsidR="004B6342" w:rsidRPr="00C81756">
        <w:rPr>
          <w:rFonts w:ascii="Times New Roman" w:hAnsi="Times New Roman" w:cs="Times New Roman"/>
          <w:sz w:val="20"/>
          <w:szCs w:val="20"/>
        </w:rPr>
        <w:t xml:space="preserve">polyp detection </w:t>
      </w:r>
      <w:r w:rsidR="00A545AE">
        <w:rPr>
          <w:rFonts w:ascii="Times New Roman" w:hAnsi="Times New Roman" w:cs="Times New Roman"/>
          <w:sz w:val="20"/>
          <w:szCs w:val="20"/>
        </w:rPr>
        <w:t xml:space="preserve">rate </w:t>
      </w:r>
      <w:r w:rsidR="004B6342" w:rsidRPr="00C81756">
        <w:rPr>
          <w:rFonts w:ascii="Times New Roman" w:hAnsi="Times New Roman" w:cs="Times New Roman"/>
          <w:sz w:val="20"/>
          <w:szCs w:val="20"/>
        </w:rPr>
        <w:t xml:space="preserve">and the number of detected polyps </w:t>
      </w:r>
      <w:r w:rsidR="00D35205" w:rsidRPr="00C81756">
        <w:rPr>
          <w:rFonts w:ascii="Times New Roman" w:hAnsi="Times New Roman" w:cs="Times New Roman"/>
          <w:sz w:val="20"/>
          <w:szCs w:val="20"/>
        </w:rPr>
        <w:t>in example data 3</w:t>
      </w:r>
    </w:p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2399"/>
        <w:gridCol w:w="1735"/>
        <w:gridCol w:w="927"/>
        <w:gridCol w:w="1704"/>
        <w:gridCol w:w="927"/>
        <w:gridCol w:w="1695"/>
        <w:gridCol w:w="924"/>
      </w:tblGrid>
      <w:tr w:rsidR="005F69E5" w:rsidRPr="00C81756" w14:paraId="75CBEAD9" w14:textId="21261831" w:rsidTr="00AC5068">
        <w:trPr>
          <w:trHeight w:val="273"/>
        </w:trPr>
        <w:tc>
          <w:tcPr>
            <w:tcW w:w="2399" w:type="dxa"/>
          </w:tcPr>
          <w:p w14:paraId="04DA9D64" w14:textId="581A3087" w:rsidR="005F69E5" w:rsidRPr="00C81756" w:rsidRDefault="005F69E5" w:rsidP="0037455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Models</w:t>
            </w:r>
          </w:p>
        </w:tc>
        <w:tc>
          <w:tcPr>
            <w:tcW w:w="2662" w:type="dxa"/>
            <w:gridSpan w:val="2"/>
          </w:tcPr>
          <w:p w14:paraId="37FB8A0D" w14:textId="49F8040B" w:rsidR="005F69E5" w:rsidRPr="00C81756" w:rsidRDefault="005F69E5" w:rsidP="005F69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LR</w:t>
            </w:r>
          </w:p>
        </w:tc>
        <w:tc>
          <w:tcPr>
            <w:tcW w:w="2631" w:type="dxa"/>
            <w:gridSpan w:val="2"/>
          </w:tcPr>
          <w:p w14:paraId="5B027A91" w14:textId="1A4A9BE5" w:rsidR="005F69E5" w:rsidRPr="00C81756" w:rsidRDefault="00DB745C" w:rsidP="005F69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ZIRP</w:t>
            </w:r>
          </w:p>
        </w:tc>
        <w:tc>
          <w:tcPr>
            <w:tcW w:w="2619" w:type="dxa"/>
            <w:gridSpan w:val="2"/>
          </w:tcPr>
          <w:p w14:paraId="4D7ADD80" w14:textId="3503D4BC" w:rsidR="005F69E5" w:rsidRPr="00C81756" w:rsidRDefault="005F69E5" w:rsidP="00FC02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ZI</w:t>
            </w:r>
            <w:r w:rsidR="00FC0262"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NB</w:t>
            </w:r>
          </w:p>
        </w:tc>
      </w:tr>
      <w:tr w:rsidR="002E75BD" w:rsidRPr="00C81756" w14:paraId="20318CC0" w14:textId="7D905F33" w:rsidTr="00AC5068">
        <w:trPr>
          <w:trHeight w:val="273"/>
        </w:trPr>
        <w:tc>
          <w:tcPr>
            <w:tcW w:w="2399" w:type="dxa"/>
          </w:tcPr>
          <w:p w14:paraId="15394C83" w14:textId="10E3F2BF" w:rsidR="002E75BD" w:rsidRPr="00C81756" w:rsidRDefault="00483F23" w:rsidP="002E75B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Polyp</w:t>
            </w:r>
            <w:r w:rsidR="002E75BD"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detection</w:t>
            </w:r>
          </w:p>
        </w:tc>
        <w:tc>
          <w:tcPr>
            <w:tcW w:w="1735" w:type="dxa"/>
          </w:tcPr>
          <w:p w14:paraId="523904FF" w14:textId="5D30F4BD" w:rsidR="002E75BD" w:rsidRPr="00C81756" w:rsidRDefault="002E75BD" w:rsidP="002E75B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  <w:tc>
          <w:tcPr>
            <w:tcW w:w="927" w:type="dxa"/>
          </w:tcPr>
          <w:p w14:paraId="3F34D29E" w14:textId="3A29CFD3" w:rsidR="002E75BD" w:rsidRPr="00C81756" w:rsidRDefault="002E75BD" w:rsidP="002E75B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704" w:type="dxa"/>
          </w:tcPr>
          <w:p w14:paraId="5F4FB0BC" w14:textId="7116B155" w:rsidR="002E75BD" w:rsidRPr="00C81756" w:rsidRDefault="002E75BD" w:rsidP="002E75B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  <w:tc>
          <w:tcPr>
            <w:tcW w:w="927" w:type="dxa"/>
          </w:tcPr>
          <w:p w14:paraId="6C2FB3A2" w14:textId="0E9E085C" w:rsidR="002E75BD" w:rsidRPr="00C81756" w:rsidRDefault="002E75BD" w:rsidP="002E75B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695" w:type="dxa"/>
          </w:tcPr>
          <w:p w14:paraId="4F919C9A" w14:textId="5FB37C46" w:rsidR="002E75BD" w:rsidRPr="00C81756" w:rsidRDefault="002E75BD" w:rsidP="002E75B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OR (95% CI)</w:t>
            </w:r>
          </w:p>
        </w:tc>
        <w:tc>
          <w:tcPr>
            <w:tcW w:w="924" w:type="dxa"/>
          </w:tcPr>
          <w:p w14:paraId="26A1105B" w14:textId="03B374E2" w:rsidR="002E75BD" w:rsidRPr="00C81756" w:rsidRDefault="002E75BD" w:rsidP="002E75B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BF3B54" w:rsidRPr="00C81756" w14:paraId="651CE210" w14:textId="0BFD2B09" w:rsidTr="00074FD5">
        <w:trPr>
          <w:trHeight w:val="256"/>
        </w:trPr>
        <w:tc>
          <w:tcPr>
            <w:tcW w:w="2399" w:type="dxa"/>
          </w:tcPr>
          <w:p w14:paraId="486F905D" w14:textId="7BC680D3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Fellowship-presence </w:t>
            </w:r>
          </w:p>
        </w:tc>
        <w:tc>
          <w:tcPr>
            <w:tcW w:w="1735" w:type="dxa"/>
            <w:vAlign w:val="bottom"/>
          </w:tcPr>
          <w:p w14:paraId="7B021619" w14:textId="4657515B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 (1.36, 1.97)</w:t>
            </w:r>
          </w:p>
        </w:tc>
        <w:tc>
          <w:tcPr>
            <w:tcW w:w="927" w:type="dxa"/>
            <w:vAlign w:val="bottom"/>
          </w:tcPr>
          <w:p w14:paraId="2FAE90EE" w14:textId="429B1374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0ECDDB4E" w14:textId="291639EC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(1.94, 1.02)</w:t>
            </w:r>
          </w:p>
        </w:tc>
        <w:tc>
          <w:tcPr>
            <w:tcW w:w="927" w:type="dxa"/>
          </w:tcPr>
          <w:p w14:paraId="349ECDC4" w14:textId="5192C087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695" w:type="dxa"/>
            <w:vAlign w:val="bottom"/>
          </w:tcPr>
          <w:p w14:paraId="5C7AE310" w14:textId="3AC2C57F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2.25(0.64,7.85)</w:t>
            </w:r>
          </w:p>
        </w:tc>
        <w:tc>
          <w:tcPr>
            <w:tcW w:w="924" w:type="dxa"/>
            <w:vAlign w:val="bottom"/>
          </w:tcPr>
          <w:p w14:paraId="0A689FAF" w14:textId="5D1F64AA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0.208</w:t>
            </w:r>
          </w:p>
        </w:tc>
      </w:tr>
      <w:tr w:rsidR="00BF3B54" w:rsidRPr="00C81756" w14:paraId="410FFE07" w14:textId="6AC2C4E1" w:rsidTr="00074FD5">
        <w:trPr>
          <w:trHeight w:val="256"/>
        </w:trPr>
        <w:tc>
          <w:tcPr>
            <w:tcW w:w="2399" w:type="dxa"/>
          </w:tcPr>
          <w:p w14:paraId="1F2E62B6" w14:textId="57E8CFA7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</w:tc>
        <w:tc>
          <w:tcPr>
            <w:tcW w:w="1735" w:type="dxa"/>
            <w:vAlign w:val="bottom"/>
          </w:tcPr>
          <w:p w14:paraId="518D9E75" w14:textId="1ED8F67D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(1.01, 1.04)</w:t>
            </w:r>
          </w:p>
        </w:tc>
        <w:tc>
          <w:tcPr>
            <w:tcW w:w="927" w:type="dxa"/>
            <w:vAlign w:val="bottom"/>
          </w:tcPr>
          <w:p w14:paraId="6DF1D3B0" w14:textId="52462A06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704" w:type="dxa"/>
            <w:vAlign w:val="bottom"/>
          </w:tcPr>
          <w:p w14:paraId="143D2261" w14:textId="039C6E59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(1.05, 1.00)</w:t>
            </w:r>
          </w:p>
        </w:tc>
        <w:tc>
          <w:tcPr>
            <w:tcW w:w="927" w:type="dxa"/>
          </w:tcPr>
          <w:p w14:paraId="3E64A75C" w14:textId="32FD1C8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695" w:type="dxa"/>
            <w:vAlign w:val="bottom"/>
          </w:tcPr>
          <w:p w14:paraId="6B65F25E" w14:textId="1865AB3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1.25(0.57,2.72)</w:t>
            </w:r>
          </w:p>
        </w:tc>
        <w:tc>
          <w:tcPr>
            <w:tcW w:w="924" w:type="dxa"/>
            <w:vAlign w:val="bottom"/>
          </w:tcPr>
          <w:p w14:paraId="4D07D071" w14:textId="0F65640D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</w:tr>
      <w:tr w:rsidR="00BF3B54" w:rsidRPr="00C81756" w14:paraId="2BC14B3F" w14:textId="3FD45DB0" w:rsidTr="00074FD5">
        <w:trPr>
          <w:trHeight w:val="256"/>
        </w:trPr>
        <w:tc>
          <w:tcPr>
            <w:tcW w:w="2399" w:type="dxa"/>
          </w:tcPr>
          <w:p w14:paraId="5BFC7C3C" w14:textId="54E6EFDE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Body mass index (kg/m</w:t>
            </w:r>
            <w:r w:rsidRPr="00C81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5" w:type="dxa"/>
            <w:vAlign w:val="bottom"/>
          </w:tcPr>
          <w:p w14:paraId="0036FDDD" w14:textId="0474D881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(1.01, 1.04)</w:t>
            </w:r>
          </w:p>
        </w:tc>
        <w:tc>
          <w:tcPr>
            <w:tcW w:w="927" w:type="dxa"/>
            <w:vAlign w:val="bottom"/>
          </w:tcPr>
          <w:p w14:paraId="1731F9D4" w14:textId="68C6FCB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704" w:type="dxa"/>
            <w:vAlign w:val="bottom"/>
          </w:tcPr>
          <w:p w14:paraId="6533C373" w14:textId="2E09FC4E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(1.06, 0.98)</w:t>
            </w:r>
          </w:p>
        </w:tc>
        <w:tc>
          <w:tcPr>
            <w:tcW w:w="927" w:type="dxa"/>
          </w:tcPr>
          <w:p w14:paraId="4BA484E5" w14:textId="1BF5C0B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695" w:type="dxa"/>
            <w:vAlign w:val="bottom"/>
          </w:tcPr>
          <w:p w14:paraId="02A91618" w14:textId="3FBBF3C1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1.21(0.98,1.48)</w:t>
            </w:r>
          </w:p>
        </w:tc>
        <w:tc>
          <w:tcPr>
            <w:tcW w:w="924" w:type="dxa"/>
            <w:vAlign w:val="bottom"/>
          </w:tcPr>
          <w:p w14:paraId="511AEC39" w14:textId="28831353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0.077</w:t>
            </w:r>
          </w:p>
        </w:tc>
      </w:tr>
      <w:tr w:rsidR="00BF3B54" w:rsidRPr="00C81756" w14:paraId="1333000C" w14:textId="10E524E5" w:rsidTr="00074FD5">
        <w:trPr>
          <w:trHeight w:val="256"/>
        </w:trPr>
        <w:tc>
          <w:tcPr>
            <w:tcW w:w="2399" w:type="dxa"/>
          </w:tcPr>
          <w:p w14:paraId="03DE2CC2" w14:textId="0138EFE4" w:rsidR="00BF3B54" w:rsidRPr="00C81756" w:rsidRDefault="00494B02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  <w:r w:rsidR="00BF3B54"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 -male</w:t>
            </w:r>
          </w:p>
        </w:tc>
        <w:tc>
          <w:tcPr>
            <w:tcW w:w="1735" w:type="dxa"/>
            <w:vAlign w:val="bottom"/>
          </w:tcPr>
          <w:p w14:paraId="7D67B36A" w14:textId="11A27E1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 (1.28, 1.89)</w:t>
            </w:r>
          </w:p>
        </w:tc>
        <w:tc>
          <w:tcPr>
            <w:tcW w:w="927" w:type="dxa"/>
            <w:vAlign w:val="bottom"/>
          </w:tcPr>
          <w:p w14:paraId="77763D71" w14:textId="34D934AC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187FFBE8" w14:textId="166202FF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(1.74, 0.93)</w:t>
            </w:r>
          </w:p>
        </w:tc>
        <w:tc>
          <w:tcPr>
            <w:tcW w:w="927" w:type="dxa"/>
          </w:tcPr>
          <w:p w14:paraId="4F4F5D4E" w14:textId="7B461556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1695" w:type="dxa"/>
            <w:vAlign w:val="bottom"/>
          </w:tcPr>
          <w:p w14:paraId="53AF9D51" w14:textId="4789135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1.49(0.43,5.21)</w:t>
            </w:r>
          </w:p>
        </w:tc>
        <w:tc>
          <w:tcPr>
            <w:tcW w:w="924" w:type="dxa"/>
            <w:vAlign w:val="bottom"/>
          </w:tcPr>
          <w:p w14:paraId="41C52508" w14:textId="70B7052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0.534</w:t>
            </w:r>
          </w:p>
        </w:tc>
      </w:tr>
      <w:tr w:rsidR="00BF3B54" w:rsidRPr="00C81756" w14:paraId="4BCC8A2D" w14:textId="432A7474" w:rsidTr="00074FD5">
        <w:trPr>
          <w:trHeight w:val="256"/>
        </w:trPr>
        <w:tc>
          <w:tcPr>
            <w:tcW w:w="2399" w:type="dxa"/>
          </w:tcPr>
          <w:p w14:paraId="33A90C99" w14:textId="62E29D69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Time of day-PM</w:t>
            </w:r>
          </w:p>
        </w:tc>
        <w:tc>
          <w:tcPr>
            <w:tcW w:w="1735" w:type="dxa"/>
            <w:vAlign w:val="bottom"/>
          </w:tcPr>
          <w:p w14:paraId="77552345" w14:textId="1B614F3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 (1.21, 1.80)</w:t>
            </w:r>
          </w:p>
        </w:tc>
        <w:tc>
          <w:tcPr>
            <w:tcW w:w="927" w:type="dxa"/>
            <w:vAlign w:val="bottom"/>
          </w:tcPr>
          <w:p w14:paraId="7D9D6665" w14:textId="0BC67591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056FCB8F" w14:textId="7DFE1850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(1.96, 0.97)</w:t>
            </w:r>
          </w:p>
        </w:tc>
        <w:tc>
          <w:tcPr>
            <w:tcW w:w="927" w:type="dxa"/>
          </w:tcPr>
          <w:p w14:paraId="57A68028" w14:textId="13D5302E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695" w:type="dxa"/>
            <w:vAlign w:val="bottom"/>
          </w:tcPr>
          <w:p w14:paraId="0454FF23" w14:textId="384DBD9A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0.57(0.02,20.91)</w:t>
            </w:r>
          </w:p>
        </w:tc>
        <w:tc>
          <w:tcPr>
            <w:tcW w:w="924" w:type="dxa"/>
            <w:vAlign w:val="bottom"/>
          </w:tcPr>
          <w:p w14:paraId="4EC26A18" w14:textId="1B304417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0.760</w:t>
            </w:r>
          </w:p>
        </w:tc>
      </w:tr>
      <w:tr w:rsidR="00BF3B54" w:rsidRPr="00C81756" w14:paraId="32FD4C75" w14:textId="136D0066" w:rsidTr="00074FD5">
        <w:trPr>
          <w:trHeight w:val="256"/>
        </w:trPr>
        <w:tc>
          <w:tcPr>
            <w:tcW w:w="2399" w:type="dxa"/>
          </w:tcPr>
          <w:p w14:paraId="55A1705A" w14:textId="26F2DE39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Sedation-moderate</w:t>
            </w:r>
          </w:p>
        </w:tc>
        <w:tc>
          <w:tcPr>
            <w:tcW w:w="1735" w:type="dxa"/>
            <w:vAlign w:val="bottom"/>
          </w:tcPr>
          <w:p w14:paraId="2D600470" w14:textId="2ED42377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(0.39, 1.44)</w:t>
            </w:r>
          </w:p>
        </w:tc>
        <w:tc>
          <w:tcPr>
            <w:tcW w:w="927" w:type="dxa"/>
            <w:vAlign w:val="bottom"/>
          </w:tcPr>
          <w:p w14:paraId="100EB640" w14:textId="5798EF4D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1704" w:type="dxa"/>
            <w:vAlign w:val="bottom"/>
          </w:tcPr>
          <w:p w14:paraId="473D133A" w14:textId="2429E1DB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(2.21, 0.49)</w:t>
            </w:r>
          </w:p>
        </w:tc>
        <w:tc>
          <w:tcPr>
            <w:tcW w:w="927" w:type="dxa"/>
          </w:tcPr>
          <w:p w14:paraId="7A5AF066" w14:textId="6F7BB517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0.907</w:t>
            </w:r>
          </w:p>
        </w:tc>
        <w:tc>
          <w:tcPr>
            <w:tcW w:w="1695" w:type="dxa"/>
            <w:vAlign w:val="bottom"/>
          </w:tcPr>
          <w:p w14:paraId="02633538" w14:textId="680139D0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1.86(0.12,29.96)</w:t>
            </w:r>
          </w:p>
        </w:tc>
        <w:tc>
          <w:tcPr>
            <w:tcW w:w="924" w:type="dxa"/>
            <w:vAlign w:val="bottom"/>
          </w:tcPr>
          <w:p w14:paraId="57B50F30" w14:textId="1213C319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0.663</w:t>
            </w:r>
          </w:p>
        </w:tc>
      </w:tr>
      <w:tr w:rsidR="00DB745C" w:rsidRPr="00C81756" w14:paraId="0C70E659" w14:textId="77777777" w:rsidTr="00074FD5">
        <w:trPr>
          <w:trHeight w:val="256"/>
        </w:trPr>
        <w:tc>
          <w:tcPr>
            <w:tcW w:w="2399" w:type="dxa"/>
          </w:tcPr>
          <w:p w14:paraId="2C0FC910" w14:textId="77777777" w:rsidR="00DB745C" w:rsidRPr="00C81756" w:rsidRDefault="00DB745C" w:rsidP="00AC50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Align w:val="bottom"/>
          </w:tcPr>
          <w:p w14:paraId="69BC8D5F" w14:textId="2F465026" w:rsidR="00DB745C" w:rsidRPr="00C81756" w:rsidRDefault="00DB745C" w:rsidP="00DB74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</w:p>
        </w:tc>
        <w:tc>
          <w:tcPr>
            <w:tcW w:w="1704" w:type="dxa"/>
            <w:vAlign w:val="bottom"/>
          </w:tcPr>
          <w:p w14:paraId="01887006" w14:textId="77777777" w:rsidR="00DB745C" w:rsidRPr="00C81756" w:rsidRDefault="00DB745C" w:rsidP="00AC5068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7" w:type="dxa"/>
            <w:vAlign w:val="bottom"/>
          </w:tcPr>
          <w:p w14:paraId="6A3E48FB" w14:textId="77777777" w:rsidR="00DB745C" w:rsidRPr="00C81756" w:rsidRDefault="00DB745C" w:rsidP="00AC5068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5" w:type="dxa"/>
            <w:vAlign w:val="bottom"/>
          </w:tcPr>
          <w:p w14:paraId="7282A4DE" w14:textId="77777777" w:rsidR="00DB745C" w:rsidRPr="00C81756" w:rsidRDefault="00DB745C" w:rsidP="00AC506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18FBBC3B" w14:textId="77777777" w:rsidR="00DB745C" w:rsidRPr="00C81756" w:rsidRDefault="00DB745C" w:rsidP="00AC5068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5C" w:rsidRPr="00C81756" w14:paraId="1828855F" w14:textId="58147EE0" w:rsidTr="00074FD5">
        <w:trPr>
          <w:trHeight w:val="256"/>
        </w:trPr>
        <w:tc>
          <w:tcPr>
            <w:tcW w:w="2399" w:type="dxa"/>
          </w:tcPr>
          <w:p w14:paraId="5004E31F" w14:textId="445F2D46" w:rsidR="00DB745C" w:rsidRPr="00C81756" w:rsidRDefault="00DB745C" w:rsidP="00DB745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Detected polyp counts</w:t>
            </w:r>
          </w:p>
        </w:tc>
        <w:tc>
          <w:tcPr>
            <w:tcW w:w="1735" w:type="dxa"/>
            <w:vAlign w:val="bottom"/>
          </w:tcPr>
          <w:p w14:paraId="668A077B" w14:textId="3A5CC816" w:rsidR="00DB745C" w:rsidRPr="00C81756" w:rsidRDefault="00DB745C" w:rsidP="00DB745C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RR (95% CI)</w:t>
            </w:r>
          </w:p>
        </w:tc>
        <w:tc>
          <w:tcPr>
            <w:tcW w:w="927" w:type="dxa"/>
          </w:tcPr>
          <w:p w14:paraId="035F16CA" w14:textId="5FAD3A30" w:rsidR="00DB745C" w:rsidRPr="00C81756" w:rsidRDefault="00DB745C" w:rsidP="00DB745C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704" w:type="dxa"/>
          </w:tcPr>
          <w:p w14:paraId="583EB06B" w14:textId="15F98EA7" w:rsidR="00DB745C" w:rsidRPr="00C81756" w:rsidRDefault="00DB745C" w:rsidP="00DB745C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RR (95% CI)</w:t>
            </w:r>
          </w:p>
        </w:tc>
        <w:tc>
          <w:tcPr>
            <w:tcW w:w="927" w:type="dxa"/>
          </w:tcPr>
          <w:p w14:paraId="68C46D96" w14:textId="21E2498D" w:rsidR="00DB745C" w:rsidRPr="00C81756" w:rsidRDefault="00DB745C" w:rsidP="00DB745C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695" w:type="dxa"/>
          </w:tcPr>
          <w:p w14:paraId="1AFDDD89" w14:textId="0DC5651B" w:rsidR="00DB745C" w:rsidRPr="00C81756" w:rsidRDefault="00DB745C" w:rsidP="00DB745C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RR (95% CI)</w:t>
            </w:r>
          </w:p>
        </w:tc>
        <w:tc>
          <w:tcPr>
            <w:tcW w:w="924" w:type="dxa"/>
          </w:tcPr>
          <w:p w14:paraId="25543A6F" w14:textId="25C440D7" w:rsidR="00DB745C" w:rsidRPr="00C81756" w:rsidRDefault="00DB745C" w:rsidP="00DB745C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BF3B54" w:rsidRPr="00C81756" w14:paraId="6F6DE866" w14:textId="2B526CBF" w:rsidTr="00074FD5">
        <w:trPr>
          <w:trHeight w:val="256"/>
        </w:trPr>
        <w:tc>
          <w:tcPr>
            <w:tcW w:w="2399" w:type="dxa"/>
          </w:tcPr>
          <w:p w14:paraId="5DB3DAF8" w14:textId="1A1B076C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Fellowship-presence </w:t>
            </w:r>
          </w:p>
        </w:tc>
        <w:tc>
          <w:tcPr>
            <w:tcW w:w="1735" w:type="dxa"/>
            <w:vAlign w:val="bottom"/>
          </w:tcPr>
          <w:p w14:paraId="57E453FA" w14:textId="3648A246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 (1.42, 1.74)</w:t>
            </w:r>
          </w:p>
        </w:tc>
        <w:tc>
          <w:tcPr>
            <w:tcW w:w="927" w:type="dxa"/>
            <w:vAlign w:val="bottom"/>
          </w:tcPr>
          <w:p w14:paraId="1D328B17" w14:textId="03A4923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2273BE19" w14:textId="012C7880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(1.14, 1.61)</w:t>
            </w:r>
          </w:p>
        </w:tc>
        <w:tc>
          <w:tcPr>
            <w:tcW w:w="927" w:type="dxa"/>
          </w:tcPr>
          <w:p w14:paraId="5086B720" w14:textId="2217648C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695" w:type="dxa"/>
            <w:vAlign w:val="bottom"/>
          </w:tcPr>
          <w:p w14:paraId="32AE9A9B" w14:textId="14E56153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1.49(1.17,1.90)</w:t>
            </w:r>
          </w:p>
        </w:tc>
        <w:tc>
          <w:tcPr>
            <w:tcW w:w="924" w:type="dxa"/>
            <w:vAlign w:val="bottom"/>
          </w:tcPr>
          <w:p w14:paraId="1422AC9D" w14:textId="4FB8A071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BF3B54" w:rsidRPr="00C81756" w14:paraId="7BF940B2" w14:textId="1144B29E" w:rsidTr="00074FD5">
        <w:trPr>
          <w:trHeight w:val="256"/>
        </w:trPr>
        <w:tc>
          <w:tcPr>
            <w:tcW w:w="2399" w:type="dxa"/>
          </w:tcPr>
          <w:p w14:paraId="667984D1" w14:textId="6EF3DE7B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</w:tc>
        <w:tc>
          <w:tcPr>
            <w:tcW w:w="1735" w:type="dxa"/>
            <w:vAlign w:val="bottom"/>
          </w:tcPr>
          <w:p w14:paraId="5EE93831" w14:textId="38942D57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(1.01, 1.03)</w:t>
            </w:r>
          </w:p>
        </w:tc>
        <w:tc>
          <w:tcPr>
            <w:tcW w:w="927" w:type="dxa"/>
            <w:vAlign w:val="bottom"/>
          </w:tcPr>
          <w:p w14:paraId="4735584B" w14:textId="2ECABE7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2527C0DD" w14:textId="7679227A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(1.00, 1.02)</w:t>
            </w:r>
          </w:p>
        </w:tc>
        <w:tc>
          <w:tcPr>
            <w:tcW w:w="927" w:type="dxa"/>
          </w:tcPr>
          <w:p w14:paraId="48E31003" w14:textId="202CA2F0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0.081</w:t>
            </w:r>
          </w:p>
        </w:tc>
        <w:tc>
          <w:tcPr>
            <w:tcW w:w="1695" w:type="dxa"/>
            <w:vAlign w:val="bottom"/>
          </w:tcPr>
          <w:p w14:paraId="13C15C29" w14:textId="2855D287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1.01(0.99,1.02)</w:t>
            </w:r>
          </w:p>
        </w:tc>
        <w:tc>
          <w:tcPr>
            <w:tcW w:w="924" w:type="dxa"/>
            <w:vAlign w:val="bottom"/>
          </w:tcPr>
          <w:p w14:paraId="138517FD" w14:textId="0F2D541D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</w:tr>
      <w:tr w:rsidR="00BF3B54" w:rsidRPr="00C81756" w14:paraId="426803B1" w14:textId="73F60E69" w:rsidTr="00074FD5">
        <w:trPr>
          <w:trHeight w:val="256"/>
        </w:trPr>
        <w:tc>
          <w:tcPr>
            <w:tcW w:w="2399" w:type="dxa"/>
          </w:tcPr>
          <w:p w14:paraId="2433E886" w14:textId="65B56F2E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Body mass index (kg/m</w:t>
            </w:r>
            <w:r w:rsidRPr="00C81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5" w:type="dxa"/>
            <w:vAlign w:val="bottom"/>
          </w:tcPr>
          <w:p w14:paraId="766C19E5" w14:textId="332DE7FC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(1.01, 1.03)</w:t>
            </w:r>
          </w:p>
        </w:tc>
        <w:tc>
          <w:tcPr>
            <w:tcW w:w="927" w:type="dxa"/>
            <w:vAlign w:val="bottom"/>
          </w:tcPr>
          <w:p w14:paraId="791A5067" w14:textId="69B8A2C6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0D437215" w14:textId="6B738FC0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(0.99, 1.03)</w:t>
            </w:r>
          </w:p>
        </w:tc>
        <w:tc>
          <w:tcPr>
            <w:tcW w:w="927" w:type="dxa"/>
          </w:tcPr>
          <w:p w14:paraId="353F49D1" w14:textId="4B5EAC4A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695" w:type="dxa"/>
            <w:vAlign w:val="bottom"/>
          </w:tcPr>
          <w:p w14:paraId="7FBAF578" w14:textId="0448A449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1.01(0.98,1.04)</w:t>
            </w:r>
          </w:p>
        </w:tc>
        <w:tc>
          <w:tcPr>
            <w:tcW w:w="924" w:type="dxa"/>
            <w:vAlign w:val="bottom"/>
          </w:tcPr>
          <w:p w14:paraId="4193D99D" w14:textId="4E65CB54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</w:tr>
      <w:tr w:rsidR="00BF3B54" w:rsidRPr="00C81756" w14:paraId="6D7E136C" w14:textId="60104575" w:rsidTr="00074FD5">
        <w:trPr>
          <w:trHeight w:val="256"/>
        </w:trPr>
        <w:tc>
          <w:tcPr>
            <w:tcW w:w="2399" w:type="dxa"/>
          </w:tcPr>
          <w:p w14:paraId="2B6263F6" w14:textId="45D0236C" w:rsidR="00BF3B54" w:rsidRPr="00C81756" w:rsidRDefault="00494B02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  <w:r w:rsidR="00BF3B54" w:rsidRPr="00C81756">
              <w:rPr>
                <w:rFonts w:ascii="Times New Roman" w:hAnsi="Times New Roman" w:cs="Times New Roman"/>
                <w:sz w:val="20"/>
                <w:szCs w:val="20"/>
              </w:rPr>
              <w:t xml:space="preserve"> -male</w:t>
            </w:r>
          </w:p>
        </w:tc>
        <w:tc>
          <w:tcPr>
            <w:tcW w:w="1735" w:type="dxa"/>
            <w:vAlign w:val="bottom"/>
          </w:tcPr>
          <w:p w14:paraId="78A192DB" w14:textId="7E04F686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 (1.38, 1.69)</w:t>
            </w:r>
          </w:p>
        </w:tc>
        <w:tc>
          <w:tcPr>
            <w:tcW w:w="927" w:type="dxa"/>
            <w:vAlign w:val="bottom"/>
          </w:tcPr>
          <w:p w14:paraId="5E5E5782" w14:textId="04971AE3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0FE4A06E" w14:textId="0A04705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(1.18, 1.63)</w:t>
            </w:r>
          </w:p>
        </w:tc>
        <w:tc>
          <w:tcPr>
            <w:tcW w:w="927" w:type="dxa"/>
          </w:tcPr>
          <w:p w14:paraId="03A3A99E" w14:textId="6755C0AB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695" w:type="dxa"/>
            <w:vAlign w:val="bottom"/>
          </w:tcPr>
          <w:p w14:paraId="7D7E332C" w14:textId="61BE1F0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1.49(1.24,1.79)</w:t>
            </w:r>
          </w:p>
        </w:tc>
        <w:tc>
          <w:tcPr>
            <w:tcW w:w="924" w:type="dxa"/>
            <w:vAlign w:val="bottom"/>
          </w:tcPr>
          <w:p w14:paraId="6B458925" w14:textId="2093DBE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F3B54" w:rsidRPr="00C81756" w14:paraId="4573E309" w14:textId="65AB4301" w:rsidTr="00074FD5">
        <w:trPr>
          <w:trHeight w:val="256"/>
        </w:trPr>
        <w:tc>
          <w:tcPr>
            <w:tcW w:w="2399" w:type="dxa"/>
          </w:tcPr>
          <w:p w14:paraId="18BBFA91" w14:textId="4242A908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Time of day-PM</w:t>
            </w:r>
          </w:p>
        </w:tc>
        <w:tc>
          <w:tcPr>
            <w:tcW w:w="1735" w:type="dxa"/>
            <w:vAlign w:val="bottom"/>
          </w:tcPr>
          <w:p w14:paraId="7E88488A" w14:textId="7953F24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(1.24, 1.55)</w:t>
            </w:r>
          </w:p>
        </w:tc>
        <w:tc>
          <w:tcPr>
            <w:tcW w:w="927" w:type="dxa"/>
            <w:vAlign w:val="bottom"/>
          </w:tcPr>
          <w:p w14:paraId="6D5A0F89" w14:textId="41B90859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6F3F02C1" w14:textId="5FCD59E1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 (0.99, 1.46)</w:t>
            </w:r>
          </w:p>
        </w:tc>
        <w:tc>
          <w:tcPr>
            <w:tcW w:w="927" w:type="dxa"/>
          </w:tcPr>
          <w:p w14:paraId="22EA1F8F" w14:textId="63FDECF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1695" w:type="dxa"/>
            <w:vAlign w:val="bottom"/>
          </w:tcPr>
          <w:p w14:paraId="42AB6CA6" w14:textId="073F951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1.42(1.17,1.72)</w:t>
            </w:r>
          </w:p>
        </w:tc>
        <w:tc>
          <w:tcPr>
            <w:tcW w:w="924" w:type="dxa"/>
            <w:vAlign w:val="bottom"/>
          </w:tcPr>
          <w:p w14:paraId="76367339" w14:textId="2A798EB7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BF3B54" w:rsidRPr="00C81756" w14:paraId="2F84083B" w14:textId="21EF4732" w:rsidTr="00074FD5">
        <w:trPr>
          <w:trHeight w:val="256"/>
        </w:trPr>
        <w:tc>
          <w:tcPr>
            <w:tcW w:w="2399" w:type="dxa"/>
          </w:tcPr>
          <w:p w14:paraId="09D9BC18" w14:textId="5B0EB82D" w:rsidR="00BF3B54" w:rsidRPr="00C81756" w:rsidRDefault="00BF3B54" w:rsidP="00BF3B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Sedation-moderate</w:t>
            </w:r>
          </w:p>
        </w:tc>
        <w:tc>
          <w:tcPr>
            <w:tcW w:w="1735" w:type="dxa"/>
            <w:vAlign w:val="bottom"/>
          </w:tcPr>
          <w:p w14:paraId="0111A6CF" w14:textId="055EB0B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 (0.47, 0.79)</w:t>
            </w:r>
          </w:p>
        </w:tc>
        <w:tc>
          <w:tcPr>
            <w:tcW w:w="927" w:type="dxa"/>
            <w:vAlign w:val="bottom"/>
          </w:tcPr>
          <w:p w14:paraId="7AABAEC5" w14:textId="61EDFEE4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704" w:type="dxa"/>
            <w:vAlign w:val="bottom"/>
          </w:tcPr>
          <w:p w14:paraId="0896F97E" w14:textId="1F77E272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(0.44, 0.86)</w:t>
            </w:r>
          </w:p>
        </w:tc>
        <w:tc>
          <w:tcPr>
            <w:tcW w:w="927" w:type="dxa"/>
          </w:tcPr>
          <w:p w14:paraId="6E4636ED" w14:textId="553703C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695" w:type="dxa"/>
            <w:vAlign w:val="bottom"/>
          </w:tcPr>
          <w:p w14:paraId="716AF69E" w14:textId="784EB68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0.58(0.35,0.95)</w:t>
            </w:r>
          </w:p>
        </w:tc>
        <w:tc>
          <w:tcPr>
            <w:tcW w:w="924" w:type="dxa"/>
            <w:vAlign w:val="bottom"/>
          </w:tcPr>
          <w:p w14:paraId="738B1BCF" w14:textId="47598F78" w:rsidR="00BF3B54" w:rsidRPr="00C81756" w:rsidRDefault="00BF3B54" w:rsidP="00BF3B5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</w:t>
            </w:r>
          </w:p>
        </w:tc>
      </w:tr>
    </w:tbl>
    <w:p w14:paraId="026B9BF0" w14:textId="2EA70BBF" w:rsidR="00E17508" w:rsidRDefault="00FC0262" w:rsidP="003F1B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81756">
        <w:rPr>
          <w:rFonts w:ascii="Times New Roman" w:hAnsi="Times New Roman" w:cs="Times New Roman"/>
          <w:sz w:val="20"/>
          <w:szCs w:val="20"/>
        </w:rPr>
        <w:t>OR: Odds Ratio; RR: Risk</w:t>
      </w:r>
      <w:r w:rsidR="00196B09">
        <w:rPr>
          <w:rFonts w:ascii="Times New Roman" w:hAnsi="Times New Roman" w:cs="Times New Roman"/>
          <w:sz w:val="20"/>
          <w:szCs w:val="20"/>
        </w:rPr>
        <w:t xml:space="preserve"> Ratio</w:t>
      </w:r>
      <w:r w:rsidRPr="00C81756">
        <w:rPr>
          <w:rFonts w:ascii="Times New Roman" w:hAnsi="Times New Roman" w:cs="Times New Roman"/>
          <w:sz w:val="20"/>
          <w:szCs w:val="20"/>
        </w:rPr>
        <w:t xml:space="preserve">; CI: Confidence Interval; LR: Logistic Regression; PR: Poisson Regression; ZIRP: Zero-inflated Robust </w:t>
      </w:r>
      <w:proofErr w:type="gramStart"/>
      <w:r w:rsidRPr="00C81756">
        <w:rPr>
          <w:rFonts w:ascii="Times New Roman" w:hAnsi="Times New Roman" w:cs="Times New Roman"/>
          <w:sz w:val="20"/>
          <w:szCs w:val="20"/>
        </w:rPr>
        <w:t>Poisson;  ZINB</w:t>
      </w:r>
      <w:proofErr w:type="gramEnd"/>
      <w:r w:rsidRPr="00C81756">
        <w:rPr>
          <w:rFonts w:ascii="Times New Roman" w:hAnsi="Times New Roman" w:cs="Times New Roman"/>
          <w:sz w:val="20"/>
          <w:szCs w:val="20"/>
        </w:rPr>
        <w:t>: Zero-inflated Negative Binomial.</w:t>
      </w:r>
    </w:p>
    <w:p w14:paraId="309A3057" w14:textId="263D4BCE" w:rsidR="00E17508" w:rsidRDefault="00E17508" w:rsidP="003F1B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891DB48" w14:textId="2E960A89" w:rsidR="00E17508" w:rsidRDefault="00E17508" w:rsidP="003F1B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6EF3083" w14:textId="5124FD7C" w:rsidR="00C60A0E" w:rsidRPr="00BD6E01" w:rsidRDefault="00C60A0E" w:rsidP="003F1B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31D6D78" w14:textId="6AFD4BE3" w:rsidR="00C60A0E" w:rsidRPr="00BD6E01" w:rsidRDefault="00C60A0E" w:rsidP="003F1B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255459E" w14:textId="77777777" w:rsidR="00C60A0E" w:rsidRPr="00BD6E01" w:rsidRDefault="00C60A0E" w:rsidP="003F1B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C60A0E" w:rsidRPr="00BD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CB0F" w14:textId="77777777" w:rsidR="00196B09" w:rsidRDefault="00196B09" w:rsidP="00781F54">
      <w:pPr>
        <w:spacing w:after="0" w:line="240" w:lineRule="auto"/>
      </w:pPr>
      <w:r>
        <w:separator/>
      </w:r>
    </w:p>
  </w:endnote>
  <w:endnote w:type="continuationSeparator" w:id="0">
    <w:p w14:paraId="37345532" w14:textId="77777777" w:rsidR="00196B09" w:rsidRDefault="00196B09" w:rsidP="0078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55FD" w14:textId="77777777" w:rsidR="00196B09" w:rsidRDefault="00196B09" w:rsidP="00781F54">
      <w:pPr>
        <w:spacing w:after="0" w:line="240" w:lineRule="auto"/>
      </w:pPr>
      <w:r>
        <w:separator/>
      </w:r>
    </w:p>
  </w:footnote>
  <w:footnote w:type="continuationSeparator" w:id="0">
    <w:p w14:paraId="7F4FA26D" w14:textId="77777777" w:rsidR="00196B09" w:rsidRDefault="00196B09" w:rsidP="00781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2MDQzsbA0MDcyMDNR0lEKTi0uzszPAykwNK4FACAPL0EtAAAA"/>
  </w:docVars>
  <w:rsids>
    <w:rsidRoot w:val="00E017E8"/>
    <w:rsid w:val="000105FB"/>
    <w:rsid w:val="00031F0E"/>
    <w:rsid w:val="000500FB"/>
    <w:rsid w:val="00074FD5"/>
    <w:rsid w:val="0007579A"/>
    <w:rsid w:val="000800CF"/>
    <w:rsid w:val="000A0C3E"/>
    <w:rsid w:val="000D09B1"/>
    <w:rsid w:val="00102715"/>
    <w:rsid w:val="0012717B"/>
    <w:rsid w:val="00131291"/>
    <w:rsid w:val="00155A6F"/>
    <w:rsid w:val="00170F5E"/>
    <w:rsid w:val="00180A2A"/>
    <w:rsid w:val="00181939"/>
    <w:rsid w:val="001946FD"/>
    <w:rsid w:val="00196B09"/>
    <w:rsid w:val="001A0F7F"/>
    <w:rsid w:val="001A434B"/>
    <w:rsid w:val="001A596F"/>
    <w:rsid w:val="001B43FE"/>
    <w:rsid w:val="001D1F54"/>
    <w:rsid w:val="001D470F"/>
    <w:rsid w:val="001E5ED5"/>
    <w:rsid w:val="001F27CE"/>
    <w:rsid w:val="001F3319"/>
    <w:rsid w:val="0021330D"/>
    <w:rsid w:val="00226908"/>
    <w:rsid w:val="002674EE"/>
    <w:rsid w:val="00296BDB"/>
    <w:rsid w:val="002B1E01"/>
    <w:rsid w:val="002D20A8"/>
    <w:rsid w:val="002E75BD"/>
    <w:rsid w:val="002F5511"/>
    <w:rsid w:val="003043F1"/>
    <w:rsid w:val="00313E74"/>
    <w:rsid w:val="003162E4"/>
    <w:rsid w:val="00316B03"/>
    <w:rsid w:val="0033425C"/>
    <w:rsid w:val="00336949"/>
    <w:rsid w:val="0034619B"/>
    <w:rsid w:val="00353860"/>
    <w:rsid w:val="0037455D"/>
    <w:rsid w:val="0038090E"/>
    <w:rsid w:val="003849EB"/>
    <w:rsid w:val="00394313"/>
    <w:rsid w:val="0039698E"/>
    <w:rsid w:val="003A2CD6"/>
    <w:rsid w:val="003A6620"/>
    <w:rsid w:val="003B78E3"/>
    <w:rsid w:val="003F1BF2"/>
    <w:rsid w:val="003F310F"/>
    <w:rsid w:val="003F737A"/>
    <w:rsid w:val="00423236"/>
    <w:rsid w:val="00437289"/>
    <w:rsid w:val="00452C7C"/>
    <w:rsid w:val="00463EDA"/>
    <w:rsid w:val="004672C1"/>
    <w:rsid w:val="0048263C"/>
    <w:rsid w:val="00483F23"/>
    <w:rsid w:val="00493DB1"/>
    <w:rsid w:val="00494B02"/>
    <w:rsid w:val="004A1256"/>
    <w:rsid w:val="004B05E3"/>
    <w:rsid w:val="004B0C2C"/>
    <w:rsid w:val="004B6342"/>
    <w:rsid w:val="004C49C4"/>
    <w:rsid w:val="004D6ADD"/>
    <w:rsid w:val="004E1BB6"/>
    <w:rsid w:val="004F0337"/>
    <w:rsid w:val="004F15D2"/>
    <w:rsid w:val="00500A22"/>
    <w:rsid w:val="00502579"/>
    <w:rsid w:val="00505620"/>
    <w:rsid w:val="00507049"/>
    <w:rsid w:val="0051202B"/>
    <w:rsid w:val="005216D5"/>
    <w:rsid w:val="005254CC"/>
    <w:rsid w:val="00534BA4"/>
    <w:rsid w:val="00551991"/>
    <w:rsid w:val="00552F40"/>
    <w:rsid w:val="00555F2B"/>
    <w:rsid w:val="00562219"/>
    <w:rsid w:val="0056384E"/>
    <w:rsid w:val="00567F3B"/>
    <w:rsid w:val="005E20AE"/>
    <w:rsid w:val="005F69E5"/>
    <w:rsid w:val="006032DF"/>
    <w:rsid w:val="00607244"/>
    <w:rsid w:val="00611EB2"/>
    <w:rsid w:val="006139E1"/>
    <w:rsid w:val="0062443F"/>
    <w:rsid w:val="00631A04"/>
    <w:rsid w:val="00634531"/>
    <w:rsid w:val="00634ABC"/>
    <w:rsid w:val="00637411"/>
    <w:rsid w:val="00647D50"/>
    <w:rsid w:val="00654CC5"/>
    <w:rsid w:val="00663107"/>
    <w:rsid w:val="00663E58"/>
    <w:rsid w:val="00667273"/>
    <w:rsid w:val="00667B3A"/>
    <w:rsid w:val="006760DC"/>
    <w:rsid w:val="006924AC"/>
    <w:rsid w:val="006A3D10"/>
    <w:rsid w:val="006B0DCE"/>
    <w:rsid w:val="006B633B"/>
    <w:rsid w:val="006B7A85"/>
    <w:rsid w:val="006C75EA"/>
    <w:rsid w:val="006D374B"/>
    <w:rsid w:val="006E622A"/>
    <w:rsid w:val="006E6DD6"/>
    <w:rsid w:val="006E7AEA"/>
    <w:rsid w:val="006F4646"/>
    <w:rsid w:val="00725A0E"/>
    <w:rsid w:val="00725E8C"/>
    <w:rsid w:val="00732508"/>
    <w:rsid w:val="00756C10"/>
    <w:rsid w:val="00765CC6"/>
    <w:rsid w:val="00776BC4"/>
    <w:rsid w:val="0077724B"/>
    <w:rsid w:val="00781F54"/>
    <w:rsid w:val="007A0C19"/>
    <w:rsid w:val="007A4167"/>
    <w:rsid w:val="007B7BF2"/>
    <w:rsid w:val="007B7DEE"/>
    <w:rsid w:val="007D2C84"/>
    <w:rsid w:val="007E0500"/>
    <w:rsid w:val="007F0B66"/>
    <w:rsid w:val="007F535D"/>
    <w:rsid w:val="007F6443"/>
    <w:rsid w:val="00823387"/>
    <w:rsid w:val="00824B79"/>
    <w:rsid w:val="008321B0"/>
    <w:rsid w:val="00847873"/>
    <w:rsid w:val="00853C48"/>
    <w:rsid w:val="00857C45"/>
    <w:rsid w:val="008637B1"/>
    <w:rsid w:val="00880A97"/>
    <w:rsid w:val="00880FEC"/>
    <w:rsid w:val="00890B85"/>
    <w:rsid w:val="008A15DE"/>
    <w:rsid w:val="008D0CBF"/>
    <w:rsid w:val="008D1D28"/>
    <w:rsid w:val="008F5122"/>
    <w:rsid w:val="0090114C"/>
    <w:rsid w:val="0090202E"/>
    <w:rsid w:val="0093732D"/>
    <w:rsid w:val="00956BDA"/>
    <w:rsid w:val="00964807"/>
    <w:rsid w:val="009707BB"/>
    <w:rsid w:val="009B284F"/>
    <w:rsid w:val="009E7C83"/>
    <w:rsid w:val="009F6862"/>
    <w:rsid w:val="00A042B8"/>
    <w:rsid w:val="00A326AF"/>
    <w:rsid w:val="00A44593"/>
    <w:rsid w:val="00A545AE"/>
    <w:rsid w:val="00A6003E"/>
    <w:rsid w:val="00A77CE5"/>
    <w:rsid w:val="00A817FE"/>
    <w:rsid w:val="00A833B3"/>
    <w:rsid w:val="00AC5068"/>
    <w:rsid w:val="00AD0929"/>
    <w:rsid w:val="00AD495C"/>
    <w:rsid w:val="00AD5A89"/>
    <w:rsid w:val="00AE68BC"/>
    <w:rsid w:val="00AF3DDA"/>
    <w:rsid w:val="00B0070D"/>
    <w:rsid w:val="00B13432"/>
    <w:rsid w:val="00B25A47"/>
    <w:rsid w:val="00B429D9"/>
    <w:rsid w:val="00B63158"/>
    <w:rsid w:val="00B726CE"/>
    <w:rsid w:val="00B93C04"/>
    <w:rsid w:val="00B9542B"/>
    <w:rsid w:val="00BA28FF"/>
    <w:rsid w:val="00BB39C9"/>
    <w:rsid w:val="00BC2943"/>
    <w:rsid w:val="00BC3EB9"/>
    <w:rsid w:val="00BD6E01"/>
    <w:rsid w:val="00BE7EA3"/>
    <w:rsid w:val="00BF3B54"/>
    <w:rsid w:val="00BF6E16"/>
    <w:rsid w:val="00C106FB"/>
    <w:rsid w:val="00C1187B"/>
    <w:rsid w:val="00C2143F"/>
    <w:rsid w:val="00C40340"/>
    <w:rsid w:val="00C423AC"/>
    <w:rsid w:val="00C60A0E"/>
    <w:rsid w:val="00C81756"/>
    <w:rsid w:val="00C8189D"/>
    <w:rsid w:val="00C926CC"/>
    <w:rsid w:val="00CB3B4E"/>
    <w:rsid w:val="00CB7EFA"/>
    <w:rsid w:val="00CE63AB"/>
    <w:rsid w:val="00CF269E"/>
    <w:rsid w:val="00CF5F96"/>
    <w:rsid w:val="00D018B6"/>
    <w:rsid w:val="00D06465"/>
    <w:rsid w:val="00D33216"/>
    <w:rsid w:val="00D35205"/>
    <w:rsid w:val="00D379F8"/>
    <w:rsid w:val="00D51071"/>
    <w:rsid w:val="00D630B7"/>
    <w:rsid w:val="00D66B07"/>
    <w:rsid w:val="00D809D4"/>
    <w:rsid w:val="00D82641"/>
    <w:rsid w:val="00D876A1"/>
    <w:rsid w:val="00D92AA8"/>
    <w:rsid w:val="00DA60D8"/>
    <w:rsid w:val="00DB002A"/>
    <w:rsid w:val="00DB745C"/>
    <w:rsid w:val="00DC0D10"/>
    <w:rsid w:val="00DD7BCF"/>
    <w:rsid w:val="00DE28F7"/>
    <w:rsid w:val="00DE3B48"/>
    <w:rsid w:val="00DF140F"/>
    <w:rsid w:val="00E017E8"/>
    <w:rsid w:val="00E01A85"/>
    <w:rsid w:val="00E13292"/>
    <w:rsid w:val="00E14D6F"/>
    <w:rsid w:val="00E17508"/>
    <w:rsid w:val="00E21522"/>
    <w:rsid w:val="00E34BF2"/>
    <w:rsid w:val="00E34E20"/>
    <w:rsid w:val="00E64475"/>
    <w:rsid w:val="00E72DB9"/>
    <w:rsid w:val="00E73D57"/>
    <w:rsid w:val="00EA25BC"/>
    <w:rsid w:val="00EB35E2"/>
    <w:rsid w:val="00ED668D"/>
    <w:rsid w:val="00ED6941"/>
    <w:rsid w:val="00EE4566"/>
    <w:rsid w:val="00EE7195"/>
    <w:rsid w:val="00F14A68"/>
    <w:rsid w:val="00F50221"/>
    <w:rsid w:val="00F54370"/>
    <w:rsid w:val="00F73B83"/>
    <w:rsid w:val="00F77619"/>
    <w:rsid w:val="00F8286F"/>
    <w:rsid w:val="00FC0262"/>
    <w:rsid w:val="00FE65BC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7E85D"/>
  <w15:chartTrackingRefBased/>
  <w15:docId w15:val="{3BFE5D24-D722-42BB-A215-9D93100C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90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54"/>
  </w:style>
  <w:style w:type="paragraph" w:styleId="Footer">
    <w:name w:val="footer"/>
    <w:basedOn w:val="Normal"/>
    <w:link w:val="FooterChar"/>
    <w:uiPriority w:val="99"/>
    <w:unhideWhenUsed/>
    <w:rsid w:val="00781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54"/>
  </w:style>
  <w:style w:type="character" w:customStyle="1" w:styleId="Heading1Char">
    <w:name w:val="Heading 1 Char"/>
    <w:basedOn w:val="DefaultParagraphFont"/>
    <w:link w:val="Heading1"/>
    <w:uiPriority w:val="9"/>
    <w:rsid w:val="006E7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A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lpresefs01\aldwived$\Aldwived%20(elpacfs01BECLUsers)\Vishwajeet%20singh\PEER%20J\revised\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Dataset1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Sheet3!$U$6:$U$20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22</c:v>
                </c:pt>
              </c:numCache>
            </c:numRef>
          </c:cat>
          <c:val>
            <c:numRef>
              <c:f>Sheet3!$V$6:$V$20</c:f>
              <c:numCache>
                <c:formatCode>General</c:formatCode>
                <c:ptCount val="15"/>
                <c:pt idx="0">
                  <c:v>57.88</c:v>
                </c:pt>
                <c:pt idx="1">
                  <c:v>21.88</c:v>
                </c:pt>
                <c:pt idx="2">
                  <c:v>9.18</c:v>
                </c:pt>
                <c:pt idx="3">
                  <c:v>4.9400000000000004</c:v>
                </c:pt>
                <c:pt idx="4">
                  <c:v>3.06</c:v>
                </c:pt>
                <c:pt idx="5">
                  <c:v>1.41</c:v>
                </c:pt>
                <c:pt idx="6">
                  <c:v>0.24</c:v>
                </c:pt>
                <c:pt idx="7">
                  <c:v>0.24</c:v>
                </c:pt>
                <c:pt idx="8">
                  <c:v>0.24</c:v>
                </c:pt>
                <c:pt idx="9">
                  <c:v>0.24</c:v>
                </c:pt>
                <c:pt idx="10">
                  <c:v>0.47</c:v>
                </c:pt>
                <c:pt idx="1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D-4B2E-9E1B-746DE88A9109}"/>
            </c:ext>
          </c:extLst>
        </c:ser>
        <c:ser>
          <c:idx val="1"/>
          <c:order val="1"/>
          <c:tx>
            <c:v>Dataset2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Sheet3!$U$6:$U$20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22</c:v>
                </c:pt>
              </c:numCache>
            </c:numRef>
          </c:cat>
          <c:val>
            <c:numRef>
              <c:f>Sheet3!$W$6:$W$20</c:f>
              <c:numCache>
                <c:formatCode>General</c:formatCode>
                <c:ptCount val="15"/>
                <c:pt idx="0">
                  <c:v>47.59</c:v>
                </c:pt>
                <c:pt idx="1">
                  <c:v>22.83</c:v>
                </c:pt>
                <c:pt idx="2">
                  <c:v>13.18</c:v>
                </c:pt>
                <c:pt idx="3">
                  <c:v>7.72</c:v>
                </c:pt>
                <c:pt idx="4">
                  <c:v>4.18</c:v>
                </c:pt>
                <c:pt idx="5">
                  <c:v>2.25</c:v>
                </c:pt>
                <c:pt idx="6">
                  <c:v>0.32</c:v>
                </c:pt>
                <c:pt idx="7">
                  <c:v>0.32</c:v>
                </c:pt>
                <c:pt idx="8">
                  <c:v>0.32</c:v>
                </c:pt>
                <c:pt idx="9">
                  <c:v>0.64</c:v>
                </c:pt>
                <c:pt idx="10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CD-4B2E-9E1B-746DE88A9109}"/>
            </c:ext>
          </c:extLst>
        </c:ser>
        <c:ser>
          <c:idx val="2"/>
          <c:order val="2"/>
          <c:tx>
            <c:v>Dataset3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Sheet3!$U$6:$U$20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22</c:v>
                </c:pt>
              </c:numCache>
            </c:numRef>
          </c:cat>
          <c:val>
            <c:numRef>
              <c:f>Sheet3!$X$6:$X$20</c:f>
              <c:numCache>
                <c:formatCode>General</c:formatCode>
                <c:ptCount val="15"/>
                <c:pt idx="0">
                  <c:v>57.5</c:v>
                </c:pt>
                <c:pt idx="1">
                  <c:v>22.9</c:v>
                </c:pt>
                <c:pt idx="2">
                  <c:v>10.01</c:v>
                </c:pt>
                <c:pt idx="3">
                  <c:v>4.75</c:v>
                </c:pt>
                <c:pt idx="4">
                  <c:v>2.12</c:v>
                </c:pt>
                <c:pt idx="5">
                  <c:v>1.5</c:v>
                </c:pt>
                <c:pt idx="6">
                  <c:v>0.42</c:v>
                </c:pt>
                <c:pt idx="7">
                  <c:v>0.19</c:v>
                </c:pt>
                <c:pt idx="8">
                  <c:v>0.05</c:v>
                </c:pt>
                <c:pt idx="9">
                  <c:v>0.09</c:v>
                </c:pt>
                <c:pt idx="10">
                  <c:v>0.24</c:v>
                </c:pt>
                <c:pt idx="11">
                  <c:v>0.09</c:v>
                </c:pt>
                <c:pt idx="12">
                  <c:v>0.05</c:v>
                </c:pt>
                <c:pt idx="13">
                  <c:v>0.05</c:v>
                </c:pt>
                <c:pt idx="1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CD-4B2E-9E1B-746DE88A9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374096"/>
        <c:axId val="984375728"/>
      </c:barChart>
      <c:catAx>
        <c:axId val="9843740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</a:rPr>
                  <a:t>Number of polyps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375728"/>
        <c:crosses val="autoZero"/>
        <c:auto val="1"/>
        <c:lblAlgn val="ctr"/>
        <c:lblOffset val="100"/>
        <c:noMultiLvlLbl val="0"/>
      </c:catAx>
      <c:valAx>
        <c:axId val="9843757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</a:rPr>
                  <a:t>Percentage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37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742883101150817"/>
          <c:y val="0.14492409352353161"/>
          <c:w val="0.17928511339928663"/>
          <c:h val="0.283129649949958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7613</Characters>
  <Application>Microsoft Office Word</Application>
  <DocSecurity>0</DocSecurity>
  <Lines>634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TTUHSC.EDU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Vishwajeet</dc:creator>
  <cp:keywords/>
  <dc:description/>
  <cp:lastModifiedBy>Dwivedi, Alok</cp:lastModifiedBy>
  <cp:revision>3</cp:revision>
  <cp:lastPrinted>2024-05-30T20:07:00Z</cp:lastPrinted>
  <dcterms:created xsi:type="dcterms:W3CDTF">2025-04-11T21:13:00Z</dcterms:created>
  <dcterms:modified xsi:type="dcterms:W3CDTF">2025-04-11T21:16:00Z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89c7dba7dedccb13eba00c474d68badc53893f386b3b0b3fdfb69ce9e3e54c85</vt:lpwstr>
  </property>
</Properties>
</file>