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A145E" w14:textId="113D2D91" w:rsidR="00BD716C" w:rsidRPr="001076B1" w:rsidRDefault="001306D7" w:rsidP="001076B1">
      <w:pPr>
        <w:spacing w:line="276" w:lineRule="auto"/>
        <w:rPr>
          <w:rFonts w:ascii="Times" w:hAnsi="Times" w:cs="Times"/>
          <w:b/>
          <w:bCs/>
          <w:sz w:val="20"/>
          <w:szCs w:val="20"/>
        </w:rPr>
      </w:pPr>
      <w:r w:rsidRPr="001076B1">
        <w:rPr>
          <w:rFonts w:ascii="Times" w:hAnsi="Times" w:cs="Times"/>
          <w:b/>
          <w:bCs/>
          <w:sz w:val="20"/>
          <w:szCs w:val="20"/>
        </w:rPr>
        <w:t xml:space="preserve">Supplemental </w:t>
      </w:r>
      <w:r w:rsidR="008E6ED8" w:rsidRPr="001076B1">
        <w:rPr>
          <w:rFonts w:ascii="Times" w:hAnsi="Times" w:cs="Times"/>
          <w:b/>
          <w:bCs/>
          <w:sz w:val="20"/>
          <w:szCs w:val="20"/>
        </w:rPr>
        <w:t>T</w:t>
      </w:r>
      <w:r w:rsidR="00850C8C" w:rsidRPr="001076B1">
        <w:rPr>
          <w:rFonts w:ascii="Times" w:hAnsi="Times" w:cs="Times"/>
          <w:b/>
          <w:bCs/>
          <w:sz w:val="20"/>
          <w:szCs w:val="20"/>
        </w:rPr>
        <w:t xml:space="preserve">able </w:t>
      </w:r>
      <w:r w:rsidR="00AA1A6D" w:rsidRPr="001076B1">
        <w:rPr>
          <w:rFonts w:ascii="Times" w:hAnsi="Times" w:cs="Times"/>
          <w:b/>
          <w:bCs/>
          <w:sz w:val="20"/>
          <w:szCs w:val="20"/>
        </w:rPr>
        <w:t>S</w:t>
      </w:r>
      <w:r w:rsidR="001076B1" w:rsidRPr="001076B1">
        <w:rPr>
          <w:rFonts w:ascii="Times" w:hAnsi="Times" w:cs="Times"/>
          <w:b/>
          <w:bCs/>
          <w:sz w:val="20"/>
          <w:szCs w:val="20"/>
        </w:rPr>
        <w:t>9 Associations between meteorological factor score (per 10 points increase) with pregnancy complications in different trimesters among participants.</w:t>
      </w:r>
    </w:p>
    <w:tbl>
      <w:tblPr>
        <w:tblStyle w:val="a3"/>
        <w:tblW w:w="4910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1"/>
        <w:gridCol w:w="2582"/>
        <w:gridCol w:w="967"/>
        <w:gridCol w:w="2583"/>
        <w:gridCol w:w="967"/>
        <w:gridCol w:w="2583"/>
        <w:gridCol w:w="967"/>
      </w:tblGrid>
      <w:tr w:rsidR="001076B1" w:rsidRPr="001076B1" w14:paraId="5EA68952" w14:textId="77777777" w:rsidTr="001076B1">
        <w:tc>
          <w:tcPr>
            <w:tcW w:w="2551" w:type="dxa"/>
            <w:tcBorders>
              <w:top w:val="single" w:sz="12" w:space="0" w:color="auto"/>
            </w:tcBorders>
          </w:tcPr>
          <w:p w14:paraId="4F31CF8A" w14:textId="77777777" w:rsidR="001076B1" w:rsidRPr="001076B1" w:rsidRDefault="001076B1" w:rsidP="001076B1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44F3D233" w14:textId="77777777" w:rsidR="001076B1" w:rsidRPr="001076B1" w:rsidRDefault="001076B1" w:rsidP="001076B1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76B1">
              <w:rPr>
                <w:rFonts w:ascii="Times" w:hAnsi="Times" w:cs="Times"/>
                <w:sz w:val="20"/>
                <w:szCs w:val="20"/>
              </w:rPr>
              <w:t>The first trimester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58D3CC09" w14:textId="77777777" w:rsidR="001076B1" w:rsidRPr="001076B1" w:rsidRDefault="001076B1" w:rsidP="001076B1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76B1">
              <w:rPr>
                <w:rFonts w:ascii="Times" w:hAnsi="Times" w:cs="Times"/>
                <w:sz w:val="20"/>
                <w:szCs w:val="20"/>
              </w:rPr>
              <w:t>The second trimester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bottom w:val="single" w:sz="8" w:space="0" w:color="auto"/>
            </w:tcBorders>
          </w:tcPr>
          <w:p w14:paraId="5047697C" w14:textId="77777777" w:rsidR="001076B1" w:rsidRPr="001076B1" w:rsidRDefault="001076B1" w:rsidP="001076B1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76B1">
              <w:rPr>
                <w:rFonts w:ascii="Times" w:hAnsi="Times" w:cs="Times"/>
                <w:sz w:val="20"/>
                <w:szCs w:val="20"/>
              </w:rPr>
              <w:t>The first two trimesters</w:t>
            </w:r>
          </w:p>
        </w:tc>
      </w:tr>
      <w:tr w:rsidR="001076B1" w:rsidRPr="001076B1" w14:paraId="6B9C2695" w14:textId="77777777" w:rsidTr="001076B1">
        <w:tc>
          <w:tcPr>
            <w:tcW w:w="2551" w:type="dxa"/>
            <w:tcBorders>
              <w:bottom w:val="single" w:sz="8" w:space="0" w:color="auto"/>
            </w:tcBorders>
          </w:tcPr>
          <w:p w14:paraId="35EEEF5F" w14:textId="77777777" w:rsidR="001076B1" w:rsidRPr="001076B1" w:rsidRDefault="001076B1" w:rsidP="001076B1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auto"/>
              <w:bottom w:val="single" w:sz="8" w:space="0" w:color="auto"/>
            </w:tcBorders>
          </w:tcPr>
          <w:p w14:paraId="2A61EE86" w14:textId="77777777" w:rsidR="001076B1" w:rsidRPr="001076B1" w:rsidRDefault="001076B1" w:rsidP="001076B1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76B1">
              <w:rPr>
                <w:rFonts w:ascii="Times" w:hAnsi="Times" w:cs="Times"/>
                <w:sz w:val="20"/>
                <w:szCs w:val="20"/>
              </w:rPr>
              <w:t xml:space="preserve">OR (95% </w:t>
            </w:r>
            <w:r w:rsidRPr="001076B1">
              <w:rPr>
                <w:rFonts w:ascii="Times" w:hAnsi="Times" w:cs="Times"/>
                <w:i/>
                <w:iCs/>
                <w:sz w:val="20"/>
                <w:szCs w:val="20"/>
              </w:rPr>
              <w:t>CI</w:t>
            </w:r>
            <w:r w:rsidRPr="001076B1">
              <w:rPr>
                <w:rFonts w:ascii="Times" w:hAnsi="Times" w:cs="Times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0A084A73" w14:textId="77777777" w:rsidR="001076B1" w:rsidRPr="001076B1" w:rsidRDefault="001076B1" w:rsidP="001076B1">
            <w:pPr>
              <w:widowControl/>
              <w:spacing w:line="276" w:lineRule="auto"/>
              <w:jc w:val="center"/>
              <w:rPr>
                <w:rFonts w:ascii="Times" w:hAnsi="Times" w:cs="Times"/>
                <w:i/>
                <w:iCs/>
                <w:sz w:val="20"/>
                <w:szCs w:val="20"/>
              </w:rPr>
            </w:pPr>
            <w:r w:rsidRPr="001076B1">
              <w:rPr>
                <w:rFonts w:ascii="Times" w:hAnsi="Times" w:cs="Times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3119" w:type="dxa"/>
            <w:tcBorders>
              <w:top w:val="single" w:sz="8" w:space="0" w:color="auto"/>
              <w:bottom w:val="single" w:sz="8" w:space="0" w:color="auto"/>
            </w:tcBorders>
          </w:tcPr>
          <w:p w14:paraId="7B1CC0FE" w14:textId="77777777" w:rsidR="001076B1" w:rsidRPr="001076B1" w:rsidRDefault="001076B1" w:rsidP="001076B1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76B1">
              <w:rPr>
                <w:rFonts w:ascii="Times" w:hAnsi="Times" w:cs="Times"/>
                <w:sz w:val="20"/>
                <w:szCs w:val="20"/>
              </w:rPr>
              <w:t xml:space="preserve">OR (95% </w:t>
            </w:r>
            <w:r w:rsidRPr="001076B1">
              <w:rPr>
                <w:rFonts w:ascii="Times" w:hAnsi="Times" w:cs="Times"/>
                <w:i/>
                <w:iCs/>
                <w:sz w:val="20"/>
                <w:szCs w:val="20"/>
              </w:rPr>
              <w:t>CI</w:t>
            </w:r>
            <w:r w:rsidRPr="001076B1">
              <w:rPr>
                <w:rFonts w:ascii="Times" w:hAnsi="Times" w:cs="Times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1924B85A" w14:textId="77777777" w:rsidR="001076B1" w:rsidRPr="001076B1" w:rsidRDefault="001076B1" w:rsidP="001076B1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76B1">
              <w:rPr>
                <w:rFonts w:ascii="Times" w:hAnsi="Times" w:cs="Times"/>
                <w:i/>
                <w:iCs/>
                <w:sz w:val="20"/>
                <w:szCs w:val="20"/>
              </w:rPr>
              <w:t>p-value</w:t>
            </w:r>
          </w:p>
        </w:tc>
        <w:tc>
          <w:tcPr>
            <w:tcW w:w="3119" w:type="dxa"/>
            <w:tcBorders>
              <w:top w:val="single" w:sz="8" w:space="0" w:color="auto"/>
              <w:bottom w:val="single" w:sz="8" w:space="0" w:color="auto"/>
            </w:tcBorders>
          </w:tcPr>
          <w:p w14:paraId="30C113B6" w14:textId="77777777" w:rsidR="001076B1" w:rsidRPr="001076B1" w:rsidRDefault="001076B1" w:rsidP="001076B1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76B1">
              <w:rPr>
                <w:rFonts w:ascii="Times" w:hAnsi="Times" w:cs="Times"/>
                <w:sz w:val="20"/>
                <w:szCs w:val="20"/>
              </w:rPr>
              <w:t xml:space="preserve">OR (95% </w:t>
            </w:r>
            <w:r w:rsidRPr="001076B1">
              <w:rPr>
                <w:rFonts w:ascii="Times" w:hAnsi="Times" w:cs="Times"/>
                <w:i/>
                <w:iCs/>
                <w:sz w:val="20"/>
                <w:szCs w:val="20"/>
              </w:rPr>
              <w:t>CI</w:t>
            </w:r>
            <w:r w:rsidRPr="001076B1">
              <w:rPr>
                <w:rFonts w:ascii="Times" w:hAnsi="Times" w:cs="Times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</w:tcPr>
          <w:p w14:paraId="7A1DFDBD" w14:textId="77777777" w:rsidR="001076B1" w:rsidRPr="001076B1" w:rsidRDefault="001076B1" w:rsidP="001076B1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76B1">
              <w:rPr>
                <w:rFonts w:ascii="Times" w:hAnsi="Times" w:cs="Times"/>
                <w:i/>
                <w:iCs/>
                <w:sz w:val="20"/>
                <w:szCs w:val="20"/>
              </w:rPr>
              <w:t>p-value</w:t>
            </w:r>
          </w:p>
        </w:tc>
      </w:tr>
      <w:tr w:rsidR="001076B1" w:rsidRPr="001076B1" w14:paraId="4305B11C" w14:textId="77777777" w:rsidTr="001076B1">
        <w:tc>
          <w:tcPr>
            <w:tcW w:w="2551" w:type="dxa"/>
            <w:tcBorders>
              <w:top w:val="single" w:sz="8" w:space="0" w:color="auto"/>
            </w:tcBorders>
          </w:tcPr>
          <w:p w14:paraId="608103C2" w14:textId="77777777" w:rsidR="001076B1" w:rsidRPr="001076B1" w:rsidRDefault="001076B1" w:rsidP="001076B1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1076B1">
              <w:rPr>
                <w:rFonts w:ascii="Times" w:hAnsi="Times" w:cs="Times"/>
                <w:sz w:val="20"/>
                <w:szCs w:val="20"/>
              </w:rPr>
              <w:t>GDM</w:t>
            </w:r>
          </w:p>
        </w:tc>
        <w:tc>
          <w:tcPr>
            <w:tcW w:w="3118" w:type="dxa"/>
            <w:tcBorders>
              <w:top w:val="single" w:sz="8" w:space="0" w:color="auto"/>
            </w:tcBorders>
          </w:tcPr>
          <w:p w14:paraId="507A1D64" w14:textId="77777777" w:rsidR="001076B1" w:rsidRPr="001076B1" w:rsidRDefault="001076B1" w:rsidP="001076B1">
            <w:pPr>
              <w:widowControl/>
              <w:spacing w:line="276" w:lineRule="auto"/>
              <w:jc w:val="center"/>
              <w:rPr>
                <w:rFonts w:ascii="Times" w:hAnsi="Times" w:cs="Times"/>
                <w:color w:val="FF0000"/>
                <w:sz w:val="20"/>
                <w:szCs w:val="20"/>
              </w:rPr>
            </w:pPr>
            <w:r w:rsidRPr="001076B1">
              <w:rPr>
                <w:rFonts w:ascii="Times" w:hAnsi="Times" w:cs="Times"/>
                <w:sz w:val="20"/>
                <w:szCs w:val="20"/>
              </w:rPr>
              <w:t>1.232 (1.122, 1.353)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77C65F17" w14:textId="77777777" w:rsidR="001076B1" w:rsidRPr="001076B1" w:rsidRDefault="001076B1" w:rsidP="001076B1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76B1">
              <w:rPr>
                <w:rFonts w:ascii="Times" w:hAnsi="Times" w:cs="Times"/>
                <w:sz w:val="20"/>
                <w:szCs w:val="20"/>
              </w:rPr>
              <w:t>&lt;0.001</w:t>
            </w:r>
          </w:p>
        </w:tc>
        <w:tc>
          <w:tcPr>
            <w:tcW w:w="3119" w:type="dxa"/>
            <w:tcBorders>
              <w:top w:val="single" w:sz="8" w:space="0" w:color="auto"/>
            </w:tcBorders>
          </w:tcPr>
          <w:p w14:paraId="103AE66D" w14:textId="77777777" w:rsidR="001076B1" w:rsidRPr="001076B1" w:rsidRDefault="001076B1" w:rsidP="001076B1">
            <w:pPr>
              <w:widowControl/>
              <w:spacing w:line="276" w:lineRule="auto"/>
              <w:jc w:val="center"/>
              <w:rPr>
                <w:rFonts w:ascii="Times" w:hAnsi="Times" w:cs="Times"/>
                <w:color w:val="FF0000"/>
                <w:sz w:val="20"/>
                <w:szCs w:val="20"/>
              </w:rPr>
            </w:pPr>
            <w:r w:rsidRPr="001076B1">
              <w:rPr>
                <w:rFonts w:ascii="Times" w:hAnsi="Times" w:cs="Times"/>
                <w:sz w:val="20"/>
                <w:szCs w:val="20"/>
              </w:rPr>
              <w:t>1.223 (1.069, 1.400)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3EA69AD2" w14:textId="77777777" w:rsidR="001076B1" w:rsidRPr="001076B1" w:rsidRDefault="001076B1" w:rsidP="001076B1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76B1">
              <w:rPr>
                <w:rFonts w:ascii="Times" w:hAnsi="Times" w:cs="Times"/>
                <w:sz w:val="20"/>
                <w:szCs w:val="20"/>
              </w:rPr>
              <w:t>0.003</w:t>
            </w:r>
          </w:p>
        </w:tc>
        <w:tc>
          <w:tcPr>
            <w:tcW w:w="3119" w:type="dxa"/>
            <w:tcBorders>
              <w:top w:val="single" w:sz="8" w:space="0" w:color="auto"/>
            </w:tcBorders>
          </w:tcPr>
          <w:p w14:paraId="188E3F1C" w14:textId="77777777" w:rsidR="001076B1" w:rsidRPr="001076B1" w:rsidRDefault="001076B1" w:rsidP="001076B1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76B1">
              <w:rPr>
                <w:rFonts w:ascii="Times" w:hAnsi="Times" w:cs="Times"/>
                <w:sz w:val="20"/>
                <w:szCs w:val="20"/>
              </w:rPr>
              <w:t>1.284 (1.151, 1.433)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14:paraId="2417E054" w14:textId="77777777" w:rsidR="001076B1" w:rsidRPr="001076B1" w:rsidRDefault="001076B1" w:rsidP="001076B1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76B1">
              <w:rPr>
                <w:rFonts w:ascii="Times" w:hAnsi="Times" w:cs="Times"/>
                <w:sz w:val="20"/>
                <w:szCs w:val="20"/>
              </w:rPr>
              <w:t>&lt;0.001</w:t>
            </w:r>
          </w:p>
        </w:tc>
      </w:tr>
      <w:tr w:rsidR="001076B1" w:rsidRPr="001076B1" w14:paraId="41D043F6" w14:textId="77777777" w:rsidTr="001076B1">
        <w:tc>
          <w:tcPr>
            <w:tcW w:w="2551" w:type="dxa"/>
          </w:tcPr>
          <w:p w14:paraId="4C685AA9" w14:textId="77777777" w:rsidR="001076B1" w:rsidRPr="001076B1" w:rsidRDefault="001076B1" w:rsidP="001076B1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1076B1">
              <w:rPr>
                <w:rFonts w:ascii="Times" w:hAnsi="Times" w:cs="Times"/>
                <w:sz w:val="20"/>
                <w:szCs w:val="20"/>
              </w:rPr>
              <w:t>GH</w:t>
            </w:r>
          </w:p>
        </w:tc>
        <w:tc>
          <w:tcPr>
            <w:tcW w:w="3118" w:type="dxa"/>
          </w:tcPr>
          <w:p w14:paraId="5A6AD6EA" w14:textId="77777777" w:rsidR="001076B1" w:rsidRPr="001076B1" w:rsidRDefault="001076B1" w:rsidP="001076B1">
            <w:pPr>
              <w:widowControl/>
              <w:spacing w:line="276" w:lineRule="auto"/>
              <w:jc w:val="center"/>
              <w:rPr>
                <w:rFonts w:ascii="Times" w:hAnsi="Times" w:cs="Times"/>
                <w:color w:val="FF0000"/>
                <w:sz w:val="20"/>
                <w:szCs w:val="20"/>
              </w:rPr>
            </w:pPr>
            <w:r w:rsidRPr="001076B1">
              <w:rPr>
                <w:rFonts w:ascii="Times" w:hAnsi="Times" w:cs="Times"/>
                <w:sz w:val="20"/>
                <w:szCs w:val="20"/>
              </w:rPr>
              <w:t>1.770 (1.385, 2.262)</w:t>
            </w:r>
          </w:p>
        </w:tc>
        <w:tc>
          <w:tcPr>
            <w:tcW w:w="1134" w:type="dxa"/>
          </w:tcPr>
          <w:p w14:paraId="4FC3C0D3" w14:textId="77777777" w:rsidR="001076B1" w:rsidRPr="001076B1" w:rsidRDefault="001076B1" w:rsidP="001076B1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76B1">
              <w:rPr>
                <w:rFonts w:ascii="Times" w:hAnsi="Times" w:cs="Times"/>
                <w:sz w:val="20"/>
                <w:szCs w:val="20"/>
              </w:rPr>
              <w:t>&lt;0.001</w:t>
            </w:r>
          </w:p>
        </w:tc>
        <w:tc>
          <w:tcPr>
            <w:tcW w:w="3119" w:type="dxa"/>
          </w:tcPr>
          <w:p w14:paraId="23C9351F" w14:textId="77777777" w:rsidR="001076B1" w:rsidRPr="001076B1" w:rsidRDefault="001076B1" w:rsidP="001076B1">
            <w:pPr>
              <w:widowControl/>
              <w:spacing w:line="276" w:lineRule="auto"/>
              <w:jc w:val="center"/>
              <w:rPr>
                <w:rFonts w:ascii="Times" w:hAnsi="Times" w:cs="Times"/>
                <w:color w:val="FF0000"/>
                <w:sz w:val="20"/>
                <w:szCs w:val="20"/>
              </w:rPr>
            </w:pPr>
            <w:r w:rsidRPr="001076B1">
              <w:rPr>
                <w:rFonts w:ascii="Times" w:hAnsi="Times" w:cs="Times"/>
                <w:sz w:val="20"/>
                <w:szCs w:val="20"/>
              </w:rPr>
              <w:t>1.469 (1.230, 1.754)</w:t>
            </w:r>
          </w:p>
        </w:tc>
        <w:tc>
          <w:tcPr>
            <w:tcW w:w="1134" w:type="dxa"/>
          </w:tcPr>
          <w:p w14:paraId="7907B143" w14:textId="77777777" w:rsidR="001076B1" w:rsidRPr="001076B1" w:rsidRDefault="001076B1" w:rsidP="001076B1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76B1">
              <w:rPr>
                <w:rFonts w:ascii="Times" w:hAnsi="Times" w:cs="Times"/>
                <w:sz w:val="20"/>
                <w:szCs w:val="20"/>
              </w:rPr>
              <w:t>&lt;0.001</w:t>
            </w:r>
          </w:p>
        </w:tc>
        <w:tc>
          <w:tcPr>
            <w:tcW w:w="3119" w:type="dxa"/>
          </w:tcPr>
          <w:p w14:paraId="372850B9" w14:textId="77777777" w:rsidR="001076B1" w:rsidRPr="001076B1" w:rsidRDefault="001076B1" w:rsidP="001076B1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76B1">
              <w:rPr>
                <w:rFonts w:ascii="Times" w:hAnsi="Times" w:cs="Times"/>
                <w:sz w:val="20"/>
                <w:szCs w:val="20"/>
              </w:rPr>
              <w:t>1.880 (1.515, 2.334)</w:t>
            </w:r>
          </w:p>
        </w:tc>
        <w:tc>
          <w:tcPr>
            <w:tcW w:w="1134" w:type="dxa"/>
          </w:tcPr>
          <w:p w14:paraId="20ADACF0" w14:textId="77777777" w:rsidR="001076B1" w:rsidRPr="001076B1" w:rsidRDefault="001076B1" w:rsidP="001076B1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76B1">
              <w:rPr>
                <w:rFonts w:ascii="Times" w:hAnsi="Times" w:cs="Times"/>
                <w:sz w:val="20"/>
                <w:szCs w:val="20"/>
              </w:rPr>
              <w:t>&lt;0.001</w:t>
            </w:r>
          </w:p>
        </w:tc>
      </w:tr>
      <w:tr w:rsidR="001076B1" w:rsidRPr="001076B1" w14:paraId="2F8F804A" w14:textId="77777777" w:rsidTr="001076B1">
        <w:tc>
          <w:tcPr>
            <w:tcW w:w="2551" w:type="dxa"/>
          </w:tcPr>
          <w:p w14:paraId="6DCC06DC" w14:textId="77777777" w:rsidR="001076B1" w:rsidRPr="001076B1" w:rsidRDefault="001076B1" w:rsidP="001076B1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1076B1">
              <w:rPr>
                <w:rFonts w:ascii="Times" w:hAnsi="Times" w:cs="Times"/>
                <w:sz w:val="20"/>
                <w:szCs w:val="20"/>
              </w:rPr>
              <w:t>PE</w:t>
            </w:r>
          </w:p>
        </w:tc>
        <w:tc>
          <w:tcPr>
            <w:tcW w:w="3118" w:type="dxa"/>
          </w:tcPr>
          <w:p w14:paraId="47302599" w14:textId="77777777" w:rsidR="001076B1" w:rsidRPr="001076B1" w:rsidRDefault="001076B1" w:rsidP="001076B1">
            <w:pPr>
              <w:widowControl/>
              <w:spacing w:line="276" w:lineRule="auto"/>
              <w:jc w:val="center"/>
              <w:rPr>
                <w:rFonts w:ascii="Times" w:hAnsi="Times" w:cs="Times"/>
                <w:color w:val="FF0000"/>
                <w:sz w:val="20"/>
                <w:szCs w:val="20"/>
              </w:rPr>
            </w:pPr>
            <w:r w:rsidRPr="001076B1">
              <w:rPr>
                <w:rFonts w:ascii="Times" w:hAnsi="Times" w:cs="Times"/>
                <w:sz w:val="20"/>
                <w:szCs w:val="20"/>
              </w:rPr>
              <w:t>1.230 (1.051, 1.441)</w:t>
            </w:r>
          </w:p>
        </w:tc>
        <w:tc>
          <w:tcPr>
            <w:tcW w:w="1134" w:type="dxa"/>
          </w:tcPr>
          <w:p w14:paraId="1D1F4C34" w14:textId="77777777" w:rsidR="001076B1" w:rsidRPr="001076B1" w:rsidRDefault="001076B1" w:rsidP="001076B1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76B1">
              <w:rPr>
                <w:rFonts w:ascii="Times" w:hAnsi="Times" w:cs="Times"/>
                <w:sz w:val="20"/>
                <w:szCs w:val="20"/>
              </w:rPr>
              <w:t>0.010</w:t>
            </w:r>
          </w:p>
        </w:tc>
        <w:tc>
          <w:tcPr>
            <w:tcW w:w="3119" w:type="dxa"/>
          </w:tcPr>
          <w:p w14:paraId="54BB36C3" w14:textId="77777777" w:rsidR="001076B1" w:rsidRPr="001076B1" w:rsidRDefault="001076B1" w:rsidP="001076B1">
            <w:pPr>
              <w:widowControl/>
              <w:spacing w:line="276" w:lineRule="auto"/>
              <w:jc w:val="center"/>
              <w:rPr>
                <w:rFonts w:ascii="Times" w:hAnsi="Times" w:cs="Times"/>
                <w:color w:val="FF0000"/>
                <w:sz w:val="20"/>
                <w:szCs w:val="20"/>
              </w:rPr>
            </w:pPr>
            <w:r w:rsidRPr="001076B1">
              <w:rPr>
                <w:rFonts w:ascii="Times" w:hAnsi="Times" w:cs="Times"/>
                <w:sz w:val="20"/>
                <w:szCs w:val="20"/>
              </w:rPr>
              <w:t>0.986 (0.977, 0.996)</w:t>
            </w:r>
          </w:p>
        </w:tc>
        <w:tc>
          <w:tcPr>
            <w:tcW w:w="1134" w:type="dxa"/>
          </w:tcPr>
          <w:p w14:paraId="2D30C8CF" w14:textId="77777777" w:rsidR="001076B1" w:rsidRPr="001076B1" w:rsidRDefault="001076B1" w:rsidP="001076B1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76B1">
              <w:rPr>
                <w:rFonts w:ascii="Times" w:hAnsi="Times" w:cs="Times"/>
                <w:sz w:val="20"/>
                <w:szCs w:val="20"/>
              </w:rPr>
              <w:t>0.008</w:t>
            </w:r>
          </w:p>
        </w:tc>
        <w:tc>
          <w:tcPr>
            <w:tcW w:w="3119" w:type="dxa"/>
          </w:tcPr>
          <w:p w14:paraId="43946B3D" w14:textId="77777777" w:rsidR="001076B1" w:rsidRPr="001076B1" w:rsidRDefault="001076B1" w:rsidP="001076B1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76B1">
              <w:rPr>
                <w:rFonts w:ascii="Times" w:hAnsi="Times" w:cs="Times"/>
                <w:sz w:val="20"/>
                <w:szCs w:val="20"/>
              </w:rPr>
              <w:t>1.123 (1.047, 1.205)</w:t>
            </w:r>
          </w:p>
        </w:tc>
        <w:tc>
          <w:tcPr>
            <w:tcW w:w="1134" w:type="dxa"/>
          </w:tcPr>
          <w:p w14:paraId="2FE2EC49" w14:textId="77777777" w:rsidR="001076B1" w:rsidRPr="001076B1" w:rsidRDefault="001076B1" w:rsidP="001076B1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76B1">
              <w:rPr>
                <w:rFonts w:ascii="Times" w:hAnsi="Times" w:cs="Times"/>
                <w:sz w:val="20"/>
                <w:szCs w:val="20"/>
              </w:rPr>
              <w:t>0.001</w:t>
            </w:r>
          </w:p>
        </w:tc>
      </w:tr>
      <w:tr w:rsidR="001076B1" w:rsidRPr="001076B1" w14:paraId="15432EAA" w14:textId="77777777" w:rsidTr="001076B1">
        <w:tc>
          <w:tcPr>
            <w:tcW w:w="2551" w:type="dxa"/>
            <w:tcBorders>
              <w:bottom w:val="single" w:sz="12" w:space="0" w:color="auto"/>
            </w:tcBorders>
          </w:tcPr>
          <w:p w14:paraId="2F397392" w14:textId="77777777" w:rsidR="001076B1" w:rsidRPr="001076B1" w:rsidRDefault="001076B1" w:rsidP="001076B1">
            <w:pPr>
              <w:widowControl/>
              <w:spacing w:line="276" w:lineRule="auto"/>
              <w:jc w:val="left"/>
              <w:rPr>
                <w:rFonts w:ascii="Times" w:hAnsi="Times" w:cs="Times"/>
                <w:sz w:val="20"/>
                <w:szCs w:val="20"/>
              </w:rPr>
            </w:pPr>
            <w:r w:rsidRPr="001076B1">
              <w:rPr>
                <w:rFonts w:ascii="Times" w:hAnsi="Times" w:cs="Times"/>
                <w:sz w:val="20"/>
                <w:szCs w:val="20"/>
              </w:rPr>
              <w:t>Hypothyroidism</w:t>
            </w: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4A1375F7" w14:textId="77777777" w:rsidR="001076B1" w:rsidRPr="001076B1" w:rsidRDefault="001076B1" w:rsidP="001076B1">
            <w:pPr>
              <w:widowControl/>
              <w:spacing w:line="276" w:lineRule="auto"/>
              <w:jc w:val="center"/>
              <w:rPr>
                <w:rFonts w:ascii="Times" w:hAnsi="Times" w:cs="Times"/>
                <w:color w:val="FF0000"/>
                <w:sz w:val="20"/>
                <w:szCs w:val="20"/>
              </w:rPr>
            </w:pPr>
            <w:r w:rsidRPr="001076B1">
              <w:rPr>
                <w:rFonts w:ascii="Times" w:hAnsi="Times" w:cs="Times"/>
                <w:sz w:val="20"/>
                <w:szCs w:val="20"/>
              </w:rPr>
              <w:t>1.604 (1.401, 1.837)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67A15AF9" w14:textId="77777777" w:rsidR="001076B1" w:rsidRPr="001076B1" w:rsidRDefault="001076B1" w:rsidP="001076B1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1076B1">
              <w:rPr>
                <w:rFonts w:ascii="Times" w:hAnsi="Times" w:cs="Times"/>
                <w:sz w:val="20"/>
                <w:szCs w:val="20"/>
              </w:rPr>
              <w:t>&lt;0.001</w:t>
            </w: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342BDEEB" w14:textId="77777777" w:rsidR="001076B1" w:rsidRPr="001076B1" w:rsidRDefault="001076B1" w:rsidP="001076B1">
            <w:pPr>
              <w:widowControl/>
              <w:spacing w:line="276" w:lineRule="auto"/>
              <w:jc w:val="center"/>
              <w:rPr>
                <w:rFonts w:ascii="Times" w:hAnsi="Times" w:cs="Times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213BCC2" w14:textId="77777777" w:rsidR="001076B1" w:rsidRPr="001076B1" w:rsidRDefault="001076B1" w:rsidP="001076B1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1A3D1AB9" w14:textId="77777777" w:rsidR="001076B1" w:rsidRPr="001076B1" w:rsidRDefault="001076B1" w:rsidP="001076B1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536E02F" w14:textId="77777777" w:rsidR="001076B1" w:rsidRPr="001076B1" w:rsidRDefault="001076B1" w:rsidP="001076B1">
            <w:pPr>
              <w:widowControl/>
              <w:spacing w:line="276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14:paraId="3ED252AD" w14:textId="27169C1F" w:rsidR="00460C09" w:rsidRPr="001076B1" w:rsidRDefault="001076B1" w:rsidP="001076B1">
      <w:pPr>
        <w:widowControl/>
        <w:spacing w:line="276" w:lineRule="auto"/>
        <w:jc w:val="left"/>
        <w:rPr>
          <w:rFonts w:ascii="Times" w:hAnsi="Times" w:cs="Times"/>
          <w:sz w:val="20"/>
          <w:szCs w:val="20"/>
        </w:rPr>
      </w:pPr>
      <w:r w:rsidRPr="001076B1">
        <w:rPr>
          <w:rFonts w:ascii="Times" w:hAnsi="Times" w:cs="Times"/>
          <w:sz w:val="20"/>
          <w:szCs w:val="20"/>
        </w:rPr>
        <w:t xml:space="preserve">OR, odds ratio; 95% </w:t>
      </w:r>
      <w:r w:rsidRPr="001076B1">
        <w:rPr>
          <w:rFonts w:ascii="Times" w:hAnsi="Times" w:cs="Times"/>
          <w:i/>
          <w:iCs/>
          <w:sz w:val="20"/>
          <w:szCs w:val="20"/>
        </w:rPr>
        <w:t>CI</w:t>
      </w:r>
      <w:r w:rsidRPr="001076B1">
        <w:rPr>
          <w:rFonts w:ascii="Times" w:hAnsi="Times" w:cs="Times"/>
          <w:sz w:val="20"/>
          <w:szCs w:val="20"/>
        </w:rPr>
        <w:t>, 95% confidence interval. All models were adjusted for maternal age, gravidity, parity, season of conception and year of conception.</w:t>
      </w:r>
    </w:p>
    <w:sectPr w:rsidR="00460C09" w:rsidRPr="001076B1" w:rsidSect="008E6ED8">
      <w:pgSz w:w="15840" w:h="12240" w:orient="landscape" w:code="1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6C1A8" w14:textId="77777777" w:rsidR="00502C9E" w:rsidRDefault="00502C9E" w:rsidP="00363A80">
      <w:pPr>
        <w:rPr>
          <w:rFonts w:hint="eastAsia"/>
        </w:rPr>
      </w:pPr>
      <w:r>
        <w:separator/>
      </w:r>
    </w:p>
  </w:endnote>
  <w:endnote w:type="continuationSeparator" w:id="0">
    <w:p w14:paraId="48AD7637" w14:textId="77777777" w:rsidR="00502C9E" w:rsidRDefault="00502C9E" w:rsidP="00363A8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91C05" w14:textId="77777777" w:rsidR="00502C9E" w:rsidRDefault="00502C9E" w:rsidP="00363A80">
      <w:pPr>
        <w:rPr>
          <w:rFonts w:hint="eastAsia"/>
        </w:rPr>
      </w:pPr>
      <w:r>
        <w:separator/>
      </w:r>
    </w:p>
  </w:footnote>
  <w:footnote w:type="continuationSeparator" w:id="0">
    <w:p w14:paraId="31256ECE" w14:textId="77777777" w:rsidR="00502C9E" w:rsidRDefault="00502C9E" w:rsidP="00363A8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C5"/>
    <w:rsid w:val="00046F17"/>
    <w:rsid w:val="000D7CC5"/>
    <w:rsid w:val="001076B1"/>
    <w:rsid w:val="00116621"/>
    <w:rsid w:val="001306D7"/>
    <w:rsid w:val="00220D9B"/>
    <w:rsid w:val="002E16B7"/>
    <w:rsid w:val="00323D20"/>
    <w:rsid w:val="00331AD8"/>
    <w:rsid w:val="00363A80"/>
    <w:rsid w:val="00372F3B"/>
    <w:rsid w:val="00403F01"/>
    <w:rsid w:val="00460C09"/>
    <w:rsid w:val="004C1E47"/>
    <w:rsid w:val="00502C9E"/>
    <w:rsid w:val="00830A07"/>
    <w:rsid w:val="00850C8C"/>
    <w:rsid w:val="008B3202"/>
    <w:rsid w:val="008E6ED8"/>
    <w:rsid w:val="009049D3"/>
    <w:rsid w:val="00AA1A6D"/>
    <w:rsid w:val="00B863C3"/>
    <w:rsid w:val="00BA7EC5"/>
    <w:rsid w:val="00BD716C"/>
    <w:rsid w:val="00D80E02"/>
    <w:rsid w:val="00DD2415"/>
    <w:rsid w:val="00F740EB"/>
    <w:rsid w:val="00F9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6106F"/>
  <w15:chartTrackingRefBased/>
  <w15:docId w15:val="{FAD5631A-9907-4201-91F3-9880057D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ED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3A8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63A8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63A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63A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74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66257-FC07-46F7-BDC7-7873A752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韬 陈</dc:creator>
  <cp:keywords/>
  <dc:description/>
  <cp:lastModifiedBy>韬 陈</cp:lastModifiedBy>
  <cp:revision>3</cp:revision>
  <dcterms:created xsi:type="dcterms:W3CDTF">2024-11-11T14:10:00Z</dcterms:created>
  <dcterms:modified xsi:type="dcterms:W3CDTF">2024-11-11T14:12:00Z</dcterms:modified>
</cp:coreProperties>
</file>