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pPr>
      <w:r>
        <w:t>STROBE Statement—checklist of items that should be included in reports of observational studies</w:t>
      </w:r>
    </w:p>
    <w:p>
      <w:pPr>
        <w:pStyle w:val="156"/>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sz w:val="20"/>
              </w:rPr>
            </w:pPr>
            <w:bookmarkStart w:id="0" w:name="italic4" w:colFirst="3" w:colLast="3"/>
            <w:bookmarkStart w:id="1" w:name="bold3" w:colFirst="3" w:colLast="3"/>
            <w:bookmarkStart w:id="2" w:name="italic2" w:colFirst="1" w:colLast="1"/>
            <w:bookmarkStart w:id="3" w:name="bold1" w:colFirst="1" w:colLast="1"/>
            <w:bookmarkStart w:id="4" w:name="bold2" w:colFirst="2" w:colLast="2"/>
            <w:bookmarkStart w:id="5" w:name="italic1" w:colFirst="0" w:colLast="0"/>
            <w:bookmarkStart w:id="6" w:name="italic5" w:colFirst="4" w:colLast="4"/>
            <w:bookmarkStart w:id="7" w:name="bold4" w:colFirst="4" w:colLast="4"/>
            <w:bookmarkStart w:id="8" w:name="italic3" w:colFirst="2" w:colLast="2"/>
          </w:p>
        </w:tc>
        <w:tc>
          <w:tcPr>
            <w:tcW w:w="616" w:type="dxa"/>
          </w:tcPr>
          <w:p>
            <w:pPr>
              <w:pStyle w:val="166"/>
              <w:tabs>
                <w:tab w:val="left" w:pos="5400"/>
              </w:tabs>
              <w:jc w:val="center"/>
              <w:rPr>
                <w:bCs/>
                <w:sz w:val="20"/>
              </w:rPr>
            </w:pPr>
            <w:r>
              <w:rPr>
                <w:bCs/>
                <w:sz w:val="20"/>
              </w:rPr>
              <w:t>Item No.</w:t>
            </w:r>
          </w:p>
        </w:tc>
        <w:tc>
          <w:tcPr>
            <w:tcW w:w="8031" w:type="dxa"/>
            <w:vAlign w:val="bottom"/>
          </w:tcPr>
          <w:p>
            <w:pPr>
              <w:pStyle w:val="166"/>
              <w:tabs>
                <w:tab w:val="left" w:pos="5400"/>
              </w:tabs>
              <w:jc w:val="center"/>
              <w:rPr>
                <w:bCs/>
                <w:sz w:val="20"/>
              </w:rPr>
            </w:pPr>
            <w:r>
              <w:rPr>
                <w:bCs/>
                <w:sz w:val="20"/>
              </w:rPr>
              <w:t>Recommendation</w:t>
            </w:r>
          </w:p>
        </w:tc>
        <w:tc>
          <w:tcPr>
            <w:tcW w:w="1559" w:type="dxa"/>
          </w:tcPr>
          <w:p>
            <w:pPr>
              <w:pStyle w:val="166"/>
              <w:tabs>
                <w:tab w:val="left" w:pos="5400"/>
              </w:tabs>
              <w:jc w:val="center"/>
              <w:rPr>
                <w:bCs/>
                <w:sz w:val="20"/>
              </w:rPr>
            </w:pPr>
            <w:r>
              <w:rPr>
                <w:bCs/>
                <w:sz w:val="20"/>
              </w:rPr>
              <w:t xml:space="preserve">Page </w:t>
            </w:r>
            <w:r>
              <w:rPr>
                <w:bCs/>
                <w:sz w:val="20"/>
              </w:rPr>
              <w:br w:type="textWrapping"/>
            </w:r>
            <w:r>
              <w:rPr>
                <w:bCs/>
                <w:sz w:val="20"/>
              </w:rPr>
              <w:t>No.</w:t>
            </w:r>
          </w:p>
        </w:tc>
        <w:tc>
          <w:tcPr>
            <w:tcW w:w="2835" w:type="dxa"/>
          </w:tcPr>
          <w:p>
            <w:pPr>
              <w:pStyle w:val="166"/>
              <w:tabs>
                <w:tab w:val="left" w:pos="5400"/>
              </w:tabs>
              <w:jc w:val="center"/>
              <w:rPr>
                <w:bCs/>
                <w:sz w:val="20"/>
              </w:rPr>
            </w:pPr>
            <w:r>
              <w:rPr>
                <w:bCs/>
                <w:sz w:val="20"/>
              </w:rPr>
              <w:t>Relevant text from manuscript</w:t>
            </w:r>
          </w:p>
        </w:tc>
      </w:tr>
      <w:bookmarkEnd w:id="0"/>
      <w:bookmarkEnd w:id="1"/>
      <w:bookmarkEnd w:id="2"/>
      <w:bookmarkEnd w:id="3"/>
      <w:bookmarkEnd w:id="4"/>
      <w:bookmarkEnd w:id="5"/>
      <w:bookmarkEnd w:id="6"/>
      <w:bookmarkEnd w:id="7"/>
      <w:bookmarkEnd w:id="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
                <w:bCs/>
                <w:sz w:val="20"/>
              </w:rPr>
            </w:pPr>
            <w:bookmarkStart w:id="9" w:name="bold5"/>
            <w:bookmarkStart w:id="10" w:name="italic6"/>
            <w:r>
              <w:rPr>
                <w:b/>
                <w:sz w:val="20"/>
              </w:rPr>
              <w:t>Title and abstract</w:t>
            </w:r>
            <w:bookmarkEnd w:id="9"/>
            <w:bookmarkEnd w:id="10"/>
          </w:p>
        </w:tc>
        <w:tc>
          <w:tcPr>
            <w:tcW w:w="616" w:type="dxa"/>
            <w:vMerge w:val="restart"/>
          </w:tcPr>
          <w:p>
            <w:pPr>
              <w:tabs>
                <w:tab w:val="left" w:pos="5400"/>
              </w:tabs>
              <w:jc w:val="center"/>
              <w:rPr>
                <w:sz w:val="20"/>
              </w:rPr>
            </w:pPr>
            <w:r>
              <w:rPr>
                <w:sz w:val="20"/>
              </w:rPr>
              <w:t>1</w:t>
            </w:r>
          </w:p>
        </w:tc>
        <w:tc>
          <w:tcPr>
            <w:tcW w:w="8031" w:type="dxa"/>
          </w:tcPr>
          <w:p>
            <w:pPr>
              <w:tabs>
                <w:tab w:val="left" w:pos="5400"/>
              </w:tabs>
              <w:rPr>
                <w:sz w:val="20"/>
              </w:rPr>
            </w:pPr>
            <w:r>
              <w:rPr>
                <w:sz w:val="20"/>
              </w:rPr>
              <w:t>(</w:t>
            </w:r>
            <w:r>
              <w:rPr>
                <w:i/>
                <w:sz w:val="20"/>
              </w:rPr>
              <w:t>a</w:t>
            </w:r>
            <w:r>
              <w:rPr>
                <w:sz w:val="20"/>
              </w:rPr>
              <w:t>) Indicate the study’s design with a commonly used term in the title or the abstract</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2</w:t>
            </w:r>
          </w:p>
        </w:tc>
        <w:tc>
          <w:tcPr>
            <w:tcW w:w="2835" w:type="dxa"/>
          </w:tcPr>
          <w:p>
            <w:pPr>
              <w:tabs>
                <w:tab w:val="left" w:pos="5400"/>
              </w:tabs>
              <w:rPr>
                <w:sz w:val="20"/>
              </w:rPr>
            </w:pPr>
            <w:r>
              <w:rPr>
                <w:sz w:val="20"/>
              </w:rPr>
              <w:t>A retrospective cohort study was employed to gather clinical data from a sample size of 351 individuals diagnosed with coronary heart disease who have been diagnosed with coronary heart disease and received statin treatment at the cardiology department of a tertiary hospital located in Anhui Province, China, from February 2021 to January 2022.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rPr>
            </w:pPr>
            <w:bookmarkStart w:id="11" w:name="italic7" w:colFirst="0" w:colLast="0"/>
            <w:bookmarkStart w:id="12" w:name="bold6" w:colFirst="0" w:colLast="0"/>
          </w:p>
        </w:tc>
        <w:tc>
          <w:tcPr>
            <w:tcW w:w="616" w:type="dxa"/>
            <w:vMerge w:val="continue"/>
          </w:tcPr>
          <w:p>
            <w:pPr>
              <w:tabs>
                <w:tab w:val="left" w:pos="5400"/>
              </w:tabs>
              <w:jc w:val="center"/>
              <w:rPr>
                <w:sz w:val="20"/>
              </w:rPr>
            </w:pPr>
          </w:p>
        </w:tc>
        <w:tc>
          <w:tcPr>
            <w:tcW w:w="8031" w:type="dxa"/>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2</w:t>
            </w:r>
          </w:p>
        </w:tc>
        <w:tc>
          <w:tcPr>
            <w:tcW w:w="2835" w:type="dxa"/>
          </w:tcPr>
          <w:p>
            <w:pPr>
              <w:tabs>
                <w:tab w:val="left" w:pos="5400"/>
              </w:tabs>
              <w:rPr>
                <w:rFonts w:hint="eastAsia" w:eastAsia="宋体"/>
                <w:sz w:val="20"/>
                <w:lang w:val="en-US" w:eastAsia="zh-CN"/>
              </w:rPr>
            </w:pPr>
            <w:r>
              <w:rPr>
                <w:rFonts w:hint="eastAsia"/>
                <w:sz w:val="20"/>
              </w:rPr>
              <w:t>The clinical data of 351 subjects were partitioned into two groups, namely the development group consisting of 283 cases and the validation group comprising 68 cases, following an 8:2 ratio randomly. In the development group, Logistic regression was employed to identify independent risk factors associated with adverse drug reactions induced by statins in patients diagnosed with coronary heart disease. The R software was employed to construct a nomogram prediction model for the identified independent risk factors, and the clinical applicability, discrimination, and calibration of the model was analyzed. Results: The incidence of ADR in 351 subjects was 24.22%, which was divided into three categories based on the location of ADR occurrence: muscle toxicity reaction, liver and kidney dysfunction, and digestive tract reaction. The findings from the univariate and multivariate logistic regression analysis conducted on the development group revealed that age ≥ 60 years, body mass index ≥ 23kg/m2, course of disease ≥ 5 years, basic disease type ≥ 3, Dyslipidemia, history of cerebral infarction, high-dose use, and the coadministration of multiple medications were found to be statistically significant independent risk factors for ADR associated with statin use in patients diagnosed with coronary heart disease (P&lt;0.05).</w:t>
            </w:r>
            <w:r>
              <w:rPr>
                <w:rFonts w:hint="eastAsia" w:eastAsia="宋体"/>
                <w:sz w:val="20"/>
                <w:lang w:val="en-US" w:eastAsia="zh-CN"/>
              </w:rPr>
              <w:t xml:space="preserve"> A nomogram prediction model was established based on the aforementioned risk factors. </w:t>
            </w:r>
          </w:p>
        </w:tc>
      </w:tr>
      <w:bookmarkEnd w:id="11"/>
      <w:bookmarkEnd w:id="1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pPr>
              <w:pStyle w:val="168"/>
              <w:tabs>
                <w:tab w:val="left" w:pos="5400"/>
              </w:tabs>
              <w:rPr>
                <w:sz w:val="20"/>
              </w:rPr>
            </w:pPr>
            <w:bookmarkStart w:id="13" w:name="italic8"/>
            <w:bookmarkStart w:id="14" w:name="bold7"/>
            <w:r>
              <w:rPr>
                <w:sz w:val="20"/>
              </w:rPr>
              <w:t>Introduction</w:t>
            </w:r>
          </w:p>
          <w:bookmarkEnd w:id="13"/>
          <w:bookmarkEnd w:id="14"/>
        </w:tc>
        <w:tc>
          <w:tcPr>
            <w:tcW w:w="2835" w:type="dxa"/>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15" w:name="bold8"/>
            <w:bookmarkStart w:id="16" w:name="italic9"/>
            <w:r>
              <w:rPr>
                <w:bCs/>
                <w:sz w:val="20"/>
              </w:rPr>
              <w:t>Background/</w:t>
            </w:r>
            <w:bookmarkEnd w:id="15"/>
            <w:bookmarkEnd w:id="16"/>
            <w:bookmarkStart w:id="17" w:name="bold9"/>
            <w:bookmarkStart w:id="18" w:name="italic10"/>
            <w:r>
              <w:rPr>
                <w:bCs/>
                <w:sz w:val="20"/>
              </w:rPr>
              <w:t>rationale</w:t>
            </w:r>
            <w:bookmarkEnd w:id="17"/>
            <w:bookmarkEnd w:id="18"/>
          </w:p>
        </w:tc>
        <w:tc>
          <w:tcPr>
            <w:tcW w:w="616" w:type="dxa"/>
          </w:tcPr>
          <w:p>
            <w:pPr>
              <w:tabs>
                <w:tab w:val="left" w:pos="5400"/>
              </w:tabs>
              <w:jc w:val="center"/>
              <w:rPr>
                <w:sz w:val="20"/>
              </w:rPr>
            </w:pPr>
            <w:r>
              <w:rPr>
                <w:sz w:val="20"/>
              </w:rPr>
              <w:t>2</w:t>
            </w:r>
          </w:p>
        </w:tc>
        <w:tc>
          <w:tcPr>
            <w:tcW w:w="8031" w:type="dxa"/>
          </w:tcPr>
          <w:p>
            <w:pPr>
              <w:tabs>
                <w:tab w:val="left" w:pos="5400"/>
              </w:tabs>
              <w:rPr>
                <w:sz w:val="20"/>
              </w:rPr>
            </w:pPr>
            <w:r>
              <w:rPr>
                <w:sz w:val="20"/>
              </w:rPr>
              <w:t>Explain the scientific background and rationale for the investigation being reported</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r>
              <w:rPr>
                <w:rFonts w:hint="eastAsia"/>
                <w:sz w:val="20"/>
              </w:rPr>
              <w:t>CHD has emerged as a prominent contributor to global mortality, particularly prevailing as the leading cause of death among males aged 45 years and above. The clinical manifestations of CHD include chest tightness, difficulty breathing, etc. CHD encompasses a multitude of complications, including angina, arrhythmia, heart failure, thromboembolism, and myocardial infarction. In severe instances, CHD may culminate in cardiac arrest, significantly impinging upon the patient's overall well-being, health status, and quality of life. At present, the medication treatment of CHD is mainly focused on lipid-lowering drugs, among which statins are the preferred drugs for clinical treatment of lipid metabolism disorders. The activity of 3-hydroxy-3-methylglutaryl coenzyme A reductase can be competitively inhibited by statins, thereby reducing the synthesis of endogenous mevalonic acid and cholesterol, and playing a role in regulating lipid. One study have pointed out that, statins are widely used in clinical practice, which can play a role in lowering blood lipids by reducing the level of peripheral lipoproteins in patients with CHD and improving the blockage of stenosis. However, research shows that patients with CHD may experience varying degrees of adverse drug reactions(ADR) after statin therapy, with muscle pain, elevated liver enzymes, and renal function damage being the most common. Therefore, it is of great significance to effectively screen out high-risk groups of CHD patients who experience ADR after taking statins, and to take targeted intervention measures for this group of people for the prevention and treatment of CHD patients.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19" w:name="bold10" w:colFirst="0" w:colLast="0"/>
            <w:bookmarkStart w:id="20" w:name="italic11" w:colFirst="0" w:colLast="0"/>
            <w:r>
              <w:rPr>
                <w:bCs/>
                <w:sz w:val="20"/>
              </w:rPr>
              <w:t>Objectives</w:t>
            </w:r>
          </w:p>
        </w:tc>
        <w:tc>
          <w:tcPr>
            <w:tcW w:w="616" w:type="dxa"/>
          </w:tcPr>
          <w:p>
            <w:pPr>
              <w:tabs>
                <w:tab w:val="left" w:pos="5400"/>
              </w:tabs>
              <w:jc w:val="center"/>
              <w:rPr>
                <w:sz w:val="20"/>
              </w:rPr>
            </w:pPr>
            <w:r>
              <w:rPr>
                <w:sz w:val="20"/>
              </w:rPr>
              <w:t>3</w:t>
            </w:r>
          </w:p>
        </w:tc>
        <w:tc>
          <w:tcPr>
            <w:tcW w:w="8031" w:type="dxa"/>
          </w:tcPr>
          <w:p>
            <w:pPr>
              <w:tabs>
                <w:tab w:val="left" w:pos="5400"/>
              </w:tabs>
              <w:rPr>
                <w:sz w:val="20"/>
              </w:rPr>
            </w:pPr>
            <w:r>
              <w:rPr>
                <w:sz w:val="20"/>
              </w:rPr>
              <w:t>State specific objectives, including any prespecified hypotheses</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r>
              <w:rPr>
                <w:rFonts w:hint="eastAsia"/>
                <w:sz w:val="20"/>
              </w:rPr>
              <w:t>This study conducted an analysis on the risk factors associated with ADR in patients diagnosed with CHD who were prescribed statins. Furthermore, a personalized risk prediction model for ADR in CHD patients was developed, aiming to serve as a reference for mitigating the incidence of ADR in CHD patients treated with statins.</w:t>
            </w:r>
          </w:p>
        </w:tc>
      </w:tr>
      <w:bookmarkEnd w:id="19"/>
      <w:bookmarkEnd w:id="2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pPr>
              <w:pStyle w:val="168"/>
              <w:tabs>
                <w:tab w:val="left" w:pos="5400"/>
              </w:tabs>
              <w:rPr>
                <w:sz w:val="20"/>
              </w:rPr>
            </w:pPr>
            <w:bookmarkStart w:id="21" w:name="bold11"/>
            <w:bookmarkStart w:id="22" w:name="italic12"/>
            <w:r>
              <w:rPr>
                <w:sz w:val="20"/>
              </w:rPr>
              <w:t>Methods</w:t>
            </w:r>
          </w:p>
          <w:bookmarkEnd w:id="21"/>
          <w:bookmarkEnd w:id="22"/>
        </w:tc>
        <w:tc>
          <w:tcPr>
            <w:tcW w:w="2835" w:type="dxa"/>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3" w:name="bold12" w:colFirst="0" w:colLast="0"/>
            <w:bookmarkStart w:id="24" w:name="italic13" w:colFirst="0" w:colLast="0"/>
            <w:r>
              <w:rPr>
                <w:bCs/>
                <w:sz w:val="20"/>
              </w:rPr>
              <w:t>Study design</w:t>
            </w:r>
          </w:p>
        </w:tc>
        <w:tc>
          <w:tcPr>
            <w:tcW w:w="616" w:type="dxa"/>
          </w:tcPr>
          <w:p>
            <w:pPr>
              <w:tabs>
                <w:tab w:val="left" w:pos="5400"/>
              </w:tabs>
              <w:jc w:val="center"/>
              <w:rPr>
                <w:sz w:val="20"/>
              </w:rPr>
            </w:pPr>
            <w:r>
              <w:rPr>
                <w:sz w:val="20"/>
              </w:rPr>
              <w:t>4</w:t>
            </w:r>
          </w:p>
        </w:tc>
        <w:tc>
          <w:tcPr>
            <w:tcW w:w="8031" w:type="dxa"/>
          </w:tcPr>
          <w:p>
            <w:pPr>
              <w:tabs>
                <w:tab w:val="left" w:pos="5400"/>
              </w:tabs>
              <w:rPr>
                <w:sz w:val="20"/>
              </w:rPr>
            </w:pPr>
            <w:r>
              <w:rPr>
                <w:sz w:val="20"/>
              </w:rPr>
              <w:t>Present key elements of study design early in the paper</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4</w:t>
            </w:r>
          </w:p>
        </w:tc>
        <w:tc>
          <w:tcPr>
            <w:tcW w:w="2835" w:type="dxa"/>
          </w:tcPr>
          <w:p>
            <w:pPr>
              <w:tabs>
                <w:tab w:val="left" w:pos="5400"/>
              </w:tabs>
              <w:rPr>
                <w:sz w:val="20"/>
              </w:rPr>
            </w:pPr>
            <w:r>
              <w:rPr>
                <w:rFonts w:hint="eastAsia"/>
                <w:sz w:val="20"/>
              </w:rPr>
              <w:t>The study subjects consisted of 351 patients with CHD who were admitted to the Department of Cardiology of a tertiary hospital in Anhui Province, China from February 2021 to January 2022 and received statin treatment, as identified in a retrospective cohort study.</w:t>
            </w:r>
          </w:p>
        </w:tc>
      </w:tr>
      <w:bookmarkEnd w:id="23"/>
      <w:bookmarkEnd w:id="24"/>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5" w:name="bold13" w:colFirst="0" w:colLast="0"/>
            <w:bookmarkStart w:id="26" w:name="italic14" w:colFirst="0" w:colLast="0"/>
            <w:r>
              <w:rPr>
                <w:bCs/>
                <w:sz w:val="20"/>
              </w:rPr>
              <w:t>Setting</w:t>
            </w:r>
          </w:p>
        </w:tc>
        <w:tc>
          <w:tcPr>
            <w:tcW w:w="616" w:type="dxa"/>
          </w:tcPr>
          <w:p>
            <w:pPr>
              <w:tabs>
                <w:tab w:val="left" w:pos="5400"/>
              </w:tabs>
              <w:jc w:val="center"/>
              <w:rPr>
                <w:sz w:val="20"/>
              </w:rPr>
            </w:pPr>
            <w:r>
              <w:rPr>
                <w:sz w:val="20"/>
              </w:rPr>
              <w:t>5</w:t>
            </w:r>
          </w:p>
        </w:tc>
        <w:tc>
          <w:tcPr>
            <w:tcW w:w="8031" w:type="dxa"/>
          </w:tcPr>
          <w:p>
            <w:pPr>
              <w:tabs>
                <w:tab w:val="left" w:pos="5400"/>
              </w:tabs>
              <w:rPr>
                <w:sz w:val="20"/>
              </w:rPr>
            </w:pPr>
            <w:r>
              <w:rPr>
                <w:sz w:val="20"/>
              </w:rPr>
              <w:t>Describe the setting, locations, and relevant dates, including periods of recruitment, exposure, follow-up, and data collection</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4</w:t>
            </w:r>
          </w:p>
        </w:tc>
        <w:tc>
          <w:tcPr>
            <w:tcW w:w="2835" w:type="dxa"/>
          </w:tcPr>
          <w:p>
            <w:pPr>
              <w:tabs>
                <w:tab w:val="left" w:pos="5400"/>
              </w:tabs>
              <w:rPr>
                <w:sz w:val="20"/>
              </w:rPr>
            </w:pPr>
            <w:r>
              <w:rPr>
                <w:rFonts w:hint="eastAsia"/>
                <w:sz w:val="20"/>
              </w:rPr>
              <w:t>The retrospective collection of clinical data from research subjects encompassed various demographic and health-related variables, such as gender, age, education level, body mass index (BMI), type of residence, medical expense payment method, hypertension history, presence of Dyslipidemia, smoking habits, alcohol consumption, course of disease, basic disease type, diabetes history, cerebral infarction history, combined medication usage, and high-dose drug utilization. In total, 16 indicators were gathered. Subsequently, the patients were categorized into two groups, namely the ADR group (consisting of 85 cases) and the non-ADR group (comprising 266 cases), based on their experience of adverse drug reactions following the administration of statins.</w:t>
            </w:r>
          </w:p>
        </w:tc>
      </w:tr>
      <w:bookmarkEnd w:id="25"/>
      <w:bookmarkEnd w:id="26"/>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Cs/>
                <w:sz w:val="20"/>
              </w:rPr>
            </w:pPr>
            <w:r>
              <w:rPr>
                <w:bCs/>
                <w:sz w:val="20"/>
              </w:rPr>
              <w:t>Participants</w:t>
            </w:r>
          </w:p>
        </w:tc>
        <w:tc>
          <w:tcPr>
            <w:tcW w:w="616" w:type="dxa"/>
            <w:vMerge w:val="restart"/>
          </w:tcPr>
          <w:p>
            <w:pPr>
              <w:tabs>
                <w:tab w:val="left" w:pos="5400"/>
              </w:tabs>
              <w:jc w:val="center"/>
              <w:rPr>
                <w:sz w:val="20"/>
              </w:rPr>
            </w:pPr>
            <w:r>
              <w:rPr>
                <w:sz w:val="20"/>
              </w:rPr>
              <w:t>6</w:t>
            </w:r>
          </w:p>
        </w:tc>
        <w:tc>
          <w:tcPr>
            <w:tcW w:w="8031" w:type="dxa"/>
          </w:tcPr>
          <w:p>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pPr>
              <w:tabs>
                <w:tab w:val="left" w:pos="5400"/>
              </w:tabs>
              <w:rPr>
                <w:sz w:val="20"/>
              </w:rPr>
            </w:pPr>
            <w:r>
              <w:rPr>
                <w:i/>
                <w:sz w:val="20"/>
              </w:rPr>
              <w:t>Cross-sectional study</w:t>
            </w:r>
            <w:r>
              <w:rPr>
                <w:sz w:val="20"/>
              </w:rPr>
              <w:t>—Give the eligibility criteria, and the sources and methods of selection of participants</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4</w:t>
            </w:r>
          </w:p>
        </w:tc>
        <w:tc>
          <w:tcPr>
            <w:tcW w:w="2835" w:type="dxa"/>
          </w:tcPr>
          <w:p>
            <w:pPr>
              <w:tabs>
                <w:tab w:val="left" w:pos="5400"/>
              </w:tabs>
              <w:rPr>
                <w:rFonts w:hint="eastAsia"/>
                <w:sz w:val="20"/>
              </w:rPr>
            </w:pPr>
            <w:r>
              <w:rPr>
                <w:rFonts w:hint="eastAsia"/>
                <w:sz w:val="20"/>
              </w:rPr>
              <w:t xml:space="preserve">Inclusion criteria for research subjects: ①Patients who satisfy the pertinent diagnostic criteria for coronary heart disease (CHD) and have received a diagnosis of CHD via coronary angiography; ②No allergic reactions to statins; ③The patient and their family members have informed consent to the medication treatment plan and precautions; ④Clinical data of subjects is completed without any missing information; ⑤ Patients with good treatment compliance. Exclusion criteria for research subjects: ①Individuals with significant cognitive impairment; ②Individuals diagnosed with malignant neoplasms; ③Patients with organic lesions in important organs such as liver, kidney, and lungs; ④Individuals with hematological or autoimmune diseases; ⑤Patients with missing clinical data.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rPr>
            </w:pPr>
            <w:bookmarkStart w:id="27" w:name="bold14" w:colFirst="0" w:colLast="0"/>
            <w:bookmarkStart w:id="28" w:name="italic15" w:colFirst="0" w:colLast="0"/>
          </w:p>
        </w:tc>
        <w:tc>
          <w:tcPr>
            <w:tcW w:w="616" w:type="dxa"/>
            <w:vMerge w:val="continue"/>
          </w:tcPr>
          <w:p>
            <w:pPr>
              <w:tabs>
                <w:tab w:val="left" w:pos="5400"/>
              </w:tabs>
              <w:jc w:val="center"/>
              <w:rPr>
                <w:sz w:val="20"/>
              </w:rPr>
            </w:pPr>
          </w:p>
        </w:tc>
        <w:tc>
          <w:tcPr>
            <w:tcW w:w="8031" w:type="dxa"/>
          </w:tcPr>
          <w:p>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pPr>
              <w:tabs>
                <w:tab w:val="left" w:pos="5400"/>
              </w:tabs>
              <w:rPr>
                <w:i/>
                <w:sz w:val="20"/>
              </w:rPr>
            </w:pPr>
            <w:r>
              <w:rPr>
                <w:bCs/>
                <w:i/>
                <w:sz w:val="20"/>
              </w:rPr>
              <w:t>Case-control study</w:t>
            </w:r>
            <w:r>
              <w:rPr>
                <w:sz w:val="20"/>
              </w:rPr>
              <w:t>—For matched studies, give matching criteria and the number of controls per case</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4</w:t>
            </w:r>
          </w:p>
        </w:tc>
        <w:tc>
          <w:tcPr>
            <w:tcW w:w="2835" w:type="dxa"/>
          </w:tcPr>
          <w:p>
            <w:pPr>
              <w:tabs>
                <w:tab w:val="left" w:pos="5400"/>
              </w:tabs>
              <w:rPr>
                <w:sz w:val="20"/>
              </w:rPr>
            </w:pPr>
            <w:r>
              <w:rPr>
                <w:rFonts w:hint="eastAsia"/>
                <w:sz w:val="20"/>
                <w:lang w:val="en-US" w:eastAsia="zh-CN"/>
              </w:rPr>
              <w:t xml:space="preserve"> Subsequently, the patients were categorized into two groups, namely the ADR group (consisting of 85 cases) and the non-ADR group (comprising 266 cases), based on their experience of adverse drug reactions following the administration of statins.</w:t>
            </w:r>
          </w:p>
        </w:tc>
      </w:tr>
      <w:bookmarkEnd w:id="27"/>
      <w:bookmarkEnd w:id="2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9" w:name="bold16" w:colFirst="0" w:colLast="0"/>
            <w:bookmarkStart w:id="30" w:name="italic17" w:colFirst="0" w:colLast="0"/>
            <w:r>
              <w:rPr>
                <w:bCs/>
                <w:sz w:val="20"/>
              </w:rPr>
              <w:t>Variables</w:t>
            </w:r>
          </w:p>
        </w:tc>
        <w:tc>
          <w:tcPr>
            <w:tcW w:w="616" w:type="dxa"/>
          </w:tcPr>
          <w:p>
            <w:pPr>
              <w:tabs>
                <w:tab w:val="left" w:pos="5400"/>
              </w:tabs>
              <w:jc w:val="center"/>
              <w:rPr>
                <w:sz w:val="20"/>
              </w:rPr>
            </w:pPr>
            <w:r>
              <w:rPr>
                <w:sz w:val="20"/>
              </w:rPr>
              <w:t>7</w:t>
            </w:r>
          </w:p>
        </w:tc>
        <w:tc>
          <w:tcPr>
            <w:tcW w:w="8031" w:type="dxa"/>
          </w:tcPr>
          <w:p>
            <w:pPr>
              <w:tabs>
                <w:tab w:val="left" w:pos="5400"/>
              </w:tabs>
              <w:rPr>
                <w:sz w:val="20"/>
              </w:rPr>
            </w:pPr>
            <w:r>
              <w:rPr>
                <w:sz w:val="20"/>
              </w:rPr>
              <w:t>Clearly define all outcomes, exposures, predictors, potential confounders, and effect modifiers. Give diagnostic criteria, if applicable</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4</w:t>
            </w:r>
          </w:p>
        </w:tc>
        <w:tc>
          <w:tcPr>
            <w:tcW w:w="2835" w:type="dxa"/>
          </w:tcPr>
          <w:p>
            <w:pPr>
              <w:tabs>
                <w:tab w:val="left" w:pos="5400"/>
              </w:tabs>
              <w:rPr>
                <w:sz w:val="20"/>
              </w:rPr>
            </w:pPr>
            <w:r>
              <w:rPr>
                <w:rFonts w:hint="eastAsia"/>
                <w:sz w:val="20"/>
                <w:lang w:val="en-US" w:eastAsia="zh-CN"/>
              </w:rPr>
              <w:t>The retrospective collection of clinical data from research subjects encompassed various demographic and health-related variables, such as gender, age, education level, body mass index (BMI), type of residence, medical expense payment method, hypertension history, presence of Dyslipidemia, smoking habits, alcohol consumption, course of disease, basic disease type, diabetes history, cerebral infarction history, combined medication usage, and high-dose drug utilization. In total, 16 indicators were gathered. Subsequently, the patients were categorized into two groups, namely the ADR group (consisting of 85 cases) and the non-ADR group (comprising 266 cases), based on their experience of adverse drug reactions following the administration of statins.</w:t>
            </w:r>
          </w:p>
        </w:tc>
      </w:tr>
      <w:bookmarkEnd w:id="29"/>
      <w:bookmarkEnd w:id="3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pPr>
              <w:tabs>
                <w:tab w:val="left" w:pos="5400"/>
              </w:tabs>
              <w:rPr>
                <w:bCs/>
                <w:sz w:val="20"/>
              </w:rPr>
            </w:pPr>
            <w:bookmarkStart w:id="31" w:name="italic18"/>
            <w:bookmarkStart w:id="32" w:name="bold17"/>
            <w:r>
              <w:rPr>
                <w:bCs/>
                <w:sz w:val="20"/>
              </w:rPr>
              <w:t>Data sources/</w:t>
            </w:r>
            <w:bookmarkEnd w:id="31"/>
            <w:bookmarkEnd w:id="32"/>
            <w:bookmarkStart w:id="33" w:name="italic19"/>
            <w:bookmarkStart w:id="34" w:name="bold18"/>
            <w:r>
              <w:rPr>
                <w:bCs/>
                <w:sz w:val="20"/>
              </w:rPr>
              <w:t xml:space="preserve"> measurement</w:t>
            </w:r>
            <w:bookmarkEnd w:id="33"/>
            <w:bookmarkEnd w:id="34"/>
          </w:p>
        </w:tc>
        <w:tc>
          <w:tcPr>
            <w:tcW w:w="616" w:type="dxa"/>
          </w:tcPr>
          <w:p>
            <w:pPr>
              <w:tabs>
                <w:tab w:val="left" w:pos="5400"/>
              </w:tabs>
              <w:jc w:val="center"/>
              <w:rPr>
                <w:sz w:val="20"/>
              </w:rPr>
            </w:pPr>
            <w:r>
              <w:rPr>
                <w:sz w:val="20"/>
              </w:rPr>
              <w:t>8</w:t>
            </w:r>
            <w:bookmarkStart w:id="35" w:name="bold19"/>
            <w:r>
              <w:rPr>
                <w:bCs/>
                <w:sz w:val="20"/>
              </w:rPr>
              <w:t>*</w:t>
            </w:r>
            <w:bookmarkEnd w:id="35"/>
          </w:p>
        </w:tc>
        <w:tc>
          <w:tcPr>
            <w:tcW w:w="8031" w:type="dxa"/>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559" w:type="dxa"/>
          </w:tcPr>
          <w:p>
            <w:pPr>
              <w:tabs>
                <w:tab w:val="left" w:pos="5400"/>
              </w:tabs>
              <w:jc w:val="center"/>
              <w:rPr>
                <w:rFonts w:hint="eastAsia" w:eastAsia="宋体"/>
                <w:i/>
                <w:sz w:val="20"/>
                <w:lang w:val="en-US" w:eastAsia="zh-CN"/>
              </w:rPr>
            </w:pPr>
            <w:r>
              <w:rPr>
                <w:rFonts w:hint="eastAsia" w:eastAsia="宋体"/>
                <w:i/>
                <w:sz w:val="20"/>
                <w:lang w:val="en-US" w:eastAsia="zh-CN"/>
              </w:rPr>
              <w:t>5</w:t>
            </w:r>
          </w:p>
        </w:tc>
        <w:tc>
          <w:tcPr>
            <w:tcW w:w="2835" w:type="dxa"/>
          </w:tcPr>
          <w:p>
            <w:pPr>
              <w:tabs>
                <w:tab w:val="left" w:pos="5400"/>
              </w:tabs>
              <w:rPr>
                <w:rFonts w:hint="eastAsia" w:eastAsia="宋体"/>
                <w:i/>
                <w:sz w:val="20"/>
                <w:lang w:val="en-US" w:eastAsia="zh-CN"/>
              </w:rPr>
            </w:pPr>
            <w:r>
              <w:rPr>
                <w:rFonts w:hint="eastAsia"/>
                <w:i/>
                <w:sz w:val="20"/>
              </w:rPr>
              <w:t>There were 139 (39.60%) female patients and 212 (60.40%) male patients among the 351 study subjects; 238 (67.81%) patients aged ≥ 60 years old among the 351 study subjects; other clinical data on the subjects are described in Table 1. There was no statistically significant disparity observed in the clinical data between the development group and the validation group, as indicated by a P-value greater than 0.05, indicating homogeneity between the two groups</w:t>
            </w:r>
            <w:r>
              <w:rPr>
                <w:rFonts w:hint="eastAsia" w:eastAsia="宋体"/>
                <w:i/>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color w:val="000000"/>
                <w:sz w:val="20"/>
              </w:rPr>
            </w:pPr>
            <w:bookmarkStart w:id="36" w:name="italic20" w:colFirst="0" w:colLast="0"/>
            <w:bookmarkStart w:id="37" w:name="bold20" w:colFirst="0" w:colLast="0"/>
            <w:r>
              <w:rPr>
                <w:bCs/>
                <w:color w:val="000000"/>
                <w:sz w:val="20"/>
              </w:rPr>
              <w:t>Bias</w:t>
            </w:r>
          </w:p>
        </w:tc>
        <w:tc>
          <w:tcPr>
            <w:tcW w:w="616" w:type="dxa"/>
          </w:tcPr>
          <w:p>
            <w:pPr>
              <w:tabs>
                <w:tab w:val="left" w:pos="5400"/>
              </w:tabs>
              <w:jc w:val="center"/>
              <w:rPr>
                <w:sz w:val="20"/>
              </w:rPr>
            </w:pPr>
            <w:r>
              <w:rPr>
                <w:sz w:val="20"/>
              </w:rPr>
              <w:t>9</w:t>
            </w:r>
          </w:p>
        </w:tc>
        <w:tc>
          <w:tcPr>
            <w:tcW w:w="8031" w:type="dxa"/>
          </w:tcPr>
          <w:p>
            <w:pPr>
              <w:tabs>
                <w:tab w:val="left" w:pos="5400"/>
              </w:tabs>
              <w:rPr>
                <w:color w:val="000000"/>
                <w:sz w:val="20"/>
              </w:rPr>
            </w:pPr>
            <w:r>
              <w:rPr>
                <w:color w:val="000000"/>
                <w:sz w:val="20"/>
              </w:rPr>
              <w:t>Describe any efforts to address potential sources of bias</w:t>
            </w:r>
          </w:p>
        </w:tc>
        <w:tc>
          <w:tcPr>
            <w:tcW w:w="1559" w:type="dxa"/>
          </w:tcPr>
          <w:p>
            <w:pPr>
              <w:tabs>
                <w:tab w:val="left" w:pos="5400"/>
              </w:tabs>
              <w:jc w:val="center"/>
              <w:rPr>
                <w:rFonts w:hint="eastAsia" w:eastAsia="宋体"/>
                <w:color w:val="000000"/>
                <w:sz w:val="20"/>
                <w:lang w:val="en-US" w:eastAsia="zh-CN"/>
              </w:rPr>
            </w:pPr>
            <w:r>
              <w:rPr>
                <w:rFonts w:hint="eastAsia" w:eastAsia="宋体"/>
                <w:color w:val="000000"/>
                <w:sz w:val="20"/>
                <w:lang w:val="en-US" w:eastAsia="zh-CN"/>
              </w:rPr>
              <w:t>4</w:t>
            </w:r>
          </w:p>
        </w:tc>
        <w:tc>
          <w:tcPr>
            <w:tcW w:w="2835" w:type="dxa"/>
          </w:tcPr>
          <w:p>
            <w:pPr>
              <w:tabs>
                <w:tab w:val="left" w:pos="5400"/>
              </w:tabs>
              <w:rPr>
                <w:rFonts w:hint="default" w:eastAsia="宋体"/>
                <w:color w:val="000000"/>
                <w:sz w:val="20"/>
                <w:lang w:val="en-US" w:eastAsia="zh-CN"/>
              </w:rPr>
            </w:pPr>
            <w:r>
              <w:rPr>
                <w:rFonts w:hint="eastAsia"/>
                <w:color w:val="000000"/>
                <w:sz w:val="20"/>
              </w:rPr>
              <w:t>Patients with missing clinical data</w:t>
            </w:r>
            <w:r>
              <w:rPr>
                <w:rFonts w:hint="eastAsia" w:eastAsia="宋体"/>
                <w:color w:val="000000"/>
                <w:sz w:val="20"/>
                <w:lang w:val="en-US" w:eastAsia="zh-CN"/>
              </w:rPr>
              <w:t xml:space="preserve"> were excluded.</w:t>
            </w:r>
          </w:p>
        </w:tc>
      </w:tr>
      <w:bookmarkEnd w:id="36"/>
      <w:bookmarkEnd w:id="3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38" w:name="italic21" w:colFirst="0" w:colLast="0"/>
            <w:bookmarkStart w:id="39" w:name="bold21" w:colFirst="0" w:colLast="0"/>
            <w:r>
              <w:rPr>
                <w:bCs/>
                <w:sz w:val="20"/>
              </w:rPr>
              <w:t>Study size</w:t>
            </w:r>
          </w:p>
        </w:tc>
        <w:tc>
          <w:tcPr>
            <w:tcW w:w="616" w:type="dxa"/>
          </w:tcPr>
          <w:p>
            <w:pPr>
              <w:tabs>
                <w:tab w:val="left" w:pos="5400"/>
              </w:tabs>
              <w:jc w:val="center"/>
              <w:rPr>
                <w:sz w:val="20"/>
              </w:rPr>
            </w:pPr>
            <w:r>
              <w:rPr>
                <w:sz w:val="20"/>
              </w:rPr>
              <w:t>10</w:t>
            </w:r>
          </w:p>
        </w:tc>
        <w:tc>
          <w:tcPr>
            <w:tcW w:w="8031" w:type="dxa"/>
          </w:tcPr>
          <w:p>
            <w:pPr>
              <w:tabs>
                <w:tab w:val="left" w:pos="5400"/>
              </w:tabs>
              <w:rPr>
                <w:sz w:val="20"/>
              </w:rPr>
            </w:pPr>
            <w:r>
              <w:rPr>
                <w:sz w:val="20"/>
              </w:rPr>
              <w:t>Explain how the study size was arrived at</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4</w:t>
            </w:r>
          </w:p>
        </w:tc>
        <w:tc>
          <w:tcPr>
            <w:tcW w:w="2835" w:type="dxa"/>
          </w:tcPr>
          <w:p>
            <w:pPr>
              <w:tabs>
                <w:tab w:val="left" w:pos="5400"/>
              </w:tabs>
              <w:rPr>
                <w:sz w:val="20"/>
              </w:rPr>
            </w:pPr>
            <w:r>
              <w:rPr>
                <w:rFonts w:hint="default"/>
                <w:sz w:val="20"/>
                <w:lang w:val="en-US" w:eastAsia="zh-CN"/>
              </w:rPr>
              <w:t>The study subjects consisted of 351 patients with CHD who were admitted to the Department of Cardiology of a tertiary hospital in Anhui Province, China from February 2021 to January 2022 and received statin treatment, as identified in a retrospective cohort study.</w:t>
            </w:r>
          </w:p>
        </w:tc>
      </w:tr>
      <w:bookmarkEnd w:id="38"/>
      <w:bookmarkEnd w:id="39"/>
    </w:tbl>
    <w:p>
      <w:bookmarkStart w:id="40" w:name="bold22"/>
      <w:bookmarkStart w:id="41" w:name="italic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pPr>
              <w:tabs>
                <w:tab w:val="left" w:pos="5400"/>
              </w:tabs>
              <w:rPr>
                <w:bCs/>
                <w:sz w:val="20"/>
              </w:rPr>
            </w:pPr>
            <w:r>
              <w:rPr>
                <w:bCs/>
                <w:sz w:val="20"/>
              </w:rPr>
              <w:t>Quantitative</w:t>
            </w:r>
            <w:bookmarkEnd w:id="40"/>
            <w:bookmarkEnd w:id="41"/>
            <w:bookmarkStart w:id="42" w:name="italic23"/>
            <w:bookmarkStart w:id="43" w:name="bold23"/>
            <w:r>
              <w:rPr>
                <w:bCs/>
                <w:sz w:val="20"/>
              </w:rPr>
              <w:t xml:space="preserve"> variables</w:t>
            </w:r>
            <w:bookmarkEnd w:id="42"/>
            <w:bookmarkEnd w:id="43"/>
          </w:p>
        </w:tc>
        <w:tc>
          <w:tcPr>
            <w:tcW w:w="749" w:type="dxa"/>
          </w:tcPr>
          <w:p>
            <w:pPr>
              <w:tabs>
                <w:tab w:val="left" w:pos="5400"/>
              </w:tabs>
              <w:jc w:val="center"/>
              <w:rPr>
                <w:sz w:val="20"/>
              </w:rPr>
            </w:pPr>
            <w:r>
              <w:rPr>
                <w:sz w:val="20"/>
              </w:rPr>
              <w:t>11</w:t>
            </w:r>
          </w:p>
        </w:tc>
        <w:tc>
          <w:tcPr>
            <w:tcW w:w="8328" w:type="dxa"/>
          </w:tcPr>
          <w:p>
            <w:pPr>
              <w:tabs>
                <w:tab w:val="left" w:pos="5400"/>
              </w:tabs>
              <w:rPr>
                <w:sz w:val="20"/>
              </w:rPr>
            </w:pPr>
            <w:r>
              <w:rPr>
                <w:sz w:val="20"/>
              </w:rPr>
              <w:t>Explain how quantitative variables were handled in the analyses. If applicable, describe which groupings were chosen and why</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r>
              <w:rPr>
                <w:rFonts w:hint="default"/>
                <w:sz w:val="20"/>
              </w:rPr>
              <w:t xml:space="preserve"> To compare the counting data between the two groups, the unadjusted Pearson Chi-square test was employed.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749" w:type="dxa"/>
            <w:vMerge w:val="restart"/>
          </w:tcPr>
          <w:p>
            <w:pPr>
              <w:tabs>
                <w:tab w:val="left" w:pos="5400"/>
              </w:tabs>
              <w:jc w:val="center"/>
              <w:rPr>
                <w:sz w:val="20"/>
              </w:rPr>
            </w:pPr>
            <w:r>
              <w:rPr>
                <w:sz w:val="20"/>
              </w:rPr>
              <w:t>12</w:t>
            </w:r>
          </w:p>
        </w:tc>
        <w:tc>
          <w:tcPr>
            <w:tcW w:w="8328" w:type="dxa"/>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r>
              <w:rPr>
                <w:rFonts w:hint="default"/>
                <w:sz w:val="20"/>
              </w:rPr>
              <w:t xml:space="preserve">Logistic regression was utilized to analyze the risk factors associated with ADR.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6" w:name="bold24" w:colFirst="0" w:colLast="0"/>
            <w:bookmarkStart w:id="47" w:name="italic26"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Describe any methods used to examine subgroups and interactions</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Not applicable</w:t>
            </w:r>
          </w:p>
        </w:tc>
        <w:tc>
          <w:tcPr>
            <w:tcW w:w="3118" w:type="dxa"/>
          </w:tcPr>
          <w:p>
            <w:pPr>
              <w:tabs>
                <w:tab w:val="left" w:pos="5400"/>
              </w:tabs>
              <w:jc w:val="center"/>
              <w:rPr>
                <w:sz w:val="20"/>
              </w:rPr>
            </w:pPr>
            <w:r>
              <w:rPr>
                <w:rFonts w:hint="eastAsia" w:eastAsia="宋体"/>
                <w:sz w:val="20"/>
                <w:lang w:val="en-US" w:eastAsia="zh-CN"/>
              </w:rPr>
              <w:t>Not applicable</w:t>
            </w:r>
          </w:p>
        </w:tc>
      </w:tr>
      <w:bookmarkEnd w:id="46"/>
      <w:bookmarkEnd w:id="4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8" w:name="bold25" w:colFirst="0" w:colLast="0"/>
            <w:bookmarkStart w:id="49" w:name="italic27"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Explain how missing data were addressed</w:t>
            </w:r>
          </w:p>
        </w:tc>
        <w:tc>
          <w:tcPr>
            <w:tcW w:w="1276" w:type="dxa"/>
          </w:tcPr>
          <w:p>
            <w:pPr>
              <w:tabs>
                <w:tab w:val="left" w:pos="5400"/>
              </w:tabs>
              <w:jc w:val="center"/>
              <w:rPr>
                <w:sz w:val="20"/>
              </w:rPr>
            </w:pPr>
            <w:r>
              <w:rPr>
                <w:rFonts w:hint="eastAsia" w:eastAsia="宋体"/>
                <w:sz w:val="20"/>
                <w:lang w:val="en-US" w:eastAsia="zh-CN"/>
              </w:rPr>
              <w:t>4</w:t>
            </w:r>
          </w:p>
        </w:tc>
        <w:tc>
          <w:tcPr>
            <w:tcW w:w="3118" w:type="dxa"/>
          </w:tcPr>
          <w:p>
            <w:pPr>
              <w:tabs>
                <w:tab w:val="left" w:pos="5400"/>
              </w:tabs>
              <w:rPr>
                <w:sz w:val="20"/>
              </w:rPr>
            </w:pPr>
            <w:r>
              <w:rPr>
                <w:rFonts w:hint="eastAsia"/>
                <w:color w:val="000000"/>
                <w:sz w:val="20"/>
              </w:rPr>
              <w:t>Patients with missing clinical data</w:t>
            </w:r>
            <w:r>
              <w:rPr>
                <w:rFonts w:hint="eastAsia" w:eastAsia="宋体"/>
                <w:color w:val="000000"/>
                <w:sz w:val="20"/>
                <w:lang w:val="en-US" w:eastAsia="zh-CN"/>
              </w:rPr>
              <w:t xml:space="preserve"> were excluded.</w:t>
            </w:r>
          </w:p>
        </w:tc>
      </w:tr>
      <w:bookmarkEnd w:id="48"/>
      <w:bookmarkEnd w:id="4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0" w:name="italic28" w:colFirst="0" w:colLast="0"/>
            <w:bookmarkStart w:id="51" w:name="bold26"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pPr>
              <w:tabs>
                <w:tab w:val="left" w:pos="5400"/>
              </w:tabs>
              <w:rPr>
                <w:sz w:val="20"/>
              </w:rPr>
            </w:pPr>
            <w:r>
              <w:rPr>
                <w:bCs/>
                <w:i/>
                <w:sz w:val="20"/>
              </w:rPr>
              <w:t>Case-control study</w:t>
            </w:r>
            <w:r>
              <w:rPr>
                <w:sz w:val="20"/>
              </w:rPr>
              <w:t>—If applicable, explain how matching of cases and controls was addressed</w:t>
            </w:r>
          </w:p>
          <w:p>
            <w:pPr>
              <w:tabs>
                <w:tab w:val="left" w:pos="5400"/>
              </w:tabs>
              <w:rPr>
                <w:sz w:val="20"/>
              </w:rPr>
            </w:pPr>
            <w:r>
              <w:rPr>
                <w:bCs/>
                <w:i/>
                <w:sz w:val="20"/>
              </w:rPr>
              <w:t>Cross-sectional study</w:t>
            </w:r>
            <w:r>
              <w:rPr>
                <w:sz w:val="20"/>
              </w:rPr>
              <w:t>—If applicable, describe analytical methods taking account of sampling strategy</w:t>
            </w:r>
          </w:p>
        </w:tc>
        <w:tc>
          <w:tcPr>
            <w:tcW w:w="1276" w:type="dxa"/>
          </w:tcPr>
          <w:p>
            <w:pPr>
              <w:tabs>
                <w:tab w:val="left" w:pos="5400"/>
              </w:tabs>
              <w:jc w:val="center"/>
              <w:rPr>
                <w:rFonts w:hint="default" w:eastAsia="宋体"/>
                <w:sz w:val="20"/>
                <w:lang w:val="en-US" w:eastAsia="zh-CN"/>
              </w:rPr>
            </w:pPr>
            <w:r>
              <w:rPr>
                <w:rFonts w:hint="eastAsia" w:eastAsia="宋体"/>
                <w:sz w:val="20"/>
                <w:lang w:val="en-US" w:eastAsia="zh-CN"/>
              </w:rPr>
              <w:t>4</w:t>
            </w:r>
          </w:p>
        </w:tc>
        <w:tc>
          <w:tcPr>
            <w:tcW w:w="3118" w:type="dxa"/>
          </w:tcPr>
          <w:p>
            <w:pPr>
              <w:tabs>
                <w:tab w:val="left" w:pos="5400"/>
              </w:tabs>
              <w:rPr>
                <w:sz w:val="20"/>
              </w:rPr>
            </w:pPr>
            <w:r>
              <w:rPr>
                <w:rFonts w:hint="eastAsia"/>
                <w:sz w:val="20"/>
                <w:lang w:val="en-US" w:eastAsia="zh-CN"/>
              </w:rPr>
              <w:t>The patients were categorized into two groups, namely the ADR group (consisting of 85 cases) and the non-ADR group (comprising 266 cases), based on their experience of adverse drug reactions following the administration of statins during hospital.</w:t>
            </w:r>
          </w:p>
        </w:tc>
      </w:tr>
      <w:bookmarkEnd w:id="50"/>
      <w:bookmarkEnd w:id="5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2" w:name="italic29" w:colFirst="0" w:colLast="0"/>
            <w:bookmarkStart w:id="53" w:name="bold27"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u w:val="single"/>
              </w:rPr>
              <w:t>e</w:t>
            </w:r>
            <w:r>
              <w:rPr>
                <w:sz w:val="20"/>
              </w:rPr>
              <w:t>) Describe any sensitivity analyses</w:t>
            </w:r>
          </w:p>
        </w:tc>
        <w:tc>
          <w:tcPr>
            <w:tcW w:w="1276" w:type="dxa"/>
          </w:tcPr>
          <w:p>
            <w:pPr>
              <w:tabs>
                <w:tab w:val="left" w:pos="5400"/>
              </w:tabs>
              <w:rPr>
                <w:sz w:val="20"/>
              </w:rPr>
            </w:pPr>
            <w:r>
              <w:rPr>
                <w:rFonts w:hint="eastAsia" w:eastAsia="宋体"/>
                <w:sz w:val="20"/>
                <w:lang w:val="en-US" w:eastAsia="zh-CN"/>
              </w:rPr>
              <w:t>Not applicable</w:t>
            </w:r>
          </w:p>
        </w:tc>
        <w:tc>
          <w:tcPr>
            <w:tcW w:w="3118" w:type="dxa"/>
          </w:tcPr>
          <w:p>
            <w:pPr>
              <w:tabs>
                <w:tab w:val="left" w:pos="5400"/>
              </w:tabs>
              <w:jc w:val="center"/>
              <w:rPr>
                <w:sz w:val="20"/>
              </w:rPr>
            </w:pPr>
            <w:r>
              <w:rPr>
                <w:rFonts w:hint="eastAsia" w:eastAsia="宋体"/>
                <w:sz w:val="20"/>
                <w:lang w:val="en-US" w:eastAsia="zh-CN"/>
              </w:rPr>
              <w:t>Not applicable</w:t>
            </w:r>
          </w:p>
        </w:tc>
      </w:tr>
      <w:bookmarkEnd w:id="52"/>
      <w:bookmarkEnd w:id="53"/>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8"/>
              <w:tabs>
                <w:tab w:val="left" w:pos="5400"/>
              </w:tabs>
              <w:rPr>
                <w:sz w:val="20"/>
              </w:rPr>
            </w:pPr>
            <w:r>
              <w:rPr>
                <w:sz w:val="20"/>
              </w:rPr>
              <w:t>Results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4" w:name="bold29"/>
            <w:bookmarkStart w:id="55" w:name="italic31"/>
            <w:r>
              <w:rPr>
                <w:bCs/>
                <w:sz w:val="20"/>
              </w:rPr>
              <w:t>Participants</w:t>
            </w:r>
            <w:bookmarkEnd w:id="54"/>
            <w:bookmarkEnd w:id="55"/>
          </w:p>
        </w:tc>
        <w:tc>
          <w:tcPr>
            <w:tcW w:w="0" w:type="auto"/>
            <w:vMerge w:val="restart"/>
          </w:tcPr>
          <w:p>
            <w:pPr>
              <w:tabs>
                <w:tab w:val="left" w:pos="5400"/>
              </w:tabs>
              <w:jc w:val="center"/>
              <w:rPr>
                <w:sz w:val="20"/>
              </w:rPr>
            </w:pPr>
            <w:r>
              <w:rPr>
                <w:sz w:val="20"/>
              </w:rPr>
              <w:t>13</w:t>
            </w:r>
            <w:bookmarkStart w:id="56" w:name="bold30"/>
            <w:r>
              <w:rPr>
                <w:bCs/>
                <w:sz w:val="20"/>
              </w:rPr>
              <w:t>*</w:t>
            </w:r>
            <w:bookmarkEnd w:id="56"/>
          </w:p>
        </w:tc>
        <w:tc>
          <w:tcPr>
            <w:tcW w:w="8328" w:type="dxa"/>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Not applicable</w:t>
            </w:r>
          </w:p>
        </w:tc>
        <w:tc>
          <w:tcPr>
            <w:tcW w:w="3118" w:type="dxa"/>
          </w:tcPr>
          <w:p>
            <w:pPr>
              <w:tabs>
                <w:tab w:val="left" w:pos="5400"/>
              </w:tabs>
              <w:jc w:val="center"/>
              <w:rPr>
                <w:sz w:val="20"/>
              </w:rPr>
            </w:pPr>
            <w:r>
              <w:rPr>
                <w:rFonts w:hint="eastAsia" w:eastAsia="宋体"/>
                <w:sz w:val="20"/>
                <w:lang w:val="en-US" w:eastAsia="zh-CN"/>
              </w:rPr>
              <w:t>Not applicable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7" w:name="italic32" w:colFirst="0" w:colLast="0"/>
            <w:bookmarkStart w:id="58" w:name="bold31"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Give reasons for non-participation at each stage</w:t>
            </w:r>
          </w:p>
        </w:tc>
        <w:tc>
          <w:tcPr>
            <w:tcW w:w="1276" w:type="dxa"/>
          </w:tcPr>
          <w:p>
            <w:pPr>
              <w:tabs>
                <w:tab w:val="left" w:pos="5400"/>
              </w:tabs>
              <w:rPr>
                <w:sz w:val="20"/>
              </w:rPr>
            </w:pPr>
            <w:r>
              <w:rPr>
                <w:rFonts w:hint="eastAsia" w:eastAsia="宋体"/>
                <w:sz w:val="20"/>
                <w:lang w:val="en-US" w:eastAsia="zh-CN"/>
              </w:rPr>
              <w:t>Not applicable</w:t>
            </w:r>
          </w:p>
        </w:tc>
        <w:tc>
          <w:tcPr>
            <w:tcW w:w="3118" w:type="dxa"/>
          </w:tcPr>
          <w:p>
            <w:pPr>
              <w:tabs>
                <w:tab w:val="left" w:pos="5400"/>
              </w:tabs>
              <w:jc w:val="center"/>
              <w:rPr>
                <w:sz w:val="20"/>
              </w:rPr>
            </w:pPr>
            <w:r>
              <w:rPr>
                <w:rFonts w:hint="eastAsia" w:eastAsia="宋体"/>
                <w:sz w:val="20"/>
                <w:lang w:val="en-US" w:eastAsia="zh-CN"/>
              </w:rPr>
              <w:t>Not applicable</w:t>
            </w:r>
          </w:p>
        </w:tc>
      </w:tr>
      <w:bookmarkEnd w:id="57"/>
      <w:bookmarkEnd w:id="5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9" w:name="italic33" w:colFirst="0" w:colLast="0"/>
            <w:bookmarkStart w:id="60" w:name="bold3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bookmarkStart w:id="61" w:name="OLE_LINK4"/>
            <w:r>
              <w:rPr>
                <w:sz w:val="20"/>
              </w:rPr>
              <w:t>(c) Consider use of a flow diagram</w:t>
            </w:r>
            <w:bookmarkEnd w:id="61"/>
          </w:p>
        </w:tc>
        <w:tc>
          <w:tcPr>
            <w:tcW w:w="1276" w:type="dxa"/>
          </w:tcPr>
          <w:p>
            <w:pPr>
              <w:tabs>
                <w:tab w:val="left" w:pos="5400"/>
              </w:tabs>
              <w:rPr>
                <w:sz w:val="20"/>
              </w:rPr>
            </w:pPr>
            <w:r>
              <w:rPr>
                <w:rFonts w:hint="eastAsia" w:eastAsia="宋体"/>
                <w:sz w:val="20"/>
                <w:lang w:val="en-US" w:eastAsia="zh-CN"/>
              </w:rPr>
              <w:t>Not applicable</w:t>
            </w:r>
          </w:p>
        </w:tc>
        <w:tc>
          <w:tcPr>
            <w:tcW w:w="3118" w:type="dxa"/>
          </w:tcPr>
          <w:p>
            <w:pPr>
              <w:tabs>
                <w:tab w:val="left" w:pos="5400"/>
              </w:tabs>
              <w:jc w:val="center"/>
              <w:rPr>
                <w:sz w:val="20"/>
              </w:rPr>
            </w:pPr>
            <w:r>
              <w:rPr>
                <w:rFonts w:hint="eastAsia" w:eastAsia="宋体"/>
                <w:sz w:val="20"/>
                <w:lang w:val="en-US" w:eastAsia="zh-CN"/>
              </w:rPr>
              <w:t>Not applicable</w:t>
            </w:r>
          </w:p>
        </w:tc>
      </w:tr>
      <w:bookmarkEnd w:id="59"/>
      <w:bookmarkEnd w:id="6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2" w:name="italic34"/>
            <w:bookmarkStart w:id="63" w:name="bold33"/>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pPr>
              <w:tabs>
                <w:tab w:val="left" w:pos="5400"/>
              </w:tabs>
              <w:jc w:val="center"/>
              <w:rPr>
                <w:sz w:val="20"/>
              </w:rPr>
            </w:pPr>
            <w:r>
              <w:rPr>
                <w:sz w:val="20"/>
              </w:rPr>
              <w:t>14</w:t>
            </w:r>
            <w:bookmarkStart w:id="66" w:name="bold35"/>
            <w:r>
              <w:rPr>
                <w:bCs/>
                <w:sz w:val="20"/>
              </w:rPr>
              <w:t>*</w:t>
            </w:r>
            <w:bookmarkEnd w:id="66"/>
          </w:p>
        </w:tc>
        <w:tc>
          <w:tcPr>
            <w:tcW w:w="8328" w:type="dxa"/>
          </w:tcPr>
          <w:p>
            <w:pPr>
              <w:tabs>
                <w:tab w:val="left" w:pos="5400"/>
              </w:tabs>
              <w:rPr>
                <w:sz w:val="20"/>
              </w:rPr>
            </w:pPr>
            <w:r>
              <w:rPr>
                <w:sz w:val="20"/>
              </w:rPr>
              <w:t>(a) Give characteristics of study participants (eg demographic, clinical, social) and information on exposures and potential confounders</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r>
              <w:rPr>
                <w:rFonts w:hint="default"/>
                <w:sz w:val="20"/>
                <w:lang w:val="en-US" w:eastAsia="zh-CN"/>
              </w:rPr>
              <w:t>Among the 351 study subjects, 85 patients (24.22%) experienced ADR</w:t>
            </w:r>
            <w:r>
              <w:rPr>
                <w:rFonts w:hint="eastAsia"/>
                <w:sz w:val="20"/>
                <w:lang w:val="en-US" w:eastAsia="zh-CN"/>
              </w:rPr>
              <w:t xml:space="preserve"> after taking statins</w:t>
            </w:r>
            <w:r>
              <w:rPr>
                <w:rFonts w:hint="default"/>
                <w:sz w:val="20"/>
                <w:lang w:val="en-US" w:eastAsia="zh-CN"/>
              </w:rPr>
              <w:t xml:space="preserve">, with 152 </w:t>
            </w:r>
            <w:r>
              <w:rPr>
                <w:rFonts w:hint="eastAsia"/>
                <w:sz w:val="20"/>
                <w:lang w:val="en-US" w:eastAsia="zh-CN"/>
              </w:rPr>
              <w:t>ADR</w:t>
            </w:r>
            <w:r>
              <w:rPr>
                <w:rFonts w:hint="default"/>
                <w:sz w:val="20"/>
                <w:lang w:val="en-US" w:eastAsia="zh-CN"/>
              </w:rPr>
              <w:t xml:space="preserve"> events. According to the location of </w:t>
            </w:r>
            <w:r>
              <w:rPr>
                <w:rFonts w:hint="eastAsia"/>
                <w:sz w:val="20"/>
                <w:lang w:val="en-US" w:eastAsia="zh-CN"/>
              </w:rPr>
              <w:t>ADR</w:t>
            </w:r>
            <w:r>
              <w:rPr>
                <w:rFonts w:hint="default"/>
                <w:sz w:val="20"/>
                <w:lang w:val="en-US" w:eastAsia="zh-CN"/>
              </w:rPr>
              <w:t xml:space="preserve">, </w:t>
            </w:r>
            <w:r>
              <w:rPr>
                <w:rFonts w:hint="eastAsia"/>
                <w:sz w:val="20"/>
                <w:lang w:val="en-US" w:eastAsia="zh-CN"/>
              </w:rPr>
              <w:t>The events</w:t>
            </w:r>
            <w:r>
              <w:rPr>
                <w:rFonts w:hint="default"/>
                <w:sz w:val="20"/>
                <w:lang w:val="en-US" w:eastAsia="zh-CN"/>
              </w:rPr>
              <w:t xml:space="preserve"> were classified into three categories: muscle toxicity, liver and kidney dysfunction, and gastrointestinal reactions. </w:t>
            </w:r>
            <w:r>
              <w:rPr>
                <w:rFonts w:hint="eastAsia"/>
                <w:sz w:val="20"/>
                <w:lang w:val="en-US" w:eastAsia="zh-CN"/>
              </w:rPr>
              <w:t>T</w:t>
            </w:r>
            <w:r>
              <w:rPr>
                <w:rFonts w:hint="default"/>
                <w:sz w:val="20"/>
                <w:lang w:val="en-US" w:eastAsia="zh-CN"/>
              </w:rPr>
              <w:t>here are three kinds of statins</w:t>
            </w:r>
            <w:r>
              <w:rPr>
                <w:rFonts w:hint="eastAsia"/>
                <w:sz w:val="20"/>
                <w:lang w:val="en-US" w:eastAsia="zh-CN"/>
              </w:rPr>
              <w:t xml:space="preserve"> that were taken a</w:t>
            </w:r>
            <w:r>
              <w:rPr>
                <w:rFonts w:hint="default"/>
                <w:sz w:val="20"/>
                <w:lang w:val="en-US" w:eastAsia="zh-CN"/>
              </w:rPr>
              <w:t>mong the</w:t>
            </w:r>
            <w:r>
              <w:rPr>
                <w:rFonts w:hint="eastAsia"/>
                <w:sz w:val="20"/>
                <w:lang w:val="en-US" w:eastAsia="zh-CN"/>
              </w:rPr>
              <w:t xml:space="preserve"> 85 patients</w:t>
            </w:r>
            <w:r>
              <w:rPr>
                <w:rFonts w:hint="default"/>
                <w:sz w:val="20"/>
                <w:lang w:val="en-US" w:eastAsia="zh-CN"/>
              </w:rPr>
              <w:t>: Simvastatin in 20 cases, Atorvastatin in 28 cases, and Rosuvastatin in 37 cases.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7" w:name="bold36" w:colFirst="0" w:colLast="0"/>
            <w:bookmarkStart w:id="68" w:name="italic36"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Indicate number of participants with missing data for each variable of interest</w:t>
            </w:r>
          </w:p>
        </w:tc>
        <w:tc>
          <w:tcPr>
            <w:tcW w:w="1276" w:type="dxa"/>
          </w:tcPr>
          <w:p>
            <w:pPr>
              <w:tabs>
                <w:tab w:val="left" w:pos="5400"/>
              </w:tabs>
              <w:rPr>
                <w:sz w:val="20"/>
              </w:rPr>
            </w:pPr>
            <w:r>
              <w:rPr>
                <w:rFonts w:hint="eastAsia" w:eastAsia="宋体"/>
                <w:sz w:val="20"/>
                <w:lang w:val="en-US" w:eastAsia="zh-CN"/>
              </w:rPr>
              <w:t>Not applicable</w:t>
            </w:r>
          </w:p>
        </w:tc>
        <w:tc>
          <w:tcPr>
            <w:tcW w:w="3118" w:type="dxa"/>
          </w:tcPr>
          <w:p>
            <w:pPr>
              <w:tabs>
                <w:tab w:val="left" w:pos="5400"/>
              </w:tabs>
              <w:rPr>
                <w:sz w:val="20"/>
              </w:rPr>
            </w:pPr>
            <w:r>
              <w:rPr>
                <w:rFonts w:hint="eastAsia" w:eastAsia="宋体"/>
                <w:sz w:val="20"/>
                <w:lang w:val="en-US" w:eastAsia="zh-CN"/>
              </w:rPr>
              <w:t>Not applicable</w:t>
            </w:r>
          </w:p>
        </w:tc>
      </w:tr>
      <w:bookmarkEnd w:id="67"/>
      <w:bookmarkEnd w:id="6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9" w:name="italic37" w:colFirst="0" w:colLast="0"/>
            <w:bookmarkStart w:id="70" w:name="bold37"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pPr>
              <w:tabs>
                <w:tab w:val="left" w:pos="5400"/>
              </w:tabs>
              <w:rPr>
                <w:sz w:val="20"/>
              </w:rPr>
            </w:pPr>
            <w:r>
              <w:rPr>
                <w:rFonts w:hint="eastAsia" w:eastAsia="宋体"/>
                <w:sz w:val="20"/>
                <w:lang w:val="en-US" w:eastAsia="zh-CN"/>
              </w:rPr>
              <w:t>Not applicable</w:t>
            </w:r>
          </w:p>
        </w:tc>
        <w:tc>
          <w:tcPr>
            <w:tcW w:w="3118" w:type="dxa"/>
          </w:tcPr>
          <w:p>
            <w:pPr>
              <w:tabs>
                <w:tab w:val="left" w:pos="5400"/>
              </w:tabs>
              <w:rPr>
                <w:sz w:val="20"/>
              </w:rPr>
            </w:pPr>
            <w:r>
              <w:rPr>
                <w:rFonts w:hint="eastAsia" w:eastAsia="宋体"/>
                <w:sz w:val="20"/>
                <w:lang w:val="en-US" w:eastAsia="zh-CN"/>
              </w:rPr>
              <w:t>Not applicable</w:t>
            </w:r>
          </w:p>
        </w:tc>
      </w:tr>
      <w:bookmarkEnd w:id="69"/>
      <w:bookmarkEnd w:id="7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pPr>
              <w:tabs>
                <w:tab w:val="left" w:pos="5400"/>
              </w:tabs>
              <w:rPr>
                <w:bCs/>
                <w:sz w:val="20"/>
              </w:rPr>
            </w:pPr>
            <w:bookmarkStart w:id="71" w:name="italic38" w:colFirst="0" w:colLast="0"/>
            <w:bookmarkStart w:id="72" w:name="bold38" w:colFirst="0" w:colLast="0"/>
            <w:r>
              <w:rPr>
                <w:bCs/>
                <w:sz w:val="20"/>
              </w:rPr>
              <w:t>Outcome data</w:t>
            </w:r>
          </w:p>
        </w:tc>
        <w:tc>
          <w:tcPr>
            <w:tcW w:w="0" w:type="auto"/>
            <w:vMerge w:val="restart"/>
          </w:tcPr>
          <w:p>
            <w:pPr>
              <w:tabs>
                <w:tab w:val="left" w:pos="5400"/>
              </w:tabs>
              <w:jc w:val="center"/>
              <w:rPr>
                <w:sz w:val="20"/>
              </w:rPr>
            </w:pPr>
            <w:r>
              <w:rPr>
                <w:sz w:val="20"/>
              </w:rPr>
              <w:t>15</w:t>
            </w:r>
            <w:bookmarkStart w:id="73" w:name="bold39"/>
            <w:r>
              <w:rPr>
                <w:bCs/>
                <w:sz w:val="20"/>
              </w:rPr>
              <w:t>*</w:t>
            </w:r>
            <w:bookmarkEnd w:id="73"/>
          </w:p>
        </w:tc>
        <w:tc>
          <w:tcPr>
            <w:tcW w:w="8328" w:type="dxa"/>
          </w:tcPr>
          <w:p>
            <w:pPr>
              <w:tabs>
                <w:tab w:val="left" w:pos="5400"/>
              </w:tabs>
              <w:rPr>
                <w:sz w:val="20"/>
              </w:rPr>
            </w:pPr>
            <w:r>
              <w:rPr>
                <w:i/>
                <w:sz w:val="20"/>
              </w:rPr>
              <w:t>Cohort study</w:t>
            </w:r>
            <w:r>
              <w:rPr>
                <w:sz w:val="20"/>
              </w:rPr>
              <w:t>—Report numbers of outcome events or summary measures over time</w:t>
            </w:r>
          </w:p>
        </w:tc>
        <w:tc>
          <w:tcPr>
            <w:tcW w:w="1276" w:type="dxa"/>
          </w:tcPr>
          <w:p>
            <w:pPr>
              <w:tabs>
                <w:tab w:val="left" w:pos="5400"/>
              </w:tabs>
              <w:jc w:val="center"/>
              <w:rPr>
                <w:rFonts w:hint="eastAsia" w:eastAsia="宋体"/>
                <w:i/>
                <w:sz w:val="20"/>
                <w:lang w:val="en-US" w:eastAsia="zh-CN"/>
              </w:rPr>
            </w:pPr>
            <w:r>
              <w:rPr>
                <w:rFonts w:hint="eastAsia" w:eastAsia="宋体"/>
                <w:i/>
                <w:sz w:val="20"/>
                <w:lang w:val="en-US" w:eastAsia="zh-CN"/>
              </w:rPr>
              <w:t>5</w:t>
            </w:r>
          </w:p>
        </w:tc>
        <w:tc>
          <w:tcPr>
            <w:tcW w:w="3118" w:type="dxa"/>
          </w:tcPr>
          <w:p>
            <w:pPr>
              <w:tabs>
                <w:tab w:val="left" w:pos="5400"/>
              </w:tabs>
              <w:rPr>
                <w:i/>
                <w:sz w:val="20"/>
              </w:rPr>
            </w:pPr>
            <w:r>
              <w:rPr>
                <w:rFonts w:hint="eastAsia"/>
                <w:i/>
                <w:sz w:val="20"/>
              </w:rPr>
              <w:t xml:space="preserve">Among the 351 study subjects, 85 patients (24.22%) experienced ADR after taking statins, with 152 ADR events.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Case-control study—</w:t>
            </w:r>
            <w:r>
              <w:rPr>
                <w:sz w:val="20"/>
              </w:rPr>
              <w:t>Report numbers in each exposure category, or summary measures of exposure</w:t>
            </w:r>
          </w:p>
        </w:tc>
        <w:tc>
          <w:tcPr>
            <w:tcW w:w="1276" w:type="dxa"/>
          </w:tcPr>
          <w:p>
            <w:pPr>
              <w:tabs>
                <w:tab w:val="left" w:pos="5400"/>
              </w:tabs>
              <w:rPr>
                <w:i/>
                <w:sz w:val="20"/>
              </w:rPr>
            </w:pPr>
          </w:p>
        </w:tc>
        <w:tc>
          <w:tcPr>
            <w:tcW w:w="3118"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Cross-sectional study—</w:t>
            </w:r>
            <w:r>
              <w:rPr>
                <w:sz w:val="20"/>
              </w:rPr>
              <w:t>Report numbers of outcome events or summary measures</w:t>
            </w:r>
          </w:p>
        </w:tc>
        <w:tc>
          <w:tcPr>
            <w:tcW w:w="1276" w:type="dxa"/>
          </w:tcPr>
          <w:p>
            <w:pPr>
              <w:tabs>
                <w:tab w:val="left" w:pos="5400"/>
              </w:tabs>
              <w:rPr>
                <w:i/>
                <w:sz w:val="20"/>
              </w:rPr>
            </w:pPr>
          </w:p>
        </w:tc>
        <w:tc>
          <w:tcPr>
            <w:tcW w:w="3118" w:type="dxa"/>
          </w:tcPr>
          <w:p>
            <w:pPr>
              <w:tabs>
                <w:tab w:val="left" w:pos="5400"/>
              </w:tabs>
              <w:rPr>
                <w:i/>
                <w:sz w:val="20"/>
              </w:rPr>
            </w:pPr>
          </w:p>
        </w:tc>
      </w:tr>
      <w:bookmarkEnd w:id="71"/>
      <w:bookmarkEnd w:id="7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4" w:name="italic40" w:colFirst="0" w:colLast="0"/>
            <w:bookmarkStart w:id="75" w:name="bold41" w:colFirst="0" w:colLast="0"/>
            <w:r>
              <w:rPr>
                <w:bCs/>
                <w:sz w:val="20"/>
              </w:rPr>
              <w:t>Main results</w:t>
            </w:r>
          </w:p>
        </w:tc>
        <w:tc>
          <w:tcPr>
            <w:tcW w:w="0" w:type="auto"/>
            <w:vMerge w:val="restart"/>
          </w:tcPr>
          <w:p>
            <w:pPr>
              <w:tabs>
                <w:tab w:val="left" w:pos="5400"/>
              </w:tabs>
              <w:jc w:val="center"/>
              <w:rPr>
                <w:sz w:val="20"/>
              </w:rPr>
            </w:pPr>
            <w:r>
              <w:rPr>
                <w:sz w:val="20"/>
              </w:rPr>
              <w:t>16</w:t>
            </w:r>
          </w:p>
        </w:tc>
        <w:tc>
          <w:tcPr>
            <w:tcW w:w="8328" w:type="dxa"/>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6</w:t>
            </w:r>
          </w:p>
        </w:tc>
        <w:tc>
          <w:tcPr>
            <w:tcW w:w="3118" w:type="dxa"/>
          </w:tcPr>
          <w:p>
            <w:pPr>
              <w:tabs>
                <w:tab w:val="left" w:pos="5400"/>
              </w:tabs>
              <w:rPr>
                <w:sz w:val="20"/>
              </w:rPr>
            </w:pPr>
            <w:r>
              <w:rPr>
                <w:rFonts w:hint="default"/>
                <w:sz w:val="20"/>
                <w:lang w:val="en-US" w:eastAsia="zh-CN"/>
              </w:rPr>
              <w:t xml:space="preserve">The findings from the univariate and multivariate logistic regression analysis conducted on the development group revealed that: age ≥ 60 years, body mass index ≥ 23kg/m2, course of disease ≥ 5 years, basic disease type ≥ 3, Dyslipidemia, history of cerebral infarction, high-dose use, combined </w:t>
            </w:r>
            <w:r>
              <w:rPr>
                <w:rFonts w:hint="eastAsia"/>
                <w:sz w:val="20"/>
                <w:lang w:val="en-US" w:eastAsia="zh-CN"/>
              </w:rPr>
              <w:t>medication were</w:t>
            </w:r>
            <w:r>
              <w:rPr>
                <w:rFonts w:hint="default"/>
                <w:sz w:val="20"/>
                <w:lang w:val="en-US" w:eastAsia="zh-CN"/>
              </w:rPr>
              <w:t xml:space="preserve"> independent risk factors for </w:t>
            </w:r>
            <w:r>
              <w:rPr>
                <w:rFonts w:hint="eastAsia"/>
                <w:sz w:val="20"/>
                <w:lang w:val="en-US" w:eastAsia="zh-CN"/>
              </w:rPr>
              <w:t>ADR after taking statins</w:t>
            </w:r>
            <w:r>
              <w:rPr>
                <w:rFonts w:hint="default"/>
                <w:sz w:val="20"/>
                <w:lang w:val="en-US" w:eastAsia="zh-CN"/>
              </w:rPr>
              <w:t xml:space="preserve"> in patients with </w:t>
            </w:r>
            <w:r>
              <w:rPr>
                <w:rFonts w:hint="eastAsia"/>
                <w:sz w:val="20"/>
                <w:lang w:val="en-US" w:eastAsia="zh-CN"/>
              </w:rPr>
              <w:t>CHD</w:t>
            </w:r>
            <w:r>
              <w:rPr>
                <w:rFonts w:hint="default"/>
                <w:sz w:val="20"/>
                <w:lang w:val="en-US" w:eastAsia="zh-CN"/>
              </w:rPr>
              <w:t xml:space="preserve"> (P&lt;0.05), as shown in Table </w:t>
            </w:r>
            <w:r>
              <w:rPr>
                <w:rFonts w:hint="eastAsia"/>
                <w:sz w:val="20"/>
                <w:lang w:val="en-US" w:eastAsia="zh-CN"/>
              </w:rPr>
              <w:t>2.</w:t>
            </w:r>
          </w:p>
        </w:tc>
      </w:tr>
      <w:bookmarkEnd w:id="74"/>
      <w:bookmarkEnd w:id="75"/>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6" w:name="italic41" w:colFirst="0" w:colLast="0"/>
            <w:bookmarkStart w:id="77" w:name="bold4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pPr>
              <w:tabs>
                <w:tab w:val="left" w:pos="5400"/>
              </w:tabs>
              <w:rPr>
                <w:sz w:val="20"/>
              </w:rPr>
            </w:pPr>
            <w:r>
              <w:rPr>
                <w:rFonts w:hint="eastAsia" w:eastAsia="宋体"/>
                <w:sz w:val="20"/>
                <w:lang w:val="en-US" w:eastAsia="zh-CN"/>
              </w:rPr>
              <w:t>Not applicable</w:t>
            </w:r>
          </w:p>
        </w:tc>
        <w:tc>
          <w:tcPr>
            <w:tcW w:w="3118" w:type="dxa"/>
          </w:tcPr>
          <w:p>
            <w:pPr>
              <w:tabs>
                <w:tab w:val="left" w:pos="5400"/>
              </w:tabs>
              <w:rPr>
                <w:sz w:val="20"/>
              </w:rPr>
            </w:pPr>
            <w:r>
              <w:rPr>
                <w:rFonts w:hint="eastAsia" w:eastAsia="宋体"/>
                <w:sz w:val="20"/>
                <w:lang w:val="en-US" w:eastAsia="zh-CN"/>
              </w:rPr>
              <w:t>Not applicable</w:t>
            </w:r>
          </w:p>
        </w:tc>
      </w:tr>
      <w:bookmarkEnd w:id="76"/>
      <w:bookmarkEnd w:id="7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8" w:name="bold43" w:colFirst="0" w:colLast="0"/>
            <w:bookmarkStart w:id="79" w:name="italic4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pPr>
              <w:tabs>
                <w:tab w:val="left" w:pos="5400"/>
              </w:tabs>
              <w:rPr>
                <w:sz w:val="20"/>
              </w:rPr>
            </w:pPr>
            <w:r>
              <w:rPr>
                <w:rFonts w:hint="eastAsia" w:eastAsia="宋体"/>
                <w:sz w:val="20"/>
                <w:lang w:val="en-US" w:eastAsia="zh-CN"/>
              </w:rPr>
              <w:t>Not applicable</w:t>
            </w:r>
          </w:p>
        </w:tc>
        <w:tc>
          <w:tcPr>
            <w:tcW w:w="3118" w:type="dxa"/>
          </w:tcPr>
          <w:p>
            <w:pPr>
              <w:tabs>
                <w:tab w:val="left" w:pos="5400"/>
              </w:tabs>
              <w:rPr>
                <w:sz w:val="20"/>
              </w:rPr>
            </w:pPr>
            <w:r>
              <w:rPr>
                <w:rFonts w:hint="eastAsia" w:eastAsia="宋体"/>
                <w:sz w:val="20"/>
                <w:lang w:val="en-US" w:eastAsia="zh-CN"/>
              </w:rPr>
              <w:t>Not applicable</w:t>
            </w:r>
          </w:p>
        </w:tc>
      </w:tr>
      <w:bookmarkEnd w:id="78"/>
      <w:bookmarkEnd w:id="79"/>
    </w:tbl>
    <w:p>
      <w:bookmarkStart w:id="80" w:name="bold44"/>
      <w:bookmarkStart w:id="81" w:name="italic43"/>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r>
              <w:rPr>
                <w:bCs/>
                <w:sz w:val="20"/>
              </w:rPr>
              <w:t>Other analyses</w:t>
            </w:r>
            <w:bookmarkEnd w:id="80"/>
            <w:bookmarkEnd w:id="81"/>
          </w:p>
        </w:tc>
        <w:tc>
          <w:tcPr>
            <w:tcW w:w="0" w:type="auto"/>
          </w:tcPr>
          <w:p>
            <w:pPr>
              <w:tabs>
                <w:tab w:val="left" w:pos="5400"/>
              </w:tabs>
              <w:jc w:val="center"/>
              <w:rPr>
                <w:sz w:val="20"/>
              </w:rPr>
            </w:pPr>
            <w:r>
              <w:rPr>
                <w:sz w:val="20"/>
              </w:rPr>
              <w:t>17</w:t>
            </w:r>
          </w:p>
        </w:tc>
        <w:tc>
          <w:tcPr>
            <w:tcW w:w="8687" w:type="dxa"/>
          </w:tcPr>
          <w:p>
            <w:pPr>
              <w:tabs>
                <w:tab w:val="left" w:pos="5400"/>
              </w:tabs>
              <w:rPr>
                <w:sz w:val="20"/>
              </w:rPr>
            </w:pPr>
            <w:r>
              <w:rPr>
                <w:sz w:val="20"/>
              </w:rPr>
              <w:t>Report other analyses done—eg analyses of subgroups and interactions, and sensitivity analyses</w:t>
            </w:r>
          </w:p>
        </w:tc>
        <w:tc>
          <w:tcPr>
            <w:tcW w:w="1265" w:type="dxa"/>
          </w:tcPr>
          <w:p>
            <w:pPr>
              <w:tabs>
                <w:tab w:val="left" w:pos="5400"/>
              </w:tabs>
              <w:rPr>
                <w:sz w:val="20"/>
              </w:rPr>
            </w:pPr>
            <w:r>
              <w:rPr>
                <w:rFonts w:hint="eastAsia" w:eastAsia="宋体"/>
                <w:sz w:val="20"/>
                <w:lang w:val="en-US" w:eastAsia="zh-CN"/>
              </w:rPr>
              <w:t>Not applicable</w:t>
            </w:r>
          </w:p>
        </w:tc>
        <w:tc>
          <w:tcPr>
            <w:tcW w:w="3129" w:type="dxa"/>
          </w:tcPr>
          <w:p>
            <w:pPr>
              <w:tabs>
                <w:tab w:val="left" w:pos="5400"/>
              </w:tabs>
              <w:rPr>
                <w:sz w:val="20"/>
              </w:rPr>
            </w:pPr>
            <w:r>
              <w:rPr>
                <w:rFonts w:hint="eastAsia" w:eastAsia="宋体"/>
                <w:sz w:val="20"/>
                <w:lang w:val="en-US" w:eastAsia="zh-CN"/>
              </w:rPr>
              <w:t>Not applicable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8"/>
              <w:tabs>
                <w:tab w:val="left" w:pos="5400"/>
              </w:tabs>
              <w:rPr>
                <w:sz w:val="20"/>
              </w:rPr>
            </w:pPr>
            <w:bookmarkStart w:id="82" w:name="italic44"/>
            <w:bookmarkStart w:id="83" w:name="bold45"/>
            <w:r>
              <w:rPr>
                <w:sz w:val="20"/>
              </w:rPr>
              <w:t>Discussion</w:t>
            </w:r>
            <w:bookmarkEnd w:id="82"/>
            <w:bookmarkEnd w:id="83"/>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4" w:name="italic45" w:colFirst="0" w:colLast="0"/>
            <w:bookmarkStart w:id="85" w:name="bold46" w:colFirst="0" w:colLast="0"/>
            <w:r>
              <w:rPr>
                <w:bCs/>
                <w:sz w:val="20"/>
              </w:rPr>
              <w:t>Key results</w:t>
            </w:r>
          </w:p>
        </w:tc>
        <w:tc>
          <w:tcPr>
            <w:tcW w:w="0" w:type="auto"/>
          </w:tcPr>
          <w:p>
            <w:pPr>
              <w:tabs>
                <w:tab w:val="left" w:pos="5400"/>
              </w:tabs>
              <w:jc w:val="center"/>
              <w:rPr>
                <w:sz w:val="20"/>
              </w:rPr>
            </w:pPr>
            <w:r>
              <w:rPr>
                <w:sz w:val="20"/>
              </w:rPr>
              <w:t>18</w:t>
            </w:r>
          </w:p>
        </w:tc>
        <w:tc>
          <w:tcPr>
            <w:tcW w:w="8687" w:type="dxa"/>
          </w:tcPr>
          <w:p>
            <w:pPr>
              <w:tabs>
                <w:tab w:val="left" w:pos="5400"/>
              </w:tabs>
              <w:rPr>
                <w:sz w:val="20"/>
              </w:rPr>
            </w:pPr>
            <w:r>
              <w:rPr>
                <w:sz w:val="20"/>
              </w:rPr>
              <w:t>Summarise key results with reference to study objectives</w:t>
            </w:r>
          </w:p>
        </w:tc>
        <w:tc>
          <w:tcPr>
            <w:tcW w:w="1265" w:type="dxa"/>
          </w:tcPr>
          <w:p>
            <w:pPr>
              <w:tabs>
                <w:tab w:val="left" w:pos="5400"/>
              </w:tabs>
              <w:jc w:val="center"/>
              <w:rPr>
                <w:rFonts w:hint="eastAsia" w:eastAsia="宋体"/>
                <w:sz w:val="20"/>
                <w:lang w:val="en-US" w:eastAsia="zh-CN"/>
              </w:rPr>
            </w:pPr>
            <w:r>
              <w:rPr>
                <w:rFonts w:hint="eastAsia" w:eastAsia="宋体"/>
                <w:sz w:val="20"/>
                <w:lang w:val="en-US" w:eastAsia="zh-CN"/>
              </w:rPr>
              <w:t>8</w:t>
            </w:r>
          </w:p>
        </w:tc>
        <w:tc>
          <w:tcPr>
            <w:tcW w:w="3129" w:type="dxa"/>
          </w:tcPr>
          <w:p>
            <w:pPr>
              <w:tabs>
                <w:tab w:val="left" w:pos="5400"/>
              </w:tabs>
              <w:rPr>
                <w:sz w:val="20"/>
              </w:rPr>
            </w:pPr>
            <w:r>
              <w:rPr>
                <w:rFonts w:hint="default"/>
                <w:sz w:val="20"/>
              </w:rPr>
              <w:t xml:space="preserve">In this study, there were 85 patients who experienced </w:t>
            </w:r>
            <w:r>
              <w:rPr>
                <w:rFonts w:hint="eastAsia"/>
                <w:sz w:val="20"/>
                <w:lang w:val="en-US" w:eastAsia="zh-CN"/>
              </w:rPr>
              <w:t>ADR</w:t>
            </w:r>
            <w:r>
              <w:rPr>
                <w:rFonts w:hint="default"/>
                <w:sz w:val="20"/>
              </w:rPr>
              <w:t xml:space="preserve"> due to the use of statins, with 152 </w:t>
            </w:r>
            <w:r>
              <w:rPr>
                <w:rFonts w:hint="eastAsia"/>
                <w:sz w:val="20"/>
                <w:lang w:val="en-US" w:eastAsia="zh-CN"/>
              </w:rPr>
              <w:t>ADR</w:t>
            </w:r>
            <w:r>
              <w:rPr>
                <w:rFonts w:hint="default"/>
                <w:sz w:val="20"/>
              </w:rPr>
              <w:t xml:space="preserve"> events occu</w:t>
            </w:r>
            <w:r>
              <w:rPr>
                <w:rFonts w:hint="eastAsia"/>
                <w:sz w:val="20"/>
                <w:lang w:val="en-US" w:eastAsia="zh-CN"/>
              </w:rPr>
              <w:t>r</w:t>
            </w:r>
            <w:r>
              <w:rPr>
                <w:rFonts w:hint="default"/>
                <w:sz w:val="20"/>
              </w:rPr>
              <w:t>r</w:t>
            </w:r>
            <w:r>
              <w:rPr>
                <w:rFonts w:hint="eastAsia"/>
                <w:sz w:val="20"/>
                <w:lang w:val="en-US" w:eastAsia="zh-CN"/>
              </w:rPr>
              <w:t>ed</w:t>
            </w:r>
            <w:r>
              <w:rPr>
                <w:rFonts w:hint="default"/>
                <w:sz w:val="20"/>
              </w:rPr>
              <w:t xml:space="preserve">. </w:t>
            </w:r>
            <w:r>
              <w:rPr>
                <w:rFonts w:hint="default"/>
                <w:sz w:val="20"/>
              </w:rPr>
              <w:br w:type="textWrapping"/>
            </w:r>
            <w:r>
              <w:rPr>
                <w:rFonts w:hint="default"/>
                <w:sz w:val="20"/>
              </w:rPr>
              <w:t xml:space="preserve">The results of this study showed that the independent risk factors for </w:t>
            </w:r>
            <w:r>
              <w:rPr>
                <w:rFonts w:hint="eastAsia"/>
                <w:sz w:val="20"/>
                <w:lang w:eastAsia="zh-CN"/>
              </w:rPr>
              <w:t>ADR</w:t>
            </w:r>
            <w:r>
              <w:rPr>
                <w:rFonts w:hint="default"/>
                <w:sz w:val="20"/>
              </w:rPr>
              <w:t xml:space="preserve"> </w:t>
            </w:r>
            <w:r>
              <w:rPr>
                <w:rFonts w:hint="eastAsia"/>
                <w:sz w:val="20"/>
                <w:lang w:val="en-US" w:eastAsia="zh-CN"/>
              </w:rPr>
              <w:t>after taking</w:t>
            </w:r>
            <w:r>
              <w:rPr>
                <w:rFonts w:hint="default"/>
                <w:sz w:val="20"/>
              </w:rPr>
              <w:t xml:space="preserve"> statins in patients with </w:t>
            </w:r>
            <w:r>
              <w:rPr>
                <w:rFonts w:hint="eastAsia"/>
                <w:sz w:val="20"/>
                <w:lang w:eastAsia="zh-CN"/>
              </w:rPr>
              <w:t>CHD</w:t>
            </w:r>
            <w:r>
              <w:rPr>
                <w:rFonts w:hint="default"/>
                <w:sz w:val="20"/>
              </w:rPr>
              <w:t xml:space="preserve"> were age ≥ 60 years, basic disease type ≥ 3, history of cerebral infarction, high-dose use, combined medication, body mass index ≥ 23kg/m</w:t>
            </w:r>
            <w:r>
              <w:rPr>
                <w:rFonts w:hint="default"/>
                <w:sz w:val="20"/>
                <w:vertAlign w:val="superscript"/>
              </w:rPr>
              <w:t>2</w:t>
            </w:r>
            <w:r>
              <w:rPr>
                <w:rFonts w:hint="default"/>
                <w:sz w:val="20"/>
              </w:rPr>
              <w:t xml:space="preserve">, course of disease ≥ 5 years, and </w:t>
            </w:r>
            <w:r>
              <w:rPr>
                <w:rFonts w:hint="eastAsia"/>
                <w:sz w:val="20"/>
                <w:lang w:val="en-US" w:eastAsia="zh-CN"/>
              </w:rPr>
              <w:t>d</w:t>
            </w:r>
            <w:r>
              <w:rPr>
                <w:rFonts w:hint="default"/>
                <w:sz w:val="20"/>
              </w:rPr>
              <w:t xml:space="preserve">yslipidemia (P&lt;0.05). </w:t>
            </w:r>
          </w:p>
        </w:tc>
      </w:tr>
      <w:bookmarkEnd w:id="84"/>
      <w:bookmarkEnd w:id="85"/>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6" w:name="italic46" w:colFirst="0" w:colLast="0"/>
            <w:bookmarkStart w:id="87" w:name="bold47" w:colFirst="0" w:colLast="0"/>
            <w:r>
              <w:rPr>
                <w:bCs/>
                <w:sz w:val="20"/>
              </w:rPr>
              <w:t>Limitations</w:t>
            </w:r>
          </w:p>
        </w:tc>
        <w:tc>
          <w:tcPr>
            <w:tcW w:w="0" w:type="auto"/>
          </w:tcPr>
          <w:p>
            <w:pPr>
              <w:tabs>
                <w:tab w:val="left" w:pos="5400"/>
              </w:tabs>
              <w:jc w:val="center"/>
              <w:rPr>
                <w:sz w:val="20"/>
              </w:rPr>
            </w:pPr>
            <w:r>
              <w:rPr>
                <w:sz w:val="20"/>
              </w:rPr>
              <w:t>19</w:t>
            </w:r>
          </w:p>
        </w:tc>
        <w:tc>
          <w:tcPr>
            <w:tcW w:w="8687" w:type="dxa"/>
          </w:tcPr>
          <w:p>
            <w:pPr>
              <w:tabs>
                <w:tab w:val="left" w:pos="5400"/>
              </w:tabs>
              <w:rPr>
                <w:sz w:val="20"/>
              </w:rPr>
            </w:pPr>
            <w:r>
              <w:rPr>
                <w:sz w:val="20"/>
              </w:rPr>
              <w:t>Discuss limitations of the study, taking into account sources of potential bias or imprecision. Discuss both direction and magnitude of any potential bias</w:t>
            </w:r>
          </w:p>
        </w:tc>
        <w:tc>
          <w:tcPr>
            <w:tcW w:w="1265" w:type="dxa"/>
          </w:tcPr>
          <w:p>
            <w:pPr>
              <w:tabs>
                <w:tab w:val="left" w:pos="5400"/>
              </w:tabs>
              <w:jc w:val="center"/>
              <w:rPr>
                <w:rFonts w:hint="default" w:eastAsia="宋体"/>
                <w:sz w:val="20"/>
                <w:lang w:val="en-US" w:eastAsia="zh-CN"/>
              </w:rPr>
            </w:pPr>
            <w:r>
              <w:rPr>
                <w:rFonts w:hint="eastAsia" w:eastAsia="宋体"/>
                <w:sz w:val="20"/>
                <w:lang w:val="en-US" w:eastAsia="zh-CN"/>
              </w:rPr>
              <w:t>10</w:t>
            </w:r>
          </w:p>
        </w:tc>
        <w:tc>
          <w:tcPr>
            <w:tcW w:w="3129" w:type="dxa"/>
          </w:tcPr>
          <w:p>
            <w:pPr>
              <w:tabs>
                <w:tab w:val="left" w:pos="5400"/>
              </w:tabs>
              <w:rPr>
                <w:sz w:val="20"/>
              </w:rPr>
            </w:pPr>
            <w:r>
              <w:rPr>
                <w:rFonts w:hint="eastAsia"/>
                <w:sz w:val="20"/>
              </w:rPr>
              <w:t>This study possesses certain limitations. Firstly, it retrospectively examined the risk factors associated with the incidence of adverse drug reactions (ADRs) in patients with coronary heart disease (CHD) following statin usage, and subsequently developed a predictive model based on these findings. However, the study's sample size was small, the number of included indicators was limited, and certain patients were excluded due to incomplete data, potentially introducing bias into the research outcomes. Secondly, both the development group and validation group in this study were derived from the same dataset, thereby relying on relatively singular data sources. If sample data from different time periods or research centers can be added as external validation sets for out-of-phase or multi-center validation, the effectiveness of the model can be further improved.33 Therefore, it is particularly necessary to conduct prospective validation studies with multiple centers, large samples, and more predictive factors in the future.</w:t>
            </w:r>
          </w:p>
        </w:tc>
      </w:tr>
      <w:bookmarkEnd w:id="86"/>
      <w:bookmarkEnd w:id="8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8" w:name="bold48" w:colFirst="0" w:colLast="0"/>
            <w:bookmarkStart w:id="89" w:name="italic47" w:colFirst="0" w:colLast="0"/>
            <w:r>
              <w:rPr>
                <w:bCs/>
                <w:sz w:val="20"/>
              </w:rPr>
              <w:t>Interpretation</w:t>
            </w:r>
          </w:p>
        </w:tc>
        <w:tc>
          <w:tcPr>
            <w:tcW w:w="0" w:type="auto"/>
          </w:tcPr>
          <w:p>
            <w:pPr>
              <w:tabs>
                <w:tab w:val="left" w:pos="5400"/>
              </w:tabs>
              <w:jc w:val="center"/>
              <w:rPr>
                <w:sz w:val="20"/>
              </w:rPr>
            </w:pPr>
            <w:r>
              <w:rPr>
                <w:sz w:val="20"/>
              </w:rPr>
              <w:t>20</w:t>
            </w:r>
          </w:p>
        </w:tc>
        <w:tc>
          <w:tcPr>
            <w:tcW w:w="8687" w:type="dxa"/>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pPr>
              <w:tabs>
                <w:tab w:val="left" w:pos="5400"/>
              </w:tabs>
              <w:jc w:val="center"/>
              <w:rPr>
                <w:rFonts w:hint="default" w:eastAsia="宋体"/>
                <w:sz w:val="20"/>
                <w:lang w:val="en-US" w:eastAsia="zh-CN"/>
              </w:rPr>
            </w:pPr>
            <w:r>
              <w:rPr>
                <w:rFonts w:hint="eastAsia" w:eastAsia="宋体"/>
                <w:sz w:val="20"/>
                <w:lang w:val="en-US" w:eastAsia="zh-CN"/>
              </w:rPr>
              <w:t>10</w:t>
            </w:r>
          </w:p>
        </w:tc>
        <w:tc>
          <w:tcPr>
            <w:tcW w:w="3129" w:type="dxa"/>
          </w:tcPr>
          <w:p>
            <w:pPr>
              <w:tabs>
                <w:tab w:val="left" w:pos="5400"/>
              </w:tabs>
              <w:rPr>
                <w:sz w:val="20"/>
              </w:rPr>
            </w:pPr>
            <w:r>
              <w:rPr>
                <w:rFonts w:hint="default"/>
                <w:sz w:val="20"/>
                <w:lang w:val="en-US" w:eastAsia="zh-CN"/>
              </w:rPr>
              <w:t xml:space="preserve">The incidence of </w:t>
            </w:r>
            <w:r>
              <w:rPr>
                <w:rFonts w:hint="eastAsia"/>
                <w:sz w:val="20"/>
                <w:lang w:val="en-US" w:eastAsia="zh-CN"/>
              </w:rPr>
              <w:t>ADR</w:t>
            </w:r>
            <w:r>
              <w:rPr>
                <w:rFonts w:hint="default"/>
                <w:sz w:val="20"/>
                <w:lang w:val="en-US" w:eastAsia="zh-CN"/>
              </w:rPr>
              <w:t xml:space="preserve"> in patients with </w:t>
            </w:r>
            <w:r>
              <w:rPr>
                <w:rFonts w:hint="eastAsia"/>
                <w:sz w:val="20"/>
                <w:lang w:val="en-US" w:eastAsia="zh-CN"/>
              </w:rPr>
              <w:t>CHD</w:t>
            </w:r>
            <w:r>
              <w:rPr>
                <w:rFonts w:hint="default"/>
                <w:sz w:val="20"/>
                <w:lang w:val="en-US" w:eastAsia="zh-CN"/>
              </w:rPr>
              <w:t xml:space="preserve"> </w:t>
            </w:r>
            <w:r>
              <w:rPr>
                <w:rFonts w:hint="eastAsia"/>
                <w:sz w:val="20"/>
                <w:lang w:val="en-US" w:eastAsia="zh-CN"/>
              </w:rPr>
              <w:t xml:space="preserve">after taking statins </w:t>
            </w:r>
            <w:r>
              <w:rPr>
                <w:rFonts w:hint="default"/>
                <w:sz w:val="20"/>
                <w:lang w:val="en-US" w:eastAsia="zh-CN"/>
              </w:rPr>
              <w:t xml:space="preserve">in this study is 24.22%. Regarding </w:t>
            </w:r>
            <w:r>
              <w:rPr>
                <w:rFonts w:hint="eastAsia"/>
                <w:sz w:val="20"/>
                <w:lang w:val="en-US" w:eastAsia="zh-CN"/>
              </w:rPr>
              <w:t>ADR events</w:t>
            </w:r>
            <w:r>
              <w:rPr>
                <w:rFonts w:hint="default"/>
                <w:sz w:val="20"/>
                <w:lang w:val="en-US" w:eastAsia="zh-CN"/>
              </w:rPr>
              <w:t xml:space="preserve"> such as muscle toxicity, liver and kidney dysfunction, and gastrointestinal reactions, medical staff should pay attention to prevention and pay more attention. At the same time, based on the eight independent risk factors of age ≥ 60</w:t>
            </w:r>
            <w:r>
              <w:rPr>
                <w:rFonts w:hint="eastAsia"/>
                <w:sz w:val="20"/>
                <w:lang w:val="en-US" w:eastAsia="zh-CN"/>
              </w:rPr>
              <w:t xml:space="preserve"> years old</w:t>
            </w:r>
            <w:r>
              <w:rPr>
                <w:rFonts w:hint="default"/>
                <w:sz w:val="20"/>
                <w:lang w:val="en-US" w:eastAsia="zh-CN"/>
              </w:rPr>
              <w:t xml:space="preserve">, body mass index ≥ 23kg/m2, course of disease ≥ 5 years, basic disease type ≥ 3, </w:t>
            </w:r>
            <w:r>
              <w:rPr>
                <w:rFonts w:hint="eastAsia"/>
                <w:sz w:val="20"/>
                <w:lang w:val="en-US" w:eastAsia="zh-CN"/>
              </w:rPr>
              <w:t>d</w:t>
            </w:r>
            <w:r>
              <w:rPr>
                <w:rFonts w:hint="default"/>
                <w:sz w:val="20"/>
                <w:lang w:val="en-US" w:eastAsia="zh-CN"/>
              </w:rPr>
              <w:t xml:space="preserve">yslipidemia, history of cerebral infarction, high-dose use, and </w:t>
            </w:r>
            <w:r>
              <w:rPr>
                <w:rFonts w:hint="eastAsia"/>
                <w:sz w:val="20"/>
                <w:lang w:val="en-US" w:eastAsia="zh-CN"/>
              </w:rPr>
              <w:t>combined medication</w:t>
            </w:r>
            <w:r>
              <w:rPr>
                <w:rFonts w:hint="default"/>
                <w:sz w:val="20"/>
                <w:lang w:val="en-US" w:eastAsia="zh-CN"/>
              </w:rPr>
              <w:t xml:space="preserve">, this study constructed a personalized risk prediction model for the </w:t>
            </w:r>
            <w:r>
              <w:rPr>
                <w:rFonts w:hint="eastAsia"/>
                <w:sz w:val="20"/>
                <w:lang w:val="en-US" w:eastAsia="zh-CN"/>
              </w:rPr>
              <w:t>risk</w:t>
            </w:r>
            <w:r>
              <w:rPr>
                <w:rFonts w:hint="default"/>
                <w:sz w:val="20"/>
                <w:lang w:val="en-US" w:eastAsia="zh-CN"/>
              </w:rPr>
              <w:t xml:space="preserve"> of ADR, which can screen the </w:t>
            </w:r>
            <w:r>
              <w:rPr>
                <w:rFonts w:hint="eastAsia"/>
                <w:sz w:val="20"/>
                <w:lang w:val="en-US" w:eastAsia="zh-CN"/>
              </w:rPr>
              <w:t>CHD</w:t>
            </w:r>
            <w:r>
              <w:rPr>
                <w:rFonts w:hint="default"/>
                <w:sz w:val="20"/>
                <w:lang w:val="en-US" w:eastAsia="zh-CN"/>
              </w:rPr>
              <w:t xml:space="preserve"> </w:t>
            </w:r>
            <w:r>
              <w:rPr>
                <w:rFonts w:hint="eastAsia"/>
                <w:sz w:val="20"/>
                <w:lang w:val="en-US" w:eastAsia="zh-CN"/>
              </w:rPr>
              <w:t>patients</w:t>
            </w:r>
            <w:r>
              <w:rPr>
                <w:rFonts w:hint="default"/>
                <w:sz w:val="20"/>
                <w:lang w:val="en-US" w:eastAsia="zh-CN"/>
              </w:rPr>
              <w:t xml:space="preserve"> with high risk</w:t>
            </w:r>
            <w:r>
              <w:rPr>
                <w:rFonts w:hint="eastAsia"/>
                <w:sz w:val="20"/>
                <w:lang w:val="en-US" w:eastAsia="zh-CN"/>
              </w:rPr>
              <w:t xml:space="preserve"> of ADR</w:t>
            </w:r>
            <w:r>
              <w:rPr>
                <w:rFonts w:hint="default"/>
                <w:sz w:val="20"/>
                <w:lang w:val="en-US" w:eastAsia="zh-CN"/>
              </w:rPr>
              <w:t xml:space="preserve"> at an early stage, and effectively prevent and intervene against this part of the </w:t>
            </w:r>
            <w:r>
              <w:rPr>
                <w:rFonts w:hint="eastAsia"/>
                <w:sz w:val="20"/>
                <w:lang w:val="en-US" w:eastAsia="zh-CN"/>
              </w:rPr>
              <w:t>patients</w:t>
            </w:r>
            <w:r>
              <w:rPr>
                <w:rFonts w:hint="default"/>
                <w:sz w:val="20"/>
                <w:lang w:val="en-US" w:eastAsia="zh-CN"/>
              </w:rPr>
              <w:t xml:space="preserve">, So as to reduce the incidence of </w:t>
            </w:r>
            <w:r>
              <w:rPr>
                <w:rFonts w:hint="eastAsia"/>
                <w:sz w:val="20"/>
                <w:lang w:val="en-US" w:eastAsia="zh-CN"/>
              </w:rPr>
              <w:t>ADR</w:t>
            </w:r>
            <w:r>
              <w:rPr>
                <w:rFonts w:hint="default"/>
                <w:sz w:val="20"/>
                <w:lang w:val="en-US" w:eastAsia="zh-CN"/>
              </w:rPr>
              <w:t xml:space="preserve"> in patients with </w:t>
            </w:r>
            <w:r>
              <w:rPr>
                <w:rFonts w:hint="eastAsia"/>
                <w:sz w:val="20"/>
                <w:lang w:val="en-US" w:eastAsia="zh-CN"/>
              </w:rPr>
              <w:t>CHD</w:t>
            </w:r>
            <w:r>
              <w:rPr>
                <w:rFonts w:hint="default"/>
                <w:sz w:val="20"/>
                <w:lang w:val="en-US" w:eastAsia="zh-CN"/>
              </w:rPr>
              <w:t xml:space="preserve"> </w:t>
            </w:r>
            <w:r>
              <w:rPr>
                <w:rFonts w:hint="eastAsia"/>
                <w:sz w:val="20"/>
                <w:lang w:val="en-US" w:eastAsia="zh-CN"/>
              </w:rPr>
              <w:t xml:space="preserve">after taking statins </w:t>
            </w:r>
            <w:r>
              <w:rPr>
                <w:rFonts w:hint="default"/>
                <w:sz w:val="20"/>
                <w:lang w:val="en-US" w:eastAsia="zh-CN"/>
              </w:rPr>
              <w:t xml:space="preserve">and improve the prognosis of </w:t>
            </w:r>
            <w:r>
              <w:rPr>
                <w:rFonts w:hint="eastAsia"/>
                <w:sz w:val="20"/>
                <w:lang w:val="en-US" w:eastAsia="zh-CN"/>
              </w:rPr>
              <w:t xml:space="preserve">these </w:t>
            </w:r>
            <w:r>
              <w:rPr>
                <w:rFonts w:hint="default"/>
                <w:sz w:val="20"/>
                <w:lang w:val="en-US" w:eastAsia="zh-CN"/>
              </w:rPr>
              <w:t>patients.</w:t>
            </w:r>
          </w:p>
        </w:tc>
      </w:tr>
      <w:bookmarkEnd w:id="88"/>
      <w:bookmarkEnd w:id="8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0" w:name="bold49" w:colFirst="0" w:colLast="0"/>
            <w:bookmarkStart w:id="91" w:name="italic48" w:colFirst="0" w:colLast="0"/>
            <w:r>
              <w:rPr>
                <w:bCs/>
                <w:sz w:val="20"/>
              </w:rPr>
              <w:t>Generalisability</w:t>
            </w:r>
          </w:p>
        </w:tc>
        <w:tc>
          <w:tcPr>
            <w:tcW w:w="0" w:type="auto"/>
          </w:tcPr>
          <w:p>
            <w:pPr>
              <w:tabs>
                <w:tab w:val="left" w:pos="5400"/>
              </w:tabs>
              <w:jc w:val="center"/>
              <w:rPr>
                <w:sz w:val="20"/>
              </w:rPr>
            </w:pPr>
            <w:r>
              <w:rPr>
                <w:sz w:val="20"/>
              </w:rPr>
              <w:t>21</w:t>
            </w:r>
          </w:p>
        </w:tc>
        <w:tc>
          <w:tcPr>
            <w:tcW w:w="8687" w:type="dxa"/>
          </w:tcPr>
          <w:p>
            <w:pPr>
              <w:tabs>
                <w:tab w:val="left" w:pos="5400"/>
              </w:tabs>
              <w:rPr>
                <w:sz w:val="20"/>
              </w:rPr>
            </w:pPr>
            <w:r>
              <w:rPr>
                <w:sz w:val="20"/>
              </w:rPr>
              <w:t>Discuss the generalisability (external validity) of the study results</w:t>
            </w:r>
          </w:p>
        </w:tc>
        <w:tc>
          <w:tcPr>
            <w:tcW w:w="1265" w:type="dxa"/>
          </w:tcPr>
          <w:p>
            <w:pPr>
              <w:tabs>
                <w:tab w:val="left" w:pos="5400"/>
              </w:tabs>
              <w:jc w:val="center"/>
              <w:rPr>
                <w:rFonts w:hint="eastAsia" w:eastAsia="宋体"/>
                <w:sz w:val="20"/>
                <w:lang w:val="en-US" w:eastAsia="zh-CN"/>
              </w:rPr>
            </w:pPr>
            <w:r>
              <w:rPr>
                <w:rFonts w:hint="eastAsia" w:eastAsia="宋体"/>
                <w:sz w:val="20"/>
                <w:lang w:val="en-US" w:eastAsia="zh-CN"/>
              </w:rPr>
              <w:t>7</w:t>
            </w:r>
          </w:p>
        </w:tc>
        <w:tc>
          <w:tcPr>
            <w:tcW w:w="3129" w:type="dxa"/>
          </w:tcPr>
          <w:p>
            <w:pPr>
              <w:tabs>
                <w:tab w:val="left" w:pos="5400"/>
              </w:tabs>
              <w:rPr>
                <w:sz w:val="20"/>
              </w:rPr>
            </w:pPr>
            <w:r>
              <w:rPr>
                <w:rFonts w:hint="eastAsia"/>
                <w:sz w:val="20"/>
              </w:rPr>
              <w:t>The discrimination of the nomogram model was assessed using the AUC. In the development group, the AUC of the nomogram model was 0.808 (95% CI: 0.751-0.865), while in the validation group, it was 0.852 (95% CI: 0.752-0.951). These results indicate that the nomogram model exhibits favorable discrimination, as depicted in Figure 3. To evaluate the calibration of the nomogram model, the Hosmer-Lemeshow deviation test was employed. The Hosmer-Lemeshow deviation test results for the nomogram model in both the development group and validation group did not yield statistically significant findings (P&gt;0.05). This suggests that the disparity between the predicted probability of the nomogram model and the observed frequency of ADR in patients was not statistically significant, thereby indicating the satisfactory calibration of the nomogram. This is illustrated in Figure 3.</w:t>
            </w:r>
          </w:p>
        </w:tc>
      </w:tr>
      <w:bookmarkEnd w:id="90"/>
      <w:bookmarkEnd w:id="9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pPr>
              <w:pStyle w:val="168"/>
              <w:tabs>
                <w:tab w:val="left" w:pos="5400"/>
              </w:tabs>
              <w:rPr>
                <w:sz w:val="20"/>
              </w:rPr>
            </w:pPr>
            <w:bookmarkStart w:id="92" w:name="italic49"/>
            <w:bookmarkStart w:id="93" w:name="bold50"/>
            <w:r>
              <w:rPr>
                <w:sz w:val="20"/>
              </w:rPr>
              <w:t>Other information</w:t>
            </w:r>
          </w:p>
          <w:bookmarkEnd w:id="92"/>
          <w:bookmarkEnd w:id="93"/>
        </w:tc>
        <w:tc>
          <w:tcPr>
            <w:tcW w:w="13081" w:type="dxa"/>
            <w:gridSpan w:val="3"/>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4" w:name="italic50" w:colFirst="0" w:colLast="0"/>
            <w:bookmarkStart w:id="95" w:name="bold51" w:colFirst="0" w:colLast="0"/>
            <w:r>
              <w:rPr>
                <w:bCs/>
                <w:sz w:val="20"/>
              </w:rPr>
              <w:t>Funding</w:t>
            </w:r>
          </w:p>
        </w:tc>
        <w:tc>
          <w:tcPr>
            <w:tcW w:w="0" w:type="auto"/>
          </w:tcPr>
          <w:p>
            <w:pPr>
              <w:tabs>
                <w:tab w:val="left" w:pos="5400"/>
              </w:tabs>
              <w:jc w:val="center"/>
              <w:rPr>
                <w:sz w:val="20"/>
              </w:rPr>
            </w:pPr>
            <w:r>
              <w:rPr>
                <w:sz w:val="20"/>
              </w:rPr>
              <w:t>22</w:t>
            </w:r>
          </w:p>
        </w:tc>
        <w:tc>
          <w:tcPr>
            <w:tcW w:w="8687" w:type="dxa"/>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pPr>
              <w:tabs>
                <w:tab w:val="left" w:pos="5400"/>
              </w:tabs>
              <w:jc w:val="center"/>
              <w:rPr>
                <w:rFonts w:hint="default" w:eastAsia="宋体"/>
                <w:sz w:val="20"/>
                <w:lang w:val="en-US" w:eastAsia="zh-CN"/>
              </w:rPr>
            </w:pPr>
            <w:r>
              <w:rPr>
                <w:rFonts w:hint="eastAsia" w:eastAsia="宋体"/>
                <w:sz w:val="20"/>
                <w:lang w:val="en-US" w:eastAsia="zh-CN"/>
              </w:rPr>
              <w:t>11</w:t>
            </w:r>
          </w:p>
        </w:tc>
        <w:tc>
          <w:tcPr>
            <w:tcW w:w="3129" w:type="dxa"/>
          </w:tcPr>
          <w:p>
            <w:pPr>
              <w:tabs>
                <w:tab w:val="left" w:pos="5400"/>
              </w:tabs>
              <w:rPr>
                <w:sz w:val="20"/>
              </w:rPr>
            </w:pPr>
            <w:r>
              <w:rPr>
                <w:rFonts w:hint="default"/>
                <w:sz w:val="20"/>
              </w:rPr>
              <w:t xml:space="preserve">This study was funded by </w:t>
            </w:r>
            <w:bookmarkStart w:id="96" w:name="OLE_LINK35"/>
            <w:r>
              <w:rPr>
                <w:rFonts w:hint="default"/>
                <w:sz w:val="20"/>
              </w:rPr>
              <w:t>the University-level undergraduate quality engineering project of China University of Science and Technology in 2022</w:t>
            </w:r>
            <w:bookmarkEnd w:id="96"/>
            <w:r>
              <w:rPr>
                <w:rFonts w:hint="default"/>
                <w:sz w:val="20"/>
              </w:rPr>
              <w:t xml:space="preserve"> (No.:</w:t>
            </w:r>
            <w:bookmarkStart w:id="97" w:name="OLE_LINK36"/>
            <w:r>
              <w:rPr>
                <w:rFonts w:hint="default"/>
                <w:sz w:val="20"/>
              </w:rPr>
              <w:t>2022xjyxm089</w:t>
            </w:r>
            <w:bookmarkEnd w:id="97"/>
            <w:r>
              <w:rPr>
                <w:rFonts w:hint="default"/>
                <w:sz w:val="20"/>
              </w:rPr>
              <w:t>)</w:t>
            </w:r>
            <w:r>
              <w:rPr>
                <w:rFonts w:hint="eastAsia"/>
                <w:sz w:val="20"/>
                <w:lang w:val="en-US" w:eastAsia="zh-CN"/>
              </w:rPr>
              <w:t>.</w:t>
            </w:r>
            <w:bookmarkStart w:id="98" w:name="_GoBack"/>
            <w:bookmarkEnd w:id="98"/>
          </w:p>
        </w:tc>
      </w:tr>
      <w:bookmarkEnd w:id="94"/>
      <w:bookmarkEnd w:id="95"/>
    </w:tbl>
    <w:p>
      <w:pPr>
        <w:pStyle w:val="154"/>
        <w:tabs>
          <w:tab w:val="left" w:pos="5400"/>
        </w:tabs>
        <w:rPr>
          <w:bCs/>
          <w:sz w:val="20"/>
        </w:rPr>
      </w:pPr>
    </w:p>
    <w:p>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pPr>
        <w:pStyle w:val="154"/>
        <w:tabs>
          <w:tab w:val="left" w:pos="5400"/>
        </w:tabs>
        <w:rPr>
          <w:sz w:val="20"/>
        </w:rPr>
      </w:pPr>
    </w:p>
    <w:p>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M2IwNmU4ZTdkNjgyODYwY2RlYmJlYmU2YmZjMWMifQ=="/>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4E6AD4"/>
    <w:rsid w:val="005044A6"/>
    <w:rsid w:val="00517788"/>
    <w:rsid w:val="00590F64"/>
    <w:rsid w:val="005923E5"/>
    <w:rsid w:val="005B567D"/>
    <w:rsid w:val="005D0CFC"/>
    <w:rsid w:val="005D19F4"/>
    <w:rsid w:val="005E6AF3"/>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16C521DF"/>
    <w:rsid w:val="1AF643A9"/>
    <w:rsid w:val="23A9408C"/>
    <w:rsid w:val="345C4B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qFormat="1" w:unhideWhenUsed="0"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qFormat/>
    <w:uiPriority w:val="0"/>
  </w:style>
  <w:style w:type="paragraph" w:styleId="15">
    <w:name w:val="List Bullet 4"/>
    <w:basedOn w:val="1"/>
    <w:uiPriority w:val="0"/>
    <w:pPr>
      <w:numPr>
        <w:ilvl w:val="0"/>
        <w:numId w:val="3"/>
      </w:numPr>
    </w:pPr>
  </w:style>
  <w:style w:type="paragraph" w:styleId="16">
    <w:name w:val="index 8"/>
    <w:basedOn w:val="1"/>
    <w:next w:val="1"/>
    <w:semiHidden/>
    <w:uiPriority w:val="0"/>
    <w:pPr>
      <w:ind w:left="1920" w:hanging="240"/>
    </w:pPr>
  </w:style>
  <w:style w:type="paragraph" w:styleId="17">
    <w:name w:val="E-mail Signature"/>
    <w:basedOn w:val="1"/>
    <w:uiPriority w:val="0"/>
  </w:style>
  <w:style w:type="paragraph" w:styleId="18">
    <w:name w:val="List Number"/>
    <w:basedOn w:val="1"/>
    <w:qFormat/>
    <w:uiPriority w:val="0"/>
    <w:pPr>
      <w:numPr>
        <w:ilvl w:val="0"/>
        <w:numId w:val="4"/>
      </w:numPr>
    </w:pPr>
  </w:style>
  <w:style w:type="paragraph" w:styleId="19">
    <w:name w:val="Normal Indent"/>
    <w:basedOn w:val="1"/>
    <w:qFormat/>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semiHidden/>
    <w:qFormat/>
    <w:uiPriority w:val="0"/>
    <w:pPr>
      <w:ind w:left="1200" w:hanging="240"/>
    </w:pPr>
  </w:style>
  <w:style w:type="paragraph" w:styleId="22">
    <w:name w:val="List Bullet"/>
    <w:basedOn w:val="1"/>
    <w:uiPriority w:val="0"/>
    <w:pPr>
      <w:numPr>
        <w:ilvl w:val="0"/>
        <w:numId w:val="5"/>
      </w:numPr>
      <w:spacing w:line="240" w:lineRule="auto"/>
    </w:pPr>
  </w:style>
  <w:style w:type="paragraph" w:styleId="23">
    <w:name w:val="envelope address"/>
    <w:basedOn w:val="1"/>
    <w:qFormat/>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qFormat/>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semiHidden/>
    <w:uiPriority w:val="0"/>
    <w:pPr>
      <w:ind w:left="1440" w:hanging="240"/>
    </w:pPr>
  </w:style>
  <w:style w:type="paragraph" w:styleId="27">
    <w:name w:val="Salutation"/>
    <w:basedOn w:val="1"/>
    <w:next w:val="1"/>
    <w:uiPriority w:val="0"/>
  </w:style>
  <w:style w:type="paragraph" w:styleId="28">
    <w:name w:val="Body Text 3"/>
    <w:basedOn w:val="1"/>
    <w:qFormat/>
    <w:uiPriority w:val="0"/>
    <w:pPr>
      <w:spacing w:after="120"/>
    </w:pPr>
    <w:rPr>
      <w:sz w:val="16"/>
      <w:szCs w:val="16"/>
    </w:rPr>
  </w:style>
  <w:style w:type="paragraph" w:styleId="29">
    <w:name w:val="Closing"/>
    <w:basedOn w:val="1"/>
    <w:uiPriority w:val="0"/>
    <w:pPr>
      <w:ind w:left="4252"/>
    </w:pPr>
  </w:style>
  <w:style w:type="paragraph" w:styleId="30">
    <w:name w:val="List Bullet 3"/>
    <w:basedOn w:val="1"/>
    <w:qFormat/>
    <w:uiPriority w:val="0"/>
    <w:pPr>
      <w:numPr>
        <w:ilvl w:val="0"/>
        <w:numId w:val="6"/>
      </w:numPr>
    </w:pPr>
  </w:style>
  <w:style w:type="paragraph" w:styleId="31">
    <w:name w:val="Body Text"/>
    <w:basedOn w:val="1"/>
    <w:uiPriority w:val="0"/>
    <w:pPr>
      <w:spacing w:after="120"/>
    </w:pPr>
  </w:style>
  <w:style w:type="paragraph" w:styleId="32">
    <w:name w:val="Body Text Indent"/>
    <w:basedOn w:val="1"/>
    <w:qFormat/>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uiPriority w:val="0"/>
    <w:pPr>
      <w:ind w:left="566" w:hanging="283"/>
    </w:pPr>
  </w:style>
  <w:style w:type="paragraph" w:styleId="35">
    <w:name w:val="List Continue"/>
    <w:basedOn w:val="1"/>
    <w:qFormat/>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qFormat/>
    <w:uiPriority w:val="0"/>
    <w:pPr>
      <w:numPr>
        <w:ilvl w:val="0"/>
        <w:numId w:val="8"/>
      </w:numPr>
    </w:pPr>
  </w:style>
  <w:style w:type="paragraph" w:styleId="38">
    <w:name w:val="HTML Address"/>
    <w:basedOn w:val="1"/>
    <w:qFormat/>
    <w:uiPriority w:val="0"/>
    <w:rPr>
      <w:i/>
      <w:iCs/>
    </w:rPr>
  </w:style>
  <w:style w:type="paragraph" w:styleId="39">
    <w:name w:val="index 4"/>
    <w:basedOn w:val="1"/>
    <w:next w:val="1"/>
    <w:semiHidden/>
    <w:uiPriority w:val="0"/>
    <w:pPr>
      <w:ind w:left="960" w:hanging="240"/>
    </w:pPr>
  </w:style>
  <w:style w:type="paragraph" w:styleId="40">
    <w:name w:val="Plain Text"/>
    <w:basedOn w:val="1"/>
    <w:qFormat/>
    <w:uiPriority w:val="0"/>
    <w:rPr>
      <w:rFonts w:ascii="Courier New" w:hAnsi="Courier New"/>
      <w:sz w:val="20"/>
    </w:rPr>
  </w:style>
  <w:style w:type="paragraph" w:styleId="41">
    <w:name w:val="List Bullet 5"/>
    <w:basedOn w:val="1"/>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semiHidden/>
    <w:uiPriority w:val="0"/>
    <w:pPr>
      <w:ind w:left="720" w:hanging="240"/>
    </w:pPr>
  </w:style>
  <w:style w:type="paragraph" w:styleId="44">
    <w:name w:val="Date"/>
    <w:basedOn w:val="1"/>
    <w:next w:val="1"/>
    <w:qFormat/>
    <w:uiPriority w:val="0"/>
    <w:pPr>
      <w:spacing w:line="240" w:lineRule="auto"/>
    </w:pPr>
  </w:style>
  <w:style w:type="paragraph" w:styleId="45">
    <w:name w:val="Body Text Indent 2"/>
    <w:basedOn w:val="1"/>
    <w:qFormat/>
    <w:uiPriority w:val="0"/>
    <w:pPr>
      <w:spacing w:after="120" w:line="480" w:lineRule="auto"/>
      <w:ind w:left="283"/>
    </w:pPr>
  </w:style>
  <w:style w:type="paragraph" w:styleId="46">
    <w:name w:val="endnote text"/>
    <w:basedOn w:val="1"/>
    <w:semiHidden/>
    <w:uiPriority w:val="0"/>
    <w:pPr>
      <w:spacing w:line="240" w:lineRule="auto"/>
    </w:pPr>
    <w:rPr>
      <w:sz w:val="20"/>
    </w:rPr>
  </w:style>
  <w:style w:type="paragraph" w:styleId="47">
    <w:name w:val="List Continue 5"/>
    <w:basedOn w:val="1"/>
    <w:uiPriority w:val="0"/>
    <w:pPr>
      <w:spacing w:after="120"/>
      <w:ind w:left="1415"/>
    </w:pPr>
  </w:style>
  <w:style w:type="paragraph" w:styleId="48">
    <w:name w:val="Balloon Text"/>
    <w:basedOn w:val="1"/>
    <w:semiHidden/>
    <w:qFormat/>
    <w:uiPriority w:val="0"/>
    <w:rPr>
      <w:rFonts w:ascii="Tahoma" w:hAnsi="Tahoma" w:cs="Tahoma"/>
      <w:sz w:val="16"/>
      <w:szCs w:val="16"/>
    </w:rPr>
  </w:style>
  <w:style w:type="paragraph" w:styleId="49">
    <w:name w:val="footer"/>
    <w:basedOn w:val="1"/>
    <w:qFormat/>
    <w:uiPriority w:val="0"/>
    <w:pPr>
      <w:tabs>
        <w:tab w:val="center" w:pos="4153"/>
        <w:tab w:val="right" w:pos="8306"/>
      </w:tabs>
      <w:spacing w:line="240" w:lineRule="auto"/>
    </w:pPr>
    <w:rPr>
      <w:rFonts w:ascii="Arial" w:hAnsi="Arial"/>
      <w:sz w:val="20"/>
    </w:rPr>
  </w:style>
  <w:style w:type="paragraph" w:styleId="50">
    <w:name w:val="envelope return"/>
    <w:basedOn w:val="1"/>
    <w:uiPriority w:val="0"/>
    <w:rPr>
      <w:rFonts w:ascii="Arial" w:hAnsi="Arial"/>
      <w:sz w:val="20"/>
    </w:rPr>
  </w:style>
  <w:style w:type="paragraph" w:styleId="51">
    <w:name w:val="header"/>
    <w:basedOn w:val="1"/>
    <w:qFormat/>
    <w:uiPriority w:val="0"/>
    <w:pPr>
      <w:tabs>
        <w:tab w:val="center" w:pos="4153"/>
        <w:tab w:val="right" w:pos="8306"/>
      </w:tabs>
      <w:spacing w:line="240" w:lineRule="auto"/>
    </w:pPr>
    <w:rPr>
      <w:sz w:val="18"/>
    </w:rPr>
  </w:style>
  <w:style w:type="paragraph" w:styleId="52">
    <w:name w:val="List Continue 4"/>
    <w:basedOn w:val="1"/>
    <w:qFormat/>
    <w:uiPriority w:val="0"/>
    <w:pPr>
      <w:spacing w:after="120"/>
      <w:ind w:left="1132"/>
    </w:pPr>
  </w:style>
  <w:style w:type="paragraph" w:styleId="53">
    <w:name w:val="index heading"/>
    <w:basedOn w:val="1"/>
    <w:next w:val="54"/>
    <w:semiHidden/>
    <w:qFormat/>
    <w:uiPriority w:val="0"/>
    <w:rPr>
      <w:rFonts w:ascii="Arial" w:hAnsi="Arial"/>
      <w:b/>
      <w:bCs/>
    </w:rPr>
  </w:style>
  <w:style w:type="paragraph" w:styleId="54">
    <w:name w:val="index 1"/>
    <w:basedOn w:val="1"/>
    <w:next w:val="1"/>
    <w:semiHidden/>
    <w:qFormat/>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qFormat/>
    <w:uiPriority w:val="0"/>
    <w:pPr>
      <w:numPr>
        <w:ilvl w:val="0"/>
        <w:numId w:val="11"/>
      </w:numPr>
    </w:pPr>
  </w:style>
  <w:style w:type="paragraph" w:styleId="57">
    <w:name w:val="List"/>
    <w:basedOn w:val="1"/>
    <w:qFormat/>
    <w:uiPriority w:val="0"/>
    <w:pPr>
      <w:ind w:left="283" w:hanging="283"/>
    </w:pPr>
  </w:style>
  <w:style w:type="paragraph" w:styleId="58">
    <w:name w:val="footnote text"/>
    <w:basedOn w:val="1"/>
    <w:semiHidden/>
    <w:qFormat/>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uiPriority w:val="0"/>
    <w:pPr>
      <w:spacing w:after="120"/>
      <w:ind w:left="283"/>
    </w:pPr>
    <w:rPr>
      <w:sz w:val="16"/>
      <w:szCs w:val="16"/>
    </w:rPr>
  </w:style>
  <w:style w:type="paragraph" w:styleId="61">
    <w:name w:val="index 7"/>
    <w:basedOn w:val="1"/>
    <w:next w:val="1"/>
    <w:semiHidden/>
    <w:uiPriority w:val="0"/>
    <w:pPr>
      <w:ind w:left="1680" w:hanging="240"/>
    </w:pPr>
  </w:style>
  <w:style w:type="paragraph" w:styleId="62">
    <w:name w:val="index 9"/>
    <w:basedOn w:val="1"/>
    <w:next w:val="1"/>
    <w:semiHidden/>
    <w:uiPriority w:val="0"/>
    <w:pPr>
      <w:ind w:left="2160" w:hanging="240"/>
    </w:pPr>
  </w:style>
  <w:style w:type="paragraph" w:styleId="63">
    <w:name w:val="Body Text 2"/>
    <w:basedOn w:val="1"/>
    <w:qFormat/>
    <w:uiPriority w:val="0"/>
    <w:pPr>
      <w:spacing w:after="120" w:line="480" w:lineRule="auto"/>
    </w:pPr>
  </w:style>
  <w:style w:type="paragraph" w:styleId="64">
    <w:name w:val="List 4"/>
    <w:basedOn w:val="1"/>
    <w:uiPriority w:val="0"/>
    <w:pPr>
      <w:ind w:left="1132" w:hanging="283"/>
    </w:pPr>
  </w:style>
  <w:style w:type="paragraph" w:styleId="65">
    <w:name w:val="List Continue 2"/>
    <w:basedOn w:val="1"/>
    <w:qFormat/>
    <w:uiPriority w:val="0"/>
    <w:pPr>
      <w:spacing w:after="120"/>
      <w:ind w:left="566"/>
    </w:pPr>
  </w:style>
  <w:style w:type="paragraph" w:styleId="66">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qFormat/>
    <w:uiPriority w:val="0"/>
    <w:rPr>
      <w:rFonts w:ascii="Courier New" w:hAnsi="Courier New"/>
      <w:sz w:val="20"/>
    </w:rPr>
  </w:style>
  <w:style w:type="paragraph" w:styleId="68">
    <w:name w:val="Normal (Web)"/>
    <w:basedOn w:val="1"/>
    <w:uiPriority w:val="0"/>
    <w:rPr>
      <w:szCs w:val="24"/>
    </w:rPr>
  </w:style>
  <w:style w:type="paragraph" w:styleId="69">
    <w:name w:val="List Continue 3"/>
    <w:basedOn w:val="1"/>
    <w:qFormat/>
    <w:uiPriority w:val="0"/>
    <w:pPr>
      <w:spacing w:after="120"/>
      <w:ind w:left="849"/>
    </w:pPr>
  </w:style>
  <w:style w:type="paragraph" w:styleId="70">
    <w:name w:val="index 2"/>
    <w:basedOn w:val="1"/>
    <w:next w:val="1"/>
    <w:semiHidden/>
    <w:qFormat/>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qFormat/>
    <w:uiPriority w:val="0"/>
    <w:pPr>
      <w:spacing w:line="300" w:lineRule="exact"/>
    </w:pPr>
    <w:rPr>
      <w:b/>
      <w:bCs/>
    </w:rPr>
  </w:style>
  <w:style w:type="paragraph" w:styleId="73">
    <w:name w:val="Body Text First Indent"/>
    <w:basedOn w:val="31"/>
    <w:qFormat/>
    <w:uiPriority w:val="0"/>
    <w:pPr>
      <w:ind w:firstLine="210"/>
    </w:pPr>
  </w:style>
  <w:style w:type="paragraph" w:styleId="74">
    <w:name w:val="Body Text First Indent 2"/>
    <w:basedOn w:val="32"/>
    <w:uiPriority w:val="0"/>
    <w:pPr>
      <w:ind w:firstLine="210"/>
    </w:pPr>
  </w:style>
  <w:style w:type="character" w:styleId="77">
    <w:name w:val="endnote reference"/>
    <w:basedOn w:val="76"/>
    <w:semiHidden/>
    <w:uiPriority w:val="0"/>
    <w:rPr>
      <w:vertAlign w:val="superscript"/>
    </w:rPr>
  </w:style>
  <w:style w:type="character" w:styleId="78">
    <w:name w:val="page number"/>
    <w:basedOn w:val="76"/>
    <w:qFormat/>
    <w:uiPriority w:val="0"/>
  </w:style>
  <w:style w:type="character" w:styleId="79">
    <w:name w:val="FollowedHyperlink"/>
    <w:basedOn w:val="76"/>
    <w:uiPriority w:val="0"/>
    <w:rPr>
      <w:color w:val="800080"/>
      <w:u w:val="single"/>
    </w:rPr>
  </w:style>
  <w:style w:type="character" w:styleId="80">
    <w:name w:val="Emphasis"/>
    <w:basedOn w:val="76"/>
    <w:qFormat/>
    <w:uiPriority w:val="0"/>
    <w:rPr>
      <w:i/>
      <w:iCs/>
    </w:rPr>
  </w:style>
  <w:style w:type="character" w:styleId="81">
    <w:name w:val="line number"/>
    <w:basedOn w:val="76"/>
    <w:qFormat/>
    <w:uiPriority w:val="0"/>
  </w:style>
  <w:style w:type="character" w:styleId="82">
    <w:name w:val="HTML Definition"/>
    <w:basedOn w:val="76"/>
    <w:qFormat/>
    <w:uiPriority w:val="0"/>
    <w:rPr>
      <w:i/>
      <w:iCs/>
    </w:rPr>
  </w:style>
  <w:style w:type="character" w:styleId="83">
    <w:name w:val="HTML Typewriter"/>
    <w:basedOn w:val="76"/>
    <w:qFormat/>
    <w:uiPriority w:val="0"/>
    <w:rPr>
      <w:rFonts w:ascii="Courier New" w:hAnsi="Courier New"/>
      <w:sz w:val="20"/>
      <w:szCs w:val="20"/>
    </w:rPr>
  </w:style>
  <w:style w:type="character" w:styleId="84">
    <w:name w:val="HTML Acronym"/>
    <w:basedOn w:val="76"/>
    <w:qFormat/>
    <w:uiPriority w:val="0"/>
  </w:style>
  <w:style w:type="character" w:styleId="85">
    <w:name w:val="HTML Variable"/>
    <w:basedOn w:val="76"/>
    <w:qFormat/>
    <w:uiPriority w:val="0"/>
    <w:rPr>
      <w:i/>
      <w:iCs/>
    </w:rPr>
  </w:style>
  <w:style w:type="character" w:styleId="86">
    <w:name w:val="Hyperlink"/>
    <w:basedOn w:val="76"/>
    <w:uiPriority w:val="0"/>
    <w:rPr>
      <w:color w:val="0000FF"/>
      <w:u w:val="single"/>
    </w:rPr>
  </w:style>
  <w:style w:type="character" w:styleId="87">
    <w:name w:val="HTML Code"/>
    <w:basedOn w:val="76"/>
    <w:qFormat/>
    <w:uiPriority w:val="0"/>
    <w:rPr>
      <w:rFonts w:ascii="Courier New" w:hAnsi="Courier New"/>
      <w:sz w:val="20"/>
      <w:szCs w:val="20"/>
    </w:rPr>
  </w:style>
  <w:style w:type="character" w:styleId="88">
    <w:name w:val="annotation reference"/>
    <w:basedOn w:val="76"/>
    <w:semiHidden/>
    <w:qFormat/>
    <w:uiPriority w:val="0"/>
    <w:rPr>
      <w:sz w:val="16"/>
    </w:rPr>
  </w:style>
  <w:style w:type="character" w:styleId="89">
    <w:name w:val="HTML Cite"/>
    <w:basedOn w:val="76"/>
    <w:uiPriority w:val="0"/>
    <w:rPr>
      <w:i/>
      <w:iCs/>
    </w:rPr>
  </w:style>
  <w:style w:type="character" w:styleId="90">
    <w:name w:val="footnote reference"/>
    <w:basedOn w:val="76"/>
    <w:semiHidden/>
    <w:uiPriority w:val="0"/>
    <w:rPr>
      <w:vertAlign w:val="superscript"/>
    </w:rPr>
  </w:style>
  <w:style w:type="character" w:styleId="91">
    <w:name w:val="HTML Keyboard"/>
    <w:basedOn w:val="76"/>
    <w:qFormat/>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qFormat/>
    <w:uiPriority w:val="0"/>
  </w:style>
  <w:style w:type="paragraph" w:customStyle="1" w:styleId="94">
    <w:name w:val="MoreInfo"/>
    <w:basedOn w:val="1"/>
    <w:uiPriority w:val="0"/>
    <w:pPr>
      <w:spacing w:before="120" w:line="240" w:lineRule="auto"/>
    </w:pPr>
  </w:style>
  <w:style w:type="paragraph" w:customStyle="1" w:styleId="95">
    <w:name w:val="Abbreviations"/>
    <w:basedOn w:val="1"/>
    <w:qFormat/>
    <w:uiPriority w:val="0"/>
    <w:pPr>
      <w:spacing w:line="240" w:lineRule="auto"/>
    </w:pPr>
  </w:style>
  <w:style w:type="paragraph" w:customStyle="1" w:styleId="96">
    <w:name w:val="AbstractPara"/>
    <w:basedOn w:val="1"/>
    <w:qFormat/>
    <w:uiPriority w:val="0"/>
    <w:pPr>
      <w:spacing w:line="240" w:lineRule="auto"/>
    </w:pPr>
  </w:style>
  <w:style w:type="paragraph" w:customStyle="1" w:styleId="97">
    <w:name w:val="AbstractTitle"/>
    <w:basedOn w:val="1"/>
    <w:next w:val="96"/>
    <w:qFormat/>
    <w:uiPriority w:val="0"/>
    <w:pPr>
      <w:spacing w:before="120" w:line="240" w:lineRule="exact"/>
      <w:outlineLvl w:val="1"/>
    </w:pPr>
    <w:rPr>
      <w:b/>
      <w:sz w:val="26"/>
    </w:rPr>
  </w:style>
  <w:style w:type="paragraph" w:customStyle="1" w:styleId="98">
    <w:name w:val="Accepted"/>
    <w:basedOn w:val="1"/>
    <w:qFormat/>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qFormat/>
    <w:uiPriority w:val="0"/>
    <w:pPr>
      <w:spacing w:before="80" w:line="240" w:lineRule="auto"/>
    </w:pPr>
    <w:rPr>
      <w:b/>
    </w:rPr>
  </w:style>
  <w:style w:type="paragraph" w:customStyle="1" w:styleId="101">
    <w:name w:val="Author"/>
    <w:basedOn w:val="1"/>
    <w:next w:val="1"/>
    <w:qFormat/>
    <w:uiPriority w:val="0"/>
    <w:pPr>
      <w:spacing w:before="80" w:line="240" w:lineRule="auto"/>
    </w:pPr>
  </w:style>
  <w:style w:type="paragraph" w:customStyle="1" w:styleId="102">
    <w:name w:val="AuthoredBy"/>
    <w:basedOn w:val="1"/>
    <w:qFormat/>
    <w:uiPriority w:val="0"/>
    <w:pPr>
      <w:spacing w:line="240" w:lineRule="auto"/>
    </w:pPr>
  </w:style>
  <w:style w:type="paragraph" w:customStyle="1" w:styleId="103">
    <w:name w:val="Banner"/>
    <w:basedOn w:val="1"/>
    <w:qFormat/>
    <w:uiPriority w:val="0"/>
    <w:pPr>
      <w:spacing w:before="120" w:line="280" w:lineRule="exact"/>
    </w:pPr>
    <w:rPr>
      <w:i/>
      <w:sz w:val="28"/>
    </w:rPr>
  </w:style>
  <w:style w:type="paragraph" w:customStyle="1" w:styleId="104">
    <w:name w:val="BoxEnd"/>
    <w:basedOn w:val="1"/>
    <w:qFormat/>
    <w:uiPriority w:val="0"/>
    <w:pPr>
      <w:pBdr>
        <w:bottom w:val="single" w:color="auto" w:sz="12" w:space="1"/>
        <w:right w:val="single" w:color="auto" w:sz="12" w:space="1"/>
      </w:pBdr>
      <w:spacing w:after="120" w:line="240" w:lineRule="auto"/>
    </w:pPr>
  </w:style>
  <w:style w:type="paragraph" w:customStyle="1" w:styleId="105">
    <w:name w:val="BoxStart1"/>
    <w:basedOn w:val="1"/>
    <w:qFormat/>
    <w:uiPriority w:val="0"/>
    <w:pPr>
      <w:pBdr>
        <w:top w:val="single" w:color="auto" w:sz="12" w:space="1"/>
        <w:left w:val="single" w:color="auto" w:sz="12" w:space="1"/>
      </w:pBdr>
      <w:spacing w:line="240" w:lineRule="auto"/>
    </w:pPr>
  </w:style>
  <w:style w:type="paragraph" w:customStyle="1" w:styleId="106">
    <w:name w:val="BoxStart2"/>
    <w:basedOn w:val="105"/>
    <w:qFormat/>
    <w:uiPriority w:val="0"/>
  </w:style>
  <w:style w:type="paragraph" w:customStyle="1" w:styleId="107">
    <w:name w:val="BoxStart3"/>
    <w:basedOn w:val="105"/>
    <w:qFormat/>
    <w:uiPriority w:val="0"/>
  </w:style>
  <w:style w:type="paragraph" w:customStyle="1" w:styleId="108">
    <w:name w:val="Conflict"/>
    <w:basedOn w:val="1"/>
    <w:qFormat/>
    <w:uiPriority w:val="0"/>
    <w:pPr>
      <w:spacing w:before="120" w:after="120" w:line="240" w:lineRule="auto"/>
    </w:pPr>
  </w:style>
  <w:style w:type="paragraph" w:customStyle="1" w:styleId="109">
    <w:name w:val="Correspdent"/>
    <w:basedOn w:val="1"/>
    <w:qFormat/>
    <w:uiPriority w:val="0"/>
    <w:pPr>
      <w:spacing w:line="240" w:lineRule="auto"/>
    </w:pPr>
  </w:style>
  <w:style w:type="paragraph" w:customStyle="1" w:styleId="110">
    <w:name w:val="Credit"/>
    <w:basedOn w:val="20"/>
    <w:qFormat/>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qFormat/>
    <w:uiPriority w:val="0"/>
    <w:pPr>
      <w:spacing w:line="360" w:lineRule="auto"/>
      <w:ind w:firstLine="288"/>
    </w:pPr>
  </w:style>
  <w:style w:type="paragraph" w:customStyle="1" w:styleId="113">
    <w:name w:val="EdFtNote"/>
    <w:basedOn w:val="112"/>
    <w:uiPriority w:val="0"/>
    <w:pPr>
      <w:spacing w:before="60"/>
      <w:ind w:firstLine="0"/>
    </w:pPr>
  </w:style>
  <w:style w:type="paragraph" w:customStyle="1" w:styleId="114">
    <w:name w:val="IndentQuote"/>
    <w:basedOn w:val="1"/>
    <w:qFormat/>
    <w:uiPriority w:val="0"/>
    <w:pPr>
      <w:spacing w:before="60" w:line="240" w:lineRule="exact"/>
      <w:ind w:left="288" w:right="288"/>
    </w:pPr>
  </w:style>
  <w:style w:type="paragraph" w:customStyle="1" w:styleId="115">
    <w:name w:val="Epigraph"/>
    <w:basedOn w:val="114"/>
    <w:qFormat/>
    <w:uiPriority w:val="0"/>
  </w:style>
  <w:style w:type="paragraph" w:customStyle="1" w:styleId="116">
    <w:name w:val="Equation"/>
    <w:basedOn w:val="1"/>
    <w:qFormat/>
    <w:uiPriority w:val="0"/>
    <w:pPr>
      <w:spacing w:line="240" w:lineRule="auto"/>
    </w:pPr>
    <w:rPr>
      <w:b/>
      <w:i/>
    </w:rPr>
  </w:style>
  <w:style w:type="paragraph" w:customStyle="1" w:styleId="117">
    <w:name w:val="FigLeg"/>
    <w:basedOn w:val="1"/>
    <w:uiPriority w:val="0"/>
    <w:pPr>
      <w:spacing w:line="240" w:lineRule="auto"/>
    </w:pPr>
  </w:style>
  <w:style w:type="paragraph" w:customStyle="1" w:styleId="118">
    <w:name w:val="Figure"/>
    <w:basedOn w:val="1"/>
    <w:qFormat/>
    <w:uiPriority w:val="0"/>
    <w:pPr>
      <w:numPr>
        <w:ilvl w:val="0"/>
        <w:numId w:val="12"/>
      </w:numPr>
      <w:tabs>
        <w:tab w:val="left" w:pos="720"/>
        <w:tab w:val="clear" w:pos="2160"/>
      </w:tabs>
      <w:ind w:left="0" w:firstLine="0"/>
    </w:pPr>
    <w:rPr>
      <w:b/>
    </w:rPr>
  </w:style>
  <w:style w:type="character" w:customStyle="1" w:styleId="119">
    <w:name w:val="FigureRef"/>
    <w:basedOn w:val="76"/>
    <w:uiPriority w:val="0"/>
    <w:rPr>
      <w:color w:val="0000FF"/>
      <w:vertAlign w:val="superscript"/>
    </w:rPr>
  </w:style>
  <w:style w:type="character" w:customStyle="1" w:styleId="120">
    <w:name w:val="FnoteRef"/>
    <w:basedOn w:val="76"/>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1"/>
    <w:next w:val="71"/>
    <w:uiPriority w:val="0"/>
  </w:style>
  <w:style w:type="paragraph" w:customStyle="1" w:styleId="124">
    <w:name w:val="HeadA"/>
    <w:basedOn w:val="1"/>
    <w:uiPriority w:val="0"/>
    <w:pPr>
      <w:keepNext/>
      <w:suppressAutoHyphens/>
      <w:spacing w:before="120" w:line="280" w:lineRule="exact"/>
      <w:outlineLvl w:val="1"/>
    </w:pPr>
    <w:rPr>
      <w:b/>
    </w:rPr>
  </w:style>
  <w:style w:type="paragraph" w:customStyle="1" w:styleId="125">
    <w:name w:val="HeadB"/>
    <w:basedOn w:val="1"/>
    <w:qFormat/>
    <w:uiPriority w:val="0"/>
    <w:pPr>
      <w:keepNext/>
      <w:suppressAutoHyphens/>
      <w:spacing w:before="60" w:line="280" w:lineRule="exact"/>
      <w:outlineLvl w:val="2"/>
    </w:pPr>
    <w:rPr>
      <w:b/>
      <w:sz w:val="20"/>
    </w:rPr>
  </w:style>
  <w:style w:type="paragraph" w:customStyle="1" w:styleId="126">
    <w:name w:val="HeadC"/>
    <w:basedOn w:val="1"/>
    <w:uiPriority w:val="0"/>
    <w:pPr>
      <w:keepNext/>
      <w:suppressAutoHyphens/>
      <w:spacing w:before="60" w:line="280" w:lineRule="exact"/>
      <w:outlineLvl w:val="3"/>
    </w:pPr>
    <w:rPr>
      <w:i/>
      <w:sz w:val="20"/>
    </w:rPr>
  </w:style>
  <w:style w:type="paragraph" w:customStyle="1" w:styleId="127">
    <w:name w:val="Keywords"/>
    <w:basedOn w:val="1"/>
    <w:uiPriority w:val="0"/>
    <w:pPr>
      <w:spacing w:line="240" w:lineRule="auto"/>
    </w:pPr>
  </w:style>
  <w:style w:type="paragraph" w:customStyle="1" w:styleId="128">
    <w:name w:val="List1"/>
    <w:basedOn w:val="1"/>
    <w:uiPriority w:val="0"/>
    <w:pPr>
      <w:spacing w:before="40" w:after="120" w:line="240" w:lineRule="exact"/>
    </w:pPr>
  </w:style>
  <w:style w:type="paragraph" w:customStyle="1" w:styleId="129">
    <w:name w:val="List2"/>
    <w:basedOn w:val="1"/>
    <w:uiPriority w:val="0"/>
    <w:pPr>
      <w:spacing w:before="40" w:line="240" w:lineRule="exact"/>
      <w:ind w:left="720"/>
    </w:pPr>
  </w:style>
  <w:style w:type="paragraph" w:customStyle="1" w:styleId="130">
    <w:name w:val="ListPara"/>
    <w:basedOn w:val="1"/>
    <w:uiPriority w:val="0"/>
    <w:pPr>
      <w:spacing w:line="240" w:lineRule="auto"/>
      <w:ind w:left="720"/>
    </w:pPr>
  </w:style>
  <w:style w:type="paragraph" w:customStyle="1" w:styleId="131">
    <w:name w:val="Miscellaneous"/>
    <w:basedOn w:val="1"/>
    <w:qFormat/>
    <w:uiPriority w:val="0"/>
    <w:pPr>
      <w:spacing w:before="120" w:line="240" w:lineRule="exact"/>
    </w:pPr>
  </w:style>
  <w:style w:type="paragraph" w:customStyle="1" w:styleId="132">
    <w:name w:val="MoreInfoWeb"/>
    <w:basedOn w:val="1"/>
    <w:uiPriority w:val="0"/>
    <w:pPr>
      <w:spacing w:before="120" w:line="240" w:lineRule="exact"/>
    </w:pPr>
  </w:style>
  <w:style w:type="character" w:customStyle="1" w:styleId="133">
    <w:name w:val="Noindex"/>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qFormat/>
    <w:uiPriority w:val="0"/>
    <w:pPr>
      <w:spacing w:line="240" w:lineRule="auto"/>
    </w:pPr>
    <w:rPr>
      <w:i/>
    </w:rPr>
  </w:style>
  <w:style w:type="paragraph" w:customStyle="1" w:styleId="140">
    <w:name w:val="ProductAuth"/>
    <w:basedOn w:val="100"/>
    <w:uiPriority w:val="0"/>
  </w:style>
  <w:style w:type="paragraph" w:customStyle="1" w:styleId="141">
    <w:name w:val="ProductDetails"/>
    <w:basedOn w:val="112"/>
    <w:uiPriority w:val="0"/>
  </w:style>
  <w:style w:type="paragraph" w:customStyle="1" w:styleId="142">
    <w:name w:val="QuoteRef"/>
    <w:basedOn w:val="1"/>
    <w:uiPriority w:val="0"/>
    <w:pPr>
      <w:spacing w:after="60"/>
    </w:pPr>
  </w:style>
  <w:style w:type="paragraph" w:customStyle="1" w:styleId="143">
    <w:name w:val="Rating"/>
    <w:basedOn w:val="112"/>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uiPriority w:val="0"/>
  </w:style>
  <w:style w:type="paragraph" w:customStyle="1" w:styleId="146">
    <w:name w:val="RelatedToWeb"/>
    <w:basedOn w:val="1"/>
    <w:qFormat/>
    <w:uiPriority w:val="0"/>
  </w:style>
  <w:style w:type="paragraph" w:customStyle="1" w:styleId="147">
    <w:name w:val="Reviewed"/>
    <w:basedOn w:val="134"/>
    <w:uiPriority w:val="0"/>
  </w:style>
  <w:style w:type="paragraph" w:customStyle="1" w:styleId="148">
    <w:name w:val="ShortAuthor"/>
    <w:basedOn w:val="1"/>
    <w:qFormat/>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qFormat/>
    <w:uiPriority w:val="0"/>
    <w:pPr>
      <w:ind w:firstLine="0"/>
    </w:pPr>
  </w:style>
  <w:style w:type="paragraph" w:customStyle="1" w:styleId="151">
    <w:name w:val="Standfirst"/>
    <w:basedOn w:val="98"/>
    <w:qFormat/>
    <w:uiPriority w:val="0"/>
  </w:style>
  <w:style w:type="paragraph" w:customStyle="1" w:styleId="152">
    <w:name w:val="Subtitle1"/>
    <w:basedOn w:val="55"/>
    <w:uiPriority w:val="0"/>
  </w:style>
  <w:style w:type="paragraph" w:customStyle="1" w:styleId="153">
    <w:name w:val="Table"/>
    <w:basedOn w:val="1"/>
    <w:qFormat/>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uiPriority w:val="0"/>
    <w:rPr>
      <w:color w:val="0000FF"/>
      <w:vertAlign w:val="superscript"/>
    </w:rPr>
  </w:style>
  <w:style w:type="paragraph" w:customStyle="1" w:styleId="156">
    <w:name w:val="TableTitle"/>
    <w:basedOn w:val="1"/>
    <w:qFormat/>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76"/>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76"/>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qFormat/>
    <w:uiPriority w:val="0"/>
    <w:rPr>
      <w:color w:val="666699"/>
    </w:rPr>
  </w:style>
  <w:style w:type="paragraph" w:customStyle="1" w:styleId="163">
    <w:name w:val="BoxStartx"/>
    <w:basedOn w:val="105"/>
    <w:qFormat/>
    <w:uiPriority w:val="0"/>
  </w:style>
  <w:style w:type="character" w:customStyle="1" w:styleId="164">
    <w:name w:val="ParaHead"/>
    <w:basedOn w:val="76"/>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uiPriority w:val="0"/>
    <w:rPr>
      <w:b/>
      <w:color w:val="00FF00"/>
    </w:rPr>
  </w:style>
  <w:style w:type="paragraph" w:customStyle="1" w:styleId="168">
    <w:name w:val="TableSubHead"/>
    <w:basedOn w:val="166"/>
    <w:uiPriority w:val="0"/>
  </w:style>
  <w:style w:type="paragraph" w:customStyle="1" w:styleId="169">
    <w:name w:val="ArtGroup"/>
    <w:basedOn w:val="111"/>
    <w:uiPriority w:val="0"/>
    <w:rPr>
      <w:sz w:val="22"/>
    </w:rPr>
  </w:style>
  <w:style w:type="paragraph" w:customStyle="1" w:styleId="170">
    <w:name w:val="Biog"/>
    <w:basedOn w:val="94"/>
    <w:uiPriority w:val="0"/>
  </w:style>
  <w:style w:type="paragraph" w:customStyle="1" w:styleId="171">
    <w:name w:val="SearchInfo"/>
    <w:basedOn w:val="1"/>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uiPriority w:val="0"/>
  </w:style>
  <w:style w:type="paragraph" w:customStyle="1" w:styleId="175">
    <w:name w:val="Bibliography"/>
    <w:basedOn w:val="144"/>
    <w:qFormat/>
    <w:uiPriority w:val="0"/>
    <w:pPr>
      <w:numPr>
        <w:ilvl w:val="0"/>
        <w:numId w:val="0"/>
      </w:numPr>
    </w:pPr>
  </w:style>
  <w:style w:type="paragraph" w:customStyle="1" w:styleId="176">
    <w:name w:val="PullQuote"/>
    <w:basedOn w:val="114"/>
    <w:uiPriority w:val="0"/>
  </w:style>
  <w:style w:type="paragraph" w:customStyle="1" w:styleId="177">
    <w:name w:val="AncillHead"/>
    <w:basedOn w:val="125"/>
    <w:qFormat/>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qFormat/>
    <w:uiPriority w:val="0"/>
    <w:rPr>
      <w:b/>
      <w:sz w:val="28"/>
    </w:rPr>
  </w:style>
  <w:style w:type="paragraph" w:customStyle="1" w:styleId="181">
    <w:name w:val="EthicalApproval"/>
    <w:basedOn w:val="137"/>
    <w:uiPriority w:val="0"/>
  </w:style>
  <w:style w:type="paragraph" w:customStyle="1" w:styleId="182">
    <w:name w:val="Abrv-Title"/>
    <w:basedOn w:val="1"/>
    <w:uiPriority w:val="0"/>
  </w:style>
  <w:style w:type="paragraph" w:customStyle="1" w:styleId="183">
    <w:name w:val="Web logo"/>
    <w:basedOn w:val="1"/>
    <w:uiPriority w:val="0"/>
  </w:style>
  <w:style w:type="character" w:customStyle="1" w:styleId="184">
    <w:name w:val="Preformatted"/>
    <w:basedOn w:val="76"/>
    <w:qFormat/>
    <w:uiPriority w:val="0"/>
  </w:style>
  <w:style w:type="paragraph" w:customStyle="1" w:styleId="185">
    <w:name w:val="Auxillary Number"/>
    <w:basedOn w:val="1"/>
    <w:uiPriority w:val="0"/>
  </w:style>
  <w:style w:type="paragraph" w:customStyle="1" w:styleId="186">
    <w:name w:val="DOI"/>
    <w:basedOn w:val="1"/>
    <w:qFormat/>
    <w:uiPriority w:val="0"/>
  </w:style>
  <w:style w:type="paragraph" w:customStyle="1" w:styleId="187">
    <w:name w:val="Unit-ID"/>
    <w:basedOn w:val="1"/>
    <w:qFormat/>
    <w:uiPriority w:val="0"/>
  </w:style>
  <w:style w:type="paragraph" w:customStyle="1" w:styleId="188">
    <w:name w:val="Abbreviation"/>
    <w:basedOn w:val="1"/>
    <w:qFormat/>
    <w:uiPriority w:val="0"/>
  </w:style>
  <w:style w:type="paragraph" w:customStyle="1" w:styleId="189">
    <w:name w:val="Appendix"/>
    <w:basedOn w:val="1"/>
    <w:uiPriority w:val="0"/>
    <w:rPr>
      <w:b/>
    </w:rPr>
  </w:style>
  <w:style w:type="paragraph" w:customStyle="1" w:styleId="190">
    <w:name w:val="Authored by"/>
    <w:basedOn w:val="1"/>
    <w:uiPriority w:val="0"/>
    <w:rPr>
      <w:b/>
      <w:sz w:val="28"/>
    </w:rPr>
  </w:style>
  <w:style w:type="paragraph" w:customStyle="1" w:styleId="191">
    <w:name w:val="BookDetails"/>
    <w:basedOn w:val="1"/>
    <w:qFormat/>
    <w:uiPriority w:val="0"/>
  </w:style>
  <w:style w:type="paragraph" w:customStyle="1" w:styleId="192">
    <w:name w:val="BoxStart"/>
    <w:basedOn w:val="1"/>
    <w:uiPriority w:val="0"/>
  </w:style>
  <w:style w:type="paragraph" w:customStyle="1" w:styleId="193">
    <w:name w:val="Citation"/>
    <w:basedOn w:val="1"/>
    <w:uiPriority w:val="0"/>
  </w:style>
  <w:style w:type="paragraph" w:customStyle="1" w:styleId="194">
    <w:name w:val="Correspondent"/>
    <w:basedOn w:val="1"/>
    <w:uiPriority w:val="0"/>
  </w:style>
  <w:style w:type="paragraph" w:customStyle="1" w:styleId="195">
    <w:name w:val="EquationText"/>
    <w:basedOn w:val="1"/>
    <w:uiPriority w:val="0"/>
  </w:style>
  <w:style w:type="paragraph" w:customStyle="1" w:styleId="196">
    <w:name w:val="Footnotes"/>
    <w:basedOn w:val="1"/>
    <w:uiPriority w:val="0"/>
  </w:style>
  <w:style w:type="paragraph" w:customStyle="1" w:styleId="197">
    <w:name w:val="KeyWords"/>
    <w:basedOn w:val="1"/>
    <w:uiPriority w:val="0"/>
  </w:style>
  <w:style w:type="paragraph" w:customStyle="1" w:styleId="198">
    <w:name w:val="ListParaMore"/>
    <w:basedOn w:val="1"/>
    <w:uiPriority w:val="0"/>
  </w:style>
  <w:style w:type="paragraph" w:customStyle="1" w:styleId="199">
    <w:name w:val="Onlinefirst"/>
    <w:basedOn w:val="1"/>
    <w:uiPriority w:val="0"/>
  </w:style>
  <w:style w:type="paragraph" w:styleId="200">
    <w:name w:val="Quote"/>
    <w:basedOn w:val="1"/>
    <w:qFormat/>
    <w:uiPriority w:val="0"/>
    <w:pPr>
      <w:ind w:left="737"/>
    </w:pPr>
    <w:rPr>
      <w:sz w:val="28"/>
    </w:rPr>
  </w:style>
  <w:style w:type="paragraph" w:customStyle="1" w:styleId="201">
    <w:name w:val="Received"/>
    <w:basedOn w:val="1"/>
    <w:uiPriority w:val="0"/>
  </w:style>
  <w:style w:type="paragraph" w:customStyle="1" w:styleId="202">
    <w:name w:val="Related"/>
    <w:basedOn w:val="1"/>
    <w:uiPriority w:val="0"/>
    <w:rPr>
      <w:b/>
      <w:i/>
    </w:rPr>
  </w:style>
  <w:style w:type="paragraph" w:customStyle="1" w:styleId="203">
    <w:name w:val="RespTitle"/>
    <w:basedOn w:val="1"/>
    <w:qFormat/>
    <w:uiPriority w:val="0"/>
    <w:rPr>
      <w:b/>
    </w:rPr>
  </w:style>
  <w:style w:type="paragraph" w:customStyle="1" w:styleId="204">
    <w:name w:val="ShortAuthors"/>
    <w:basedOn w:val="1"/>
    <w:uiPriority w:val="0"/>
  </w:style>
  <w:style w:type="paragraph" w:customStyle="1" w:styleId="205">
    <w:name w:val="Table Footnote"/>
    <w:basedOn w:val="1"/>
    <w:uiPriority w:val="0"/>
    <w:rPr>
      <w:rFonts w:ascii="Arial" w:hAnsi="Arial"/>
      <w:sz w:val="22"/>
    </w:rPr>
  </w:style>
  <w:style w:type="paragraph" w:customStyle="1" w:styleId="206">
    <w:name w:val="Topic(s)"/>
    <w:basedOn w:val="1"/>
    <w:uiPriority w:val="0"/>
    <w:rPr>
      <w:i/>
    </w:rPr>
  </w:style>
  <w:style w:type="paragraph" w:customStyle="1" w:styleId="207">
    <w:name w:val="Revised"/>
    <w:basedOn w:val="1"/>
    <w:qFormat/>
    <w:uiPriority w:val="0"/>
  </w:style>
  <w:style w:type="paragraph" w:customStyle="1" w:styleId="208">
    <w:name w:val="Table Width"/>
    <w:basedOn w:val="1"/>
    <w:uiPriority w:val="0"/>
  </w:style>
  <w:style w:type="paragraph" w:customStyle="1" w:styleId="209">
    <w:name w:val="Table Font"/>
    <w:basedOn w:val="1"/>
    <w:qFormat/>
    <w:uiPriority w:val="0"/>
  </w:style>
  <w:style w:type="paragraph" w:customStyle="1" w:styleId="210">
    <w:name w:val="Article Title"/>
    <w:basedOn w:val="1"/>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qFormat/>
    <w:uiPriority w:val="0"/>
    <w:rPr>
      <w:rFonts w:ascii="Arial" w:hAnsi="Arial"/>
      <w:b/>
      <w:sz w:val="22"/>
    </w:rPr>
  </w:style>
  <w:style w:type="paragraph" w:customStyle="1" w:styleId="215">
    <w:name w:val="Table Body"/>
    <w:basedOn w:val="1"/>
    <w:uiPriority w:val="0"/>
    <w:rPr>
      <w:rFonts w:ascii="Arial" w:hAnsi="Arial"/>
      <w:sz w:val="22"/>
    </w:rPr>
  </w:style>
  <w:style w:type="paragraph" w:customStyle="1" w:styleId="216">
    <w:name w:val="Figure Caption"/>
    <w:basedOn w:val="1"/>
    <w:qFormat/>
    <w:uiPriority w:val="0"/>
    <w:rPr>
      <w:rFonts w:ascii="Arial" w:hAnsi="Arial"/>
      <w:sz w:val="22"/>
    </w:rPr>
  </w:style>
  <w:style w:type="paragraph" w:customStyle="1" w:styleId="217">
    <w:name w:val="References"/>
    <w:basedOn w:val="1"/>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3</Pages>
  <Words>829</Words>
  <Characters>4731</Characters>
  <Lines>39</Lines>
  <Paragraphs>11</Paragraphs>
  <TotalTime>0</TotalTime>
  <ScaleCrop>false</ScaleCrop>
  <LinksUpToDate>false</LinksUpToDate>
  <CharactersWithSpaces>5549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张理想</cp:lastModifiedBy>
  <cp:lastPrinted>2014-09-01T08:36:00Z</cp:lastPrinted>
  <dcterms:modified xsi:type="dcterms:W3CDTF">2023-08-23T15:34:57Z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2052-12.1.0.15120</vt:lpwstr>
  </property>
  <property fmtid="{D5CDD505-2E9C-101B-9397-08002B2CF9AE}" pid="8" name="ICV">
    <vt:lpwstr>55915FA10EF544D3A3429FCC080F9157_12</vt:lpwstr>
  </property>
</Properties>
</file>