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7351" w14:textId="41786130" w:rsidR="00C11241" w:rsidRPr="00C11241" w:rsidRDefault="00C11241" w:rsidP="00C11241">
      <w:pPr>
        <w:pStyle w:val="a4"/>
        <w:keepNext/>
        <w:rPr>
          <w:rFonts w:ascii="Times New Roman" w:hAnsi="Times New Roman" w:cs="Times New Roman"/>
        </w:rPr>
      </w:pPr>
      <w:bookmarkStart w:id="0" w:name="_Hlk179551123"/>
      <w:r w:rsidRPr="00C11241">
        <w:rPr>
          <w:rFonts w:ascii="Times New Roman" w:hAnsi="Times New Roman" w:cs="Times New Roman"/>
        </w:rPr>
        <w:t>Supplementary Table 1. Univariable Cox’s regression analysis for all-cause mortality in the whole cohort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2491"/>
        <w:gridCol w:w="2670"/>
        <w:gridCol w:w="1218"/>
        <w:gridCol w:w="1843"/>
        <w:gridCol w:w="1417"/>
      </w:tblGrid>
      <w:tr w:rsidR="00AC2FDD" w:rsidRPr="00C11241" w14:paraId="300639AF" w14:textId="77777777" w:rsidTr="00D4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shd w:val="clear" w:color="auto" w:fill="auto"/>
            <w:vAlign w:val="center"/>
          </w:tcPr>
          <w:p w14:paraId="2CB7E419" w14:textId="77777777" w:rsidR="00AC2FDD" w:rsidRPr="00C11241" w:rsidRDefault="00AC2FDD" w:rsidP="00955FF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Variables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25B64E6D" w14:textId="77777777" w:rsidR="00AC2FDD" w:rsidRPr="00C11241" w:rsidRDefault="00AC2FDD" w:rsidP="00955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Change</w:t>
            </w:r>
          </w:p>
        </w:tc>
        <w:tc>
          <w:tcPr>
            <w:tcW w:w="44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EB800A" w14:textId="6960000B" w:rsidR="00AC2FDD" w:rsidRPr="00C11241" w:rsidRDefault="00AC2FDD" w:rsidP="00955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Univaria</w:t>
            </w:r>
            <w:r w:rsidR="00B4052B" w:rsidRPr="00C112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ble</w:t>
            </w:r>
          </w:p>
        </w:tc>
      </w:tr>
      <w:tr w:rsidR="00AC2FDD" w:rsidRPr="00C11241" w14:paraId="19B94DDA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DFC82F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0FBC92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1EC82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AE4EF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95 CI 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D7705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AC2FDD" w:rsidRPr="00C11241" w14:paraId="6E8EB785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74EC6801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Age (year)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</w:tcPr>
          <w:p w14:paraId="2C5ED6F7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1-year increase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14:paraId="4D698B16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5099E29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1.02-1.05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D057C90" w14:textId="4976F82B" w:rsidR="00AC2FDD" w:rsidRPr="00C11241" w:rsidRDefault="004D173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D06C61" w:rsidRPr="00C1124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C2FDD" w:rsidRPr="00C11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13E1" w:rsidRPr="00C11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2FDD" w:rsidRPr="00C11241" w14:paraId="388E77E0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7423634C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COPD</w:t>
            </w:r>
          </w:p>
        </w:tc>
        <w:tc>
          <w:tcPr>
            <w:tcW w:w="2670" w:type="dxa"/>
            <w:shd w:val="clear" w:color="auto" w:fill="auto"/>
          </w:tcPr>
          <w:p w14:paraId="0CA54FBA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shd w:val="clear" w:color="auto" w:fill="auto"/>
          </w:tcPr>
          <w:p w14:paraId="3CF04273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843" w:type="dxa"/>
            <w:shd w:val="clear" w:color="auto" w:fill="auto"/>
          </w:tcPr>
          <w:p w14:paraId="6832123D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2.15-6.54</w:t>
            </w:r>
          </w:p>
        </w:tc>
        <w:tc>
          <w:tcPr>
            <w:tcW w:w="1417" w:type="dxa"/>
            <w:shd w:val="clear" w:color="auto" w:fill="auto"/>
          </w:tcPr>
          <w:p w14:paraId="63F28D8B" w14:textId="741B718B" w:rsidR="00AC2FDD" w:rsidRPr="00C11241" w:rsidRDefault="00D06C61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&lt;0.</w:t>
            </w:r>
            <w:r w:rsidR="00AC2FDD" w:rsidRPr="00C11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13E1" w:rsidRPr="00C11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2FDD" w:rsidRPr="00C11241" w14:paraId="3921D720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4C999DF9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Prior TE</w:t>
            </w:r>
          </w:p>
        </w:tc>
        <w:tc>
          <w:tcPr>
            <w:tcW w:w="2670" w:type="dxa"/>
            <w:shd w:val="clear" w:color="auto" w:fill="auto"/>
          </w:tcPr>
          <w:p w14:paraId="3C4E2BE1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shd w:val="clear" w:color="auto" w:fill="auto"/>
          </w:tcPr>
          <w:p w14:paraId="1DF62916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1843" w:type="dxa"/>
            <w:shd w:val="clear" w:color="auto" w:fill="auto"/>
          </w:tcPr>
          <w:p w14:paraId="0792FC60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1.00-4.27</w:t>
            </w:r>
          </w:p>
        </w:tc>
        <w:tc>
          <w:tcPr>
            <w:tcW w:w="1417" w:type="dxa"/>
            <w:shd w:val="clear" w:color="auto" w:fill="auto"/>
          </w:tcPr>
          <w:p w14:paraId="2CE89803" w14:textId="6EBD02C4" w:rsidR="00AC2FDD" w:rsidRPr="00C11241" w:rsidRDefault="00D06C61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  <w:r w:rsidR="007913E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C2FDD" w:rsidRPr="00C11241" w14:paraId="61492DEE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6246B320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NYHA III/IV</w:t>
            </w:r>
          </w:p>
        </w:tc>
        <w:tc>
          <w:tcPr>
            <w:tcW w:w="2670" w:type="dxa"/>
            <w:shd w:val="clear" w:color="auto" w:fill="auto"/>
          </w:tcPr>
          <w:p w14:paraId="4D52BDEC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14:paraId="7A4CE4C4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72F131D4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2.01-4.63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2A119152" w14:textId="681F4A6A" w:rsidR="00AC2FDD" w:rsidRPr="00C11241" w:rsidRDefault="00D06C61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7913E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4BD42D63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bottom w:val="nil"/>
            </w:tcBorders>
            <w:shd w:val="clear" w:color="auto" w:fill="auto"/>
          </w:tcPr>
          <w:p w14:paraId="4F73FB1F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AF</w:t>
            </w:r>
          </w:p>
        </w:tc>
        <w:tc>
          <w:tcPr>
            <w:tcW w:w="2670" w:type="dxa"/>
            <w:tcBorders>
              <w:bottom w:val="nil"/>
            </w:tcBorders>
            <w:shd w:val="clear" w:color="auto" w:fill="auto"/>
          </w:tcPr>
          <w:p w14:paraId="2F75B12D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14:paraId="511AC7D0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B7066CF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1.45-3.52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224CA6B" w14:textId="1376AD56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</w:t>
            </w:r>
            <w:r w:rsidR="007913E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07727A6C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nil"/>
            </w:tcBorders>
            <w:shd w:val="clear" w:color="auto" w:fill="auto"/>
          </w:tcPr>
          <w:p w14:paraId="25DE007D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Warfarin</w:t>
            </w:r>
          </w:p>
        </w:tc>
        <w:tc>
          <w:tcPr>
            <w:tcW w:w="2670" w:type="dxa"/>
            <w:tcBorders>
              <w:top w:val="nil"/>
            </w:tcBorders>
            <w:shd w:val="clear" w:color="auto" w:fill="auto"/>
          </w:tcPr>
          <w:p w14:paraId="50C586DD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14:paraId="44D3A2C1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617911F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1.19-3.72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126FEEB" w14:textId="0B9B3A33" w:rsidR="00AC2FDD" w:rsidRPr="00C11241" w:rsidRDefault="007913E1" w:rsidP="00731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31E05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AC2FDD" w:rsidRPr="00C11241" w14:paraId="236BA3D7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4DCF487E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Diuretic</w:t>
            </w:r>
          </w:p>
        </w:tc>
        <w:tc>
          <w:tcPr>
            <w:tcW w:w="2670" w:type="dxa"/>
            <w:shd w:val="clear" w:color="auto" w:fill="auto"/>
          </w:tcPr>
          <w:p w14:paraId="241CD9A6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14:paraId="01D680E9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D1C28B0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1.94-4.55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C51AAB3" w14:textId="47D82EB0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</w:t>
            </w:r>
            <w:r w:rsidR="007913E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22FF4728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73792533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Beta-blocker</w:t>
            </w:r>
          </w:p>
        </w:tc>
        <w:tc>
          <w:tcPr>
            <w:tcW w:w="2670" w:type="dxa"/>
            <w:shd w:val="clear" w:color="auto" w:fill="auto"/>
          </w:tcPr>
          <w:p w14:paraId="09951B47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Yes vs. no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</w:tcPr>
          <w:p w14:paraId="38442F1C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AD0277B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0.41-0.95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E875927" w14:textId="455AFA29" w:rsidR="00AC2FDD" w:rsidRPr="00C11241" w:rsidRDefault="00AC2FDD" w:rsidP="00731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31E05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</w:tr>
      <w:tr w:rsidR="00AC2FDD" w:rsidRPr="00C11241" w14:paraId="198E706C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36599AC1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BUN (mmol/L)</w:t>
            </w:r>
          </w:p>
        </w:tc>
        <w:tc>
          <w:tcPr>
            <w:tcW w:w="2670" w:type="dxa"/>
            <w:shd w:val="clear" w:color="auto" w:fill="auto"/>
          </w:tcPr>
          <w:p w14:paraId="2692B40F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mmol/L increase</w:t>
            </w:r>
          </w:p>
        </w:tc>
        <w:tc>
          <w:tcPr>
            <w:tcW w:w="1218" w:type="dxa"/>
            <w:shd w:val="clear" w:color="auto" w:fill="auto"/>
          </w:tcPr>
          <w:p w14:paraId="65126409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843" w:type="dxa"/>
            <w:shd w:val="clear" w:color="auto" w:fill="auto"/>
          </w:tcPr>
          <w:p w14:paraId="0D949D24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1.02-1.07</w:t>
            </w:r>
          </w:p>
        </w:tc>
        <w:tc>
          <w:tcPr>
            <w:tcW w:w="1417" w:type="dxa"/>
            <w:shd w:val="clear" w:color="auto" w:fill="auto"/>
          </w:tcPr>
          <w:p w14:paraId="195D28D3" w14:textId="11E4ABE4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2B9C691C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296814B8" w14:textId="0CC29C0C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eGFR (ml/min*1.73m</w:t>
            </w: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14:paraId="18EF9CC1" w14:textId="38B41A7A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ml/min*1.73m</w:t>
            </w:r>
            <w:r w:rsidRPr="00C112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</w:p>
        </w:tc>
        <w:tc>
          <w:tcPr>
            <w:tcW w:w="1218" w:type="dxa"/>
            <w:shd w:val="clear" w:color="auto" w:fill="auto"/>
          </w:tcPr>
          <w:p w14:paraId="3B5D5DA6" w14:textId="0AA01493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1843" w:type="dxa"/>
            <w:shd w:val="clear" w:color="auto" w:fill="auto"/>
          </w:tcPr>
          <w:p w14:paraId="07DE725D" w14:textId="4A4882C4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0.976-0.993</w:t>
            </w:r>
          </w:p>
        </w:tc>
        <w:tc>
          <w:tcPr>
            <w:tcW w:w="1417" w:type="dxa"/>
            <w:shd w:val="clear" w:color="auto" w:fill="auto"/>
          </w:tcPr>
          <w:p w14:paraId="7BD61114" w14:textId="679F5FAE" w:rsidR="00AC2FDD" w:rsidRPr="00C11241" w:rsidRDefault="00D06C61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5B2863A7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0094B4D4" w14:textId="00DC2421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Creatinine (umol/L)</w:t>
            </w:r>
          </w:p>
        </w:tc>
        <w:tc>
          <w:tcPr>
            <w:tcW w:w="2670" w:type="dxa"/>
            <w:shd w:val="clear" w:color="auto" w:fill="auto"/>
          </w:tcPr>
          <w:p w14:paraId="63E9CDA7" w14:textId="3ADFEBFA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umol/L increase</w:t>
            </w:r>
          </w:p>
        </w:tc>
        <w:tc>
          <w:tcPr>
            <w:tcW w:w="1218" w:type="dxa"/>
            <w:shd w:val="clear" w:color="auto" w:fill="auto"/>
          </w:tcPr>
          <w:p w14:paraId="1B83790E" w14:textId="443612E3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1.001</w:t>
            </w:r>
          </w:p>
        </w:tc>
        <w:tc>
          <w:tcPr>
            <w:tcW w:w="1843" w:type="dxa"/>
            <w:shd w:val="clear" w:color="auto" w:fill="auto"/>
          </w:tcPr>
          <w:p w14:paraId="1DC7D6EB" w14:textId="3A1E01C9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1.000-1.003</w:t>
            </w:r>
          </w:p>
        </w:tc>
        <w:tc>
          <w:tcPr>
            <w:tcW w:w="1417" w:type="dxa"/>
            <w:shd w:val="clear" w:color="auto" w:fill="auto"/>
          </w:tcPr>
          <w:p w14:paraId="168CBE21" w14:textId="6826967C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06C6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C2FDD" w:rsidRPr="00C11241" w14:paraId="74CA2C0A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1A7EC4E0" w14:textId="40E8173E" w:rsidR="00AC2FDD" w:rsidRPr="00C11241" w:rsidRDefault="00847D71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Cystatin-</w:t>
            </w:r>
            <w:r w:rsidR="00AC2FDD"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C (mg/L)</w:t>
            </w:r>
          </w:p>
        </w:tc>
        <w:tc>
          <w:tcPr>
            <w:tcW w:w="2670" w:type="dxa"/>
            <w:shd w:val="clear" w:color="auto" w:fill="auto"/>
          </w:tcPr>
          <w:p w14:paraId="0C537B67" w14:textId="59772660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 xml:space="preserve">Per 1 </w:t>
            </w:r>
            <w:r w:rsidRPr="00C11241">
              <w:rPr>
                <w:rFonts w:ascii="Times New Roman" w:hAnsi="Times New Roman" w:cs="Times New Roman"/>
                <w:bCs/>
                <w:sz w:val="20"/>
                <w:szCs w:val="20"/>
              </w:rPr>
              <w:t>mg/L increase</w:t>
            </w:r>
          </w:p>
        </w:tc>
        <w:tc>
          <w:tcPr>
            <w:tcW w:w="1218" w:type="dxa"/>
            <w:shd w:val="clear" w:color="auto" w:fill="auto"/>
          </w:tcPr>
          <w:p w14:paraId="79B1D078" w14:textId="7801CE4D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843" w:type="dxa"/>
            <w:shd w:val="clear" w:color="auto" w:fill="auto"/>
          </w:tcPr>
          <w:p w14:paraId="35977252" w14:textId="27BD6CEE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1.19-1.57</w:t>
            </w:r>
          </w:p>
        </w:tc>
        <w:tc>
          <w:tcPr>
            <w:tcW w:w="1417" w:type="dxa"/>
            <w:shd w:val="clear" w:color="auto" w:fill="auto"/>
          </w:tcPr>
          <w:p w14:paraId="0E098ED5" w14:textId="2B68120D" w:rsidR="00AC2FDD" w:rsidRPr="00C11241" w:rsidRDefault="00D06C61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56FC38F5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087BA765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Uric acid (umol/L)</w:t>
            </w:r>
          </w:p>
        </w:tc>
        <w:tc>
          <w:tcPr>
            <w:tcW w:w="2670" w:type="dxa"/>
            <w:shd w:val="clear" w:color="auto" w:fill="auto"/>
          </w:tcPr>
          <w:p w14:paraId="0AD17E19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umol/L increase</w:t>
            </w:r>
          </w:p>
        </w:tc>
        <w:tc>
          <w:tcPr>
            <w:tcW w:w="1218" w:type="dxa"/>
            <w:shd w:val="clear" w:color="auto" w:fill="auto"/>
          </w:tcPr>
          <w:p w14:paraId="21DF4599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1.003</w:t>
            </w:r>
          </w:p>
        </w:tc>
        <w:tc>
          <w:tcPr>
            <w:tcW w:w="1843" w:type="dxa"/>
            <w:shd w:val="clear" w:color="auto" w:fill="auto"/>
          </w:tcPr>
          <w:p w14:paraId="0D7DC11F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1.001-1.005</w:t>
            </w:r>
          </w:p>
        </w:tc>
        <w:tc>
          <w:tcPr>
            <w:tcW w:w="1417" w:type="dxa"/>
            <w:shd w:val="clear" w:color="auto" w:fill="auto"/>
          </w:tcPr>
          <w:p w14:paraId="2C668121" w14:textId="791B4BDF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2B9A2F97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2521E4A6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Triglyceride (mmol/L)</w:t>
            </w:r>
          </w:p>
        </w:tc>
        <w:tc>
          <w:tcPr>
            <w:tcW w:w="2670" w:type="dxa"/>
            <w:shd w:val="clear" w:color="auto" w:fill="auto"/>
          </w:tcPr>
          <w:p w14:paraId="204D7F63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mmol/L increase</w:t>
            </w:r>
          </w:p>
        </w:tc>
        <w:tc>
          <w:tcPr>
            <w:tcW w:w="1218" w:type="dxa"/>
            <w:shd w:val="clear" w:color="auto" w:fill="auto"/>
          </w:tcPr>
          <w:p w14:paraId="581CAC97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843" w:type="dxa"/>
            <w:shd w:val="clear" w:color="auto" w:fill="auto"/>
          </w:tcPr>
          <w:p w14:paraId="5F15FC76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0.47-0.88</w:t>
            </w:r>
          </w:p>
        </w:tc>
        <w:tc>
          <w:tcPr>
            <w:tcW w:w="1417" w:type="dxa"/>
            <w:shd w:val="clear" w:color="auto" w:fill="auto"/>
          </w:tcPr>
          <w:p w14:paraId="69833260" w14:textId="2F636024" w:rsidR="00AC2FDD" w:rsidRPr="00C11241" w:rsidRDefault="000F0A2A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AC2FDD" w:rsidRPr="00C11241" w14:paraId="15CAEF09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55208B98" w14:textId="5789B2C6" w:rsidR="00AC2FDD" w:rsidRPr="00C11241" w:rsidRDefault="00D45385" w:rsidP="00D45385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 c</w:t>
            </w:r>
            <w:r w:rsidR="00AC2FDD"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holesterol (mmol/L)</w:t>
            </w:r>
          </w:p>
        </w:tc>
        <w:tc>
          <w:tcPr>
            <w:tcW w:w="2670" w:type="dxa"/>
            <w:shd w:val="clear" w:color="auto" w:fill="auto"/>
          </w:tcPr>
          <w:p w14:paraId="5C983AF5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mmol/L increase</w:t>
            </w:r>
          </w:p>
        </w:tc>
        <w:tc>
          <w:tcPr>
            <w:tcW w:w="1218" w:type="dxa"/>
            <w:shd w:val="clear" w:color="auto" w:fill="auto"/>
          </w:tcPr>
          <w:p w14:paraId="571AA2B1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843" w:type="dxa"/>
            <w:shd w:val="clear" w:color="auto" w:fill="auto"/>
          </w:tcPr>
          <w:p w14:paraId="33E04A66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0.56-0.87</w:t>
            </w:r>
          </w:p>
        </w:tc>
        <w:tc>
          <w:tcPr>
            <w:tcW w:w="1417" w:type="dxa"/>
            <w:shd w:val="clear" w:color="auto" w:fill="auto"/>
          </w:tcPr>
          <w:p w14:paraId="3E930CB0" w14:textId="0DFD500C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AC2FDD" w:rsidRPr="00C11241" w14:paraId="2533DF8B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2540D748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LDL-C (mmol/L)</w:t>
            </w:r>
          </w:p>
        </w:tc>
        <w:tc>
          <w:tcPr>
            <w:tcW w:w="2670" w:type="dxa"/>
            <w:shd w:val="clear" w:color="auto" w:fill="auto"/>
          </w:tcPr>
          <w:p w14:paraId="438FA2AC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mmol/L increase</w:t>
            </w:r>
          </w:p>
        </w:tc>
        <w:tc>
          <w:tcPr>
            <w:tcW w:w="1218" w:type="dxa"/>
            <w:shd w:val="clear" w:color="auto" w:fill="auto"/>
          </w:tcPr>
          <w:p w14:paraId="78607F31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843" w:type="dxa"/>
            <w:shd w:val="clear" w:color="auto" w:fill="auto"/>
          </w:tcPr>
          <w:p w14:paraId="28FC6B6B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0.49-0.86</w:t>
            </w:r>
          </w:p>
        </w:tc>
        <w:tc>
          <w:tcPr>
            <w:tcW w:w="1417" w:type="dxa"/>
            <w:shd w:val="clear" w:color="auto" w:fill="auto"/>
          </w:tcPr>
          <w:p w14:paraId="76B1C202" w14:textId="3DDD6F53" w:rsidR="00AC2FDD" w:rsidRPr="00C11241" w:rsidRDefault="000F0A2A" w:rsidP="004D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AC2FDD" w:rsidRPr="00C11241" w14:paraId="4624F625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52139E87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LVEDD (mm)</w:t>
            </w:r>
          </w:p>
        </w:tc>
        <w:tc>
          <w:tcPr>
            <w:tcW w:w="2670" w:type="dxa"/>
            <w:shd w:val="clear" w:color="auto" w:fill="auto"/>
          </w:tcPr>
          <w:p w14:paraId="55B58260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 increase</w:t>
            </w:r>
          </w:p>
        </w:tc>
        <w:tc>
          <w:tcPr>
            <w:tcW w:w="1218" w:type="dxa"/>
            <w:shd w:val="clear" w:color="auto" w:fill="auto"/>
          </w:tcPr>
          <w:p w14:paraId="2F5774D8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843" w:type="dxa"/>
            <w:shd w:val="clear" w:color="auto" w:fill="auto"/>
          </w:tcPr>
          <w:p w14:paraId="492A3F63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0.92-1.00</w:t>
            </w:r>
          </w:p>
        </w:tc>
        <w:tc>
          <w:tcPr>
            <w:tcW w:w="1417" w:type="dxa"/>
            <w:shd w:val="clear" w:color="auto" w:fill="auto"/>
          </w:tcPr>
          <w:p w14:paraId="74CE864A" w14:textId="3F1960CF" w:rsidR="00AC2FDD" w:rsidRPr="00C11241" w:rsidRDefault="00AC2FDD" w:rsidP="000F0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0F0A2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AC2FDD" w:rsidRPr="00C11241" w14:paraId="2A17DBA0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1303D08C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LA (mm)</w:t>
            </w:r>
          </w:p>
        </w:tc>
        <w:tc>
          <w:tcPr>
            <w:tcW w:w="2670" w:type="dxa"/>
            <w:shd w:val="clear" w:color="auto" w:fill="auto"/>
          </w:tcPr>
          <w:p w14:paraId="146452F2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 increase</w:t>
            </w:r>
          </w:p>
        </w:tc>
        <w:tc>
          <w:tcPr>
            <w:tcW w:w="1218" w:type="dxa"/>
            <w:shd w:val="clear" w:color="auto" w:fill="auto"/>
          </w:tcPr>
          <w:p w14:paraId="67CEB759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843" w:type="dxa"/>
            <w:shd w:val="clear" w:color="auto" w:fill="auto"/>
          </w:tcPr>
          <w:p w14:paraId="005CBC55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1.01-1.06</w:t>
            </w:r>
          </w:p>
        </w:tc>
        <w:tc>
          <w:tcPr>
            <w:tcW w:w="1417" w:type="dxa"/>
            <w:shd w:val="clear" w:color="auto" w:fill="auto"/>
          </w:tcPr>
          <w:p w14:paraId="00B1CB0B" w14:textId="2F8E7B84" w:rsidR="00AC2FDD" w:rsidRPr="00C11241" w:rsidRDefault="00AC2FDD" w:rsidP="00D06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F21D1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AC2FDD" w:rsidRPr="00C11241" w14:paraId="48E20B81" w14:textId="77777777" w:rsidTr="00D453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70515267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LVPW (mm)</w:t>
            </w:r>
          </w:p>
        </w:tc>
        <w:tc>
          <w:tcPr>
            <w:tcW w:w="2670" w:type="dxa"/>
            <w:shd w:val="clear" w:color="auto" w:fill="auto"/>
          </w:tcPr>
          <w:p w14:paraId="7AD32BFB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mm increase</w:t>
            </w:r>
          </w:p>
        </w:tc>
        <w:tc>
          <w:tcPr>
            <w:tcW w:w="1218" w:type="dxa"/>
            <w:shd w:val="clear" w:color="auto" w:fill="auto"/>
          </w:tcPr>
          <w:p w14:paraId="124B320D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843" w:type="dxa"/>
            <w:shd w:val="clear" w:color="auto" w:fill="auto"/>
          </w:tcPr>
          <w:p w14:paraId="69CBC58E" w14:textId="77777777" w:rsidR="00AC2FDD" w:rsidRPr="00C11241" w:rsidRDefault="00AC2FDD" w:rsidP="0095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1.04-1.15</w:t>
            </w:r>
          </w:p>
        </w:tc>
        <w:tc>
          <w:tcPr>
            <w:tcW w:w="1417" w:type="dxa"/>
            <w:shd w:val="clear" w:color="auto" w:fill="auto"/>
          </w:tcPr>
          <w:p w14:paraId="4966D890" w14:textId="443BB336" w:rsidR="00AC2FDD" w:rsidRPr="00C11241" w:rsidRDefault="00D06C61" w:rsidP="004D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8602AA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C2FDD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C2FDD" w:rsidRPr="00C11241" w14:paraId="619E48BF" w14:textId="77777777" w:rsidTr="00D4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</w:tcPr>
          <w:p w14:paraId="22E0374C" w14:textId="77777777" w:rsidR="00AC2FDD" w:rsidRPr="00C11241" w:rsidRDefault="00AC2FDD" w:rsidP="00955FFA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b w:val="0"/>
                <w:sz w:val="20"/>
                <w:szCs w:val="20"/>
              </w:rPr>
              <w:t>EF (%)</w:t>
            </w:r>
          </w:p>
        </w:tc>
        <w:tc>
          <w:tcPr>
            <w:tcW w:w="2670" w:type="dxa"/>
            <w:shd w:val="clear" w:color="auto" w:fill="auto"/>
          </w:tcPr>
          <w:p w14:paraId="0EB61383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Per 1 percent increase</w:t>
            </w:r>
          </w:p>
        </w:tc>
        <w:tc>
          <w:tcPr>
            <w:tcW w:w="1218" w:type="dxa"/>
            <w:shd w:val="clear" w:color="auto" w:fill="auto"/>
          </w:tcPr>
          <w:p w14:paraId="7A174534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843" w:type="dxa"/>
            <w:shd w:val="clear" w:color="auto" w:fill="auto"/>
          </w:tcPr>
          <w:p w14:paraId="69C6DA11" w14:textId="77777777" w:rsidR="00AC2FDD" w:rsidRPr="00C11241" w:rsidRDefault="00AC2FDD" w:rsidP="00955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sz w:val="20"/>
                <w:szCs w:val="20"/>
              </w:rPr>
              <w:t>0.95-0.99</w:t>
            </w:r>
          </w:p>
        </w:tc>
        <w:tc>
          <w:tcPr>
            <w:tcW w:w="1417" w:type="dxa"/>
            <w:shd w:val="clear" w:color="auto" w:fill="auto"/>
          </w:tcPr>
          <w:p w14:paraId="0CA8B9E3" w14:textId="58E3D8F3" w:rsidR="00AC2FDD" w:rsidRPr="00C11241" w:rsidRDefault="00D06C61" w:rsidP="0081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813941" w:rsidRPr="00C11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</w:tr>
    </w:tbl>
    <w:p w14:paraId="3CD4137A" w14:textId="1E39239C" w:rsidR="004E47CF" w:rsidRPr="00C11241" w:rsidRDefault="00F110F6" w:rsidP="00D02B33">
      <w:pPr>
        <w:ind w:leftChars="-135" w:left="-283"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 w:rsidRPr="00C11241">
        <w:rPr>
          <w:rFonts w:ascii="Times New Roman" w:hAnsi="Times New Roman" w:cs="Times New Roman"/>
          <w:color w:val="000000" w:themeColor="text1"/>
          <w:sz w:val="20"/>
          <w:szCs w:val="20"/>
        </w:rPr>
        <w:t>Only v</w:t>
      </w:r>
      <w:r w:rsidR="004E47CF" w:rsidRPr="00C11241">
        <w:rPr>
          <w:rFonts w:ascii="Times New Roman" w:hAnsi="Times New Roman" w:cs="Times New Roman"/>
          <w:color w:val="000000" w:themeColor="text1"/>
          <w:sz w:val="20"/>
          <w:szCs w:val="20"/>
        </w:rPr>
        <w:t>ariables which were significantly associated with all-cause mortality (p &lt; 0.1</w:t>
      </w:r>
      <w:r w:rsidR="008B4508" w:rsidRPr="00C11241">
        <w:rPr>
          <w:rFonts w:ascii="Times New Roman" w:hAnsi="Times New Roman" w:cs="Times New Roman"/>
          <w:color w:val="000000" w:themeColor="text1"/>
          <w:sz w:val="20"/>
          <w:szCs w:val="20"/>
        </w:rPr>
        <w:t>00</w:t>
      </w:r>
      <w:r w:rsidR="004E47CF" w:rsidRPr="00C11241">
        <w:rPr>
          <w:rFonts w:ascii="Times New Roman" w:hAnsi="Times New Roman" w:cs="Times New Roman"/>
          <w:color w:val="000000" w:themeColor="text1"/>
          <w:sz w:val="20"/>
          <w:szCs w:val="20"/>
        </w:rPr>
        <w:t>) were shown.</w:t>
      </w:r>
    </w:p>
    <w:p w14:paraId="1602A27E" w14:textId="77777777" w:rsidR="00384A61" w:rsidRDefault="002E11AE" w:rsidP="00D02B33">
      <w:pPr>
        <w:ind w:leftChars="-135" w:left="-283" w:rightChars="-157" w:right="-330"/>
        <w:jc w:val="left"/>
        <w:rPr>
          <w:rFonts w:ascii="Times New Roman" w:hAnsi="Times New Roman" w:cs="Times New Roman"/>
          <w:sz w:val="20"/>
          <w:szCs w:val="20"/>
        </w:rPr>
        <w:sectPr w:rsidR="00384A61" w:rsidSect="00AC2FDD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C11241">
        <w:rPr>
          <w:rFonts w:ascii="Times New Roman" w:hAnsi="Times New Roman" w:cs="Times New Roman"/>
          <w:sz w:val="20"/>
          <w:szCs w:val="20"/>
        </w:rPr>
        <w:t xml:space="preserve">AF: atrial fibrillation; BUN: blood urea nitrogen; CI: confidence interval; COPD: chronic obstructive pulmonary disease; EF: ejection fraction; </w:t>
      </w:r>
      <w:r w:rsidR="000E1673" w:rsidRPr="00C11241">
        <w:rPr>
          <w:rFonts w:ascii="Times New Roman" w:hAnsi="Times New Roman" w:cs="Times New Roman"/>
          <w:kern w:val="0"/>
          <w:sz w:val="20"/>
          <w:szCs w:val="20"/>
        </w:rPr>
        <w:t xml:space="preserve">eGFR: estimated glomerular filtration rate; </w:t>
      </w:r>
      <w:r w:rsidRPr="00C11241">
        <w:rPr>
          <w:rFonts w:ascii="Times New Roman" w:hAnsi="Times New Roman" w:cs="Times New Roman"/>
          <w:sz w:val="20"/>
          <w:szCs w:val="20"/>
        </w:rPr>
        <w:t xml:space="preserve">HCM: hypertrophic cardiomyopathy; HR: hazard ratio; LA: left atria diameter; LDL-C: low density lipoprotein cholesterol; LVEDD: left ventricular end-diastolic dimension; </w:t>
      </w:r>
      <w:r w:rsidR="009F5CA7" w:rsidRPr="00C11241">
        <w:rPr>
          <w:rFonts w:ascii="Times New Roman" w:hAnsi="Times New Roman" w:cs="Times New Roman"/>
          <w:kern w:val="0"/>
          <w:sz w:val="20"/>
          <w:szCs w:val="20"/>
        </w:rPr>
        <w:t xml:space="preserve">LVOTO: left ventricular outflow track obstruction; </w:t>
      </w:r>
      <w:r w:rsidRPr="00C11241">
        <w:rPr>
          <w:rFonts w:ascii="Times New Roman" w:hAnsi="Times New Roman" w:cs="Times New Roman"/>
          <w:sz w:val="20"/>
          <w:szCs w:val="20"/>
        </w:rPr>
        <w:t>LVPW: left ventricular posterior wall; NYHA: New York Heart Association; SCD: sudden cardiac death</w:t>
      </w:r>
      <w:r w:rsidR="00164566" w:rsidRPr="00C11241">
        <w:rPr>
          <w:rFonts w:ascii="Times New Roman" w:hAnsi="Times New Roman" w:cs="Times New Roman"/>
          <w:sz w:val="20"/>
          <w:szCs w:val="20"/>
        </w:rPr>
        <w:t>; TE: thromboembolism event</w:t>
      </w:r>
    </w:p>
    <w:p w14:paraId="58BFFE14" w14:textId="23CCFAFD" w:rsidR="00384A61" w:rsidRDefault="00384A61" w:rsidP="00EC44AC">
      <w:pPr>
        <w:ind w:leftChars="-135" w:left="-283"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 w:rsidRPr="00384A61">
        <w:rPr>
          <w:rFonts w:ascii="Times New Roman" w:hAnsi="Times New Roman" w:cs="Times New Roman" w:hint="eastAsia"/>
          <w:sz w:val="20"/>
          <w:szCs w:val="20"/>
        </w:rPr>
        <w:lastRenderedPageBreak/>
        <w:t>Figure S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. Time-dependent AUCs of </w:t>
      </w:r>
      <w:r>
        <w:rPr>
          <w:rFonts w:ascii="Times New Roman" w:hAnsi="Times New Roman" w:cs="Times New Roman" w:hint="eastAsia"/>
          <w:sz w:val="20"/>
          <w:szCs w:val="20"/>
        </w:rPr>
        <w:t>eGFR</w:t>
      </w:r>
      <w:r w:rsidR="00EB26C6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EB26C6" w:rsidRPr="00EB26C6">
        <w:rPr>
          <w:rFonts w:ascii="Times New Roman" w:hAnsi="Times New Roman" w:cs="Times New Roman"/>
          <w:sz w:val="20"/>
          <w:szCs w:val="20"/>
        </w:rPr>
        <w:t>MDRD</w:t>
      </w:r>
      <w:r w:rsidR="00C21AA5">
        <w:rPr>
          <w:rFonts w:ascii="Times New Roman" w:hAnsi="Times New Roman" w:cs="Times New Roman" w:hint="eastAsia"/>
          <w:sz w:val="20"/>
          <w:szCs w:val="20"/>
        </w:rPr>
        <w:t xml:space="preserve"> formula</w:t>
      </w:r>
      <w:r w:rsidR="00EB26C6">
        <w:rPr>
          <w:rFonts w:ascii="Times New Roman" w:hAnsi="Times New Roman" w:cs="Times New Roman" w:hint="eastAsia"/>
          <w:sz w:val="20"/>
          <w:szCs w:val="20"/>
        </w:rPr>
        <w:t>)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 for predicting all-cause mortality with the extension of time</w:t>
      </w:r>
    </w:p>
    <w:p w14:paraId="550EE655" w14:textId="77777777" w:rsidR="00B5245A" w:rsidRPr="00B5245A" w:rsidRDefault="00B5245A" w:rsidP="00384A61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</w:pPr>
    </w:p>
    <w:p w14:paraId="1E74D27B" w14:textId="647494F5" w:rsidR="00384A61" w:rsidRDefault="000437A1" w:rsidP="00384A61">
      <w:pPr>
        <w:ind w:leftChars="-135" w:left="-283" w:rightChars="-157" w:right="-3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A5E1DC" wp14:editId="45C644A1">
            <wp:extent cx="2869565" cy="2743200"/>
            <wp:effectExtent l="0" t="0" r="6985" b="0"/>
            <wp:docPr id="841505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3D0B2" w14:textId="2BF8A571" w:rsidR="00D0225C" w:rsidRPr="00C11241" w:rsidRDefault="00D0225C" w:rsidP="00D0225C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Notes: </w:t>
      </w:r>
      <w:r w:rsidRPr="00D0225C">
        <w:rPr>
          <w:rFonts w:ascii="Times New Roman" w:hAnsi="Times New Roman" w:cs="Times New Roman" w:hint="eastAsia"/>
          <w:sz w:val="20"/>
          <w:szCs w:val="20"/>
        </w:rPr>
        <w:t xml:space="preserve">Time-dependent AUC at each time of the follow-up was plotted to evaluate the accuracy of </w:t>
      </w:r>
      <w:r>
        <w:rPr>
          <w:rFonts w:ascii="Times New Roman" w:hAnsi="Times New Roman" w:cs="Times New Roman" w:hint="eastAsia"/>
          <w:sz w:val="20"/>
          <w:szCs w:val="20"/>
        </w:rPr>
        <w:t>eGFR</w:t>
      </w:r>
      <w:r w:rsidR="002E0CF0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2E0CF0" w:rsidRPr="00EB26C6">
        <w:rPr>
          <w:rFonts w:ascii="Times New Roman" w:hAnsi="Times New Roman" w:cs="Times New Roman"/>
          <w:sz w:val="20"/>
          <w:szCs w:val="20"/>
        </w:rPr>
        <w:t>MDRD</w:t>
      </w:r>
      <w:r w:rsidR="002E0CF0">
        <w:rPr>
          <w:rFonts w:ascii="Times New Roman" w:hAnsi="Times New Roman" w:cs="Times New Roman" w:hint="eastAsia"/>
          <w:sz w:val="20"/>
          <w:szCs w:val="20"/>
        </w:rPr>
        <w:t xml:space="preserve"> formula)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0225C">
        <w:rPr>
          <w:rFonts w:ascii="Times New Roman" w:hAnsi="Times New Roman" w:cs="Times New Roman" w:hint="eastAsia"/>
          <w:sz w:val="20"/>
          <w:szCs w:val="20"/>
        </w:rPr>
        <w:t>in the prediction of all-cause mortality. A generally accepted approach suggests that an AUC of less</w:t>
      </w:r>
      <w:r w:rsidRPr="00D0225C">
        <w:rPr>
          <w:rFonts w:ascii="Times New Roman" w:hAnsi="Times New Roman" w:cs="Times New Roman"/>
          <w:sz w:val="20"/>
          <w:szCs w:val="20"/>
        </w:rPr>
        <w:t xml:space="preserve"> than 0.60 reflects poor discrimination; 0.60 to 0.75, possibly helpful discrimination; and more than 0.75, clearly useful discrimination. </w:t>
      </w:r>
      <w:r w:rsidR="000437A1">
        <w:rPr>
          <w:rFonts w:ascii="Times New Roman" w:hAnsi="Times New Roman" w:cs="Times New Roman" w:hint="eastAsia"/>
          <w:sz w:val="20"/>
          <w:szCs w:val="20"/>
        </w:rPr>
        <w:t>eGFR (MDRD) shows poor</w:t>
      </w:r>
      <w:r w:rsidR="00FB4466">
        <w:rPr>
          <w:rFonts w:ascii="Times New Roman" w:hAnsi="Times New Roman" w:cs="Times New Roman" w:hint="eastAsia"/>
          <w:sz w:val="20"/>
          <w:szCs w:val="20"/>
        </w:rPr>
        <w:t>er</w:t>
      </w:r>
      <w:r w:rsidR="000437A1">
        <w:rPr>
          <w:rFonts w:ascii="Times New Roman" w:hAnsi="Times New Roman" w:cs="Times New Roman" w:hint="eastAsia"/>
          <w:sz w:val="20"/>
          <w:szCs w:val="20"/>
        </w:rPr>
        <w:t xml:space="preserve"> discrimination with time extending. </w:t>
      </w:r>
      <w:r w:rsidRPr="00C11241">
        <w:rPr>
          <w:rFonts w:ascii="Times New Roman" w:hAnsi="Times New Roman" w:cs="Times New Roman"/>
          <w:sz w:val="20"/>
          <w:szCs w:val="20"/>
        </w:rPr>
        <w:t>AUC, area under the curves; CI, confidence interval</w:t>
      </w:r>
      <w:r>
        <w:rPr>
          <w:rFonts w:ascii="Times New Roman" w:hAnsi="Times New Roman" w:cs="Times New Roman" w:hint="eastAsia"/>
          <w:sz w:val="20"/>
          <w:szCs w:val="20"/>
        </w:rPr>
        <w:t xml:space="preserve">; eGFR, estimated </w:t>
      </w:r>
      <w:r w:rsidRPr="00D0225C">
        <w:rPr>
          <w:rFonts w:ascii="Times New Roman" w:hAnsi="Times New Roman" w:cs="Times New Roman"/>
          <w:sz w:val="20"/>
          <w:szCs w:val="20"/>
        </w:rPr>
        <w:t>glomerular filtration rate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D0225C">
        <w:rPr>
          <w:rFonts w:ascii="Times New Roman" w:hAnsi="Times New Roman" w:cs="Times New Roman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HCM, hypertrophic cardiomyopathy</w:t>
      </w:r>
    </w:p>
    <w:p w14:paraId="6AEC35AB" w14:textId="77777777" w:rsidR="00D0225C" w:rsidRPr="00D0225C" w:rsidRDefault="00D0225C" w:rsidP="00D0225C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</w:pPr>
    </w:p>
    <w:p w14:paraId="698127A1" w14:textId="77777777" w:rsidR="005E4D42" w:rsidRDefault="005E4D42" w:rsidP="00D0225C">
      <w:pPr>
        <w:ind w:rightChars="-157" w:right="-330"/>
        <w:rPr>
          <w:rFonts w:ascii="Times New Roman" w:hAnsi="Times New Roman" w:cs="Times New Roman"/>
          <w:sz w:val="20"/>
          <w:szCs w:val="20"/>
        </w:rPr>
        <w:sectPr w:rsidR="005E4D42" w:rsidSect="00AC2FDD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1EBB40BB" w14:textId="77777777" w:rsidR="00D0225C" w:rsidRDefault="005E4D42" w:rsidP="00C21AA5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 w:rsidRPr="00384A61">
        <w:rPr>
          <w:rFonts w:ascii="Times New Roman" w:hAnsi="Times New Roman" w:cs="Times New Roman" w:hint="eastAsia"/>
          <w:sz w:val="20"/>
          <w:szCs w:val="20"/>
        </w:rPr>
        <w:lastRenderedPageBreak/>
        <w:t>Figure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. Time-dependent AUCs of </w:t>
      </w:r>
      <w:r w:rsidR="00C21AA5">
        <w:rPr>
          <w:rFonts w:ascii="Times New Roman" w:hAnsi="Times New Roman" w:cs="Times New Roman" w:hint="eastAsia"/>
          <w:sz w:val="20"/>
          <w:szCs w:val="20"/>
        </w:rPr>
        <w:t>eGFR (CKD-EPI formula)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 for predicting all-cause mortality with the extension of time</w:t>
      </w:r>
      <w:r w:rsidR="008C69DF">
        <w:rPr>
          <w:rFonts w:ascii="Times New Roman" w:hAnsi="Times New Roman" w:cs="Times New Roman" w:hint="eastAsia"/>
          <w:sz w:val="20"/>
          <w:szCs w:val="20"/>
        </w:rPr>
        <w:t>.</w:t>
      </w:r>
    </w:p>
    <w:p w14:paraId="237AC4A1" w14:textId="70D4F991" w:rsidR="00A04BD0" w:rsidRDefault="00FB4466" w:rsidP="00A04BD0">
      <w:pPr>
        <w:ind w:rightChars="-157" w:right="-3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7A2319" wp14:editId="11B5C8C8">
            <wp:extent cx="2919095" cy="2743200"/>
            <wp:effectExtent l="0" t="0" r="0" b="0"/>
            <wp:docPr id="10083387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0A39" w14:textId="435C28A8" w:rsidR="00A04BD0" w:rsidRPr="00C11241" w:rsidRDefault="00A04BD0" w:rsidP="00A04BD0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Notes: </w:t>
      </w:r>
      <w:r w:rsidRPr="00D0225C">
        <w:rPr>
          <w:rFonts w:ascii="Times New Roman" w:hAnsi="Times New Roman" w:cs="Times New Roman" w:hint="eastAsia"/>
          <w:sz w:val="20"/>
          <w:szCs w:val="20"/>
        </w:rPr>
        <w:t xml:space="preserve">Time-dependent AUC at each time of the follow-up was plotted to evaluate the accuracy of </w:t>
      </w:r>
      <w:r>
        <w:rPr>
          <w:rFonts w:ascii="Times New Roman" w:hAnsi="Times New Roman" w:cs="Times New Roman" w:hint="eastAsia"/>
          <w:sz w:val="20"/>
          <w:szCs w:val="20"/>
        </w:rPr>
        <w:t>eGFR</w:t>
      </w:r>
      <w:r w:rsidR="00D06692">
        <w:rPr>
          <w:rFonts w:ascii="Times New Roman" w:hAnsi="Times New Roman" w:cs="Times New Roman" w:hint="eastAsia"/>
          <w:sz w:val="20"/>
          <w:szCs w:val="20"/>
        </w:rPr>
        <w:t xml:space="preserve"> (CKD-EPI formula)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0225C">
        <w:rPr>
          <w:rFonts w:ascii="Times New Roman" w:hAnsi="Times New Roman" w:cs="Times New Roman" w:hint="eastAsia"/>
          <w:sz w:val="20"/>
          <w:szCs w:val="20"/>
        </w:rPr>
        <w:t>in the prediction of all-cause mortality. A generally accepted approach suggests that an AUC of less</w:t>
      </w:r>
      <w:r w:rsidRPr="00D0225C">
        <w:rPr>
          <w:rFonts w:ascii="Times New Roman" w:hAnsi="Times New Roman" w:cs="Times New Roman"/>
          <w:sz w:val="20"/>
          <w:szCs w:val="20"/>
        </w:rPr>
        <w:t xml:space="preserve"> than 0.60 reflects poor discrimination; 0.60 to 0.75, possibly helpful discrimination; and more than 0.75, clearly useful discrimination. </w:t>
      </w:r>
      <w:r w:rsidR="0084155A">
        <w:rPr>
          <w:rFonts w:ascii="Times New Roman" w:hAnsi="Times New Roman" w:cs="Times New Roman" w:hint="eastAsia"/>
          <w:sz w:val="20"/>
          <w:szCs w:val="20"/>
        </w:rPr>
        <w:t xml:space="preserve">AUCs of </w:t>
      </w:r>
      <w:r w:rsidR="0084155A">
        <w:rPr>
          <w:rFonts w:ascii="Times New Roman" w:hAnsi="Times New Roman" w:cs="Times New Roman" w:hint="eastAsia"/>
          <w:sz w:val="20"/>
          <w:szCs w:val="20"/>
        </w:rPr>
        <w:t>eGFR (</w:t>
      </w:r>
      <w:r w:rsidR="0084155A">
        <w:rPr>
          <w:rFonts w:ascii="Times New Roman" w:hAnsi="Times New Roman" w:cs="Times New Roman" w:hint="eastAsia"/>
          <w:sz w:val="20"/>
          <w:szCs w:val="20"/>
        </w:rPr>
        <w:t>CKD-EPI</w:t>
      </w:r>
      <w:r w:rsidR="0084155A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84155A">
        <w:rPr>
          <w:rFonts w:ascii="Times New Roman" w:hAnsi="Times New Roman" w:cs="Times New Roman" w:hint="eastAsia"/>
          <w:sz w:val="20"/>
          <w:szCs w:val="20"/>
        </w:rPr>
        <w:t xml:space="preserve">at most time points are below 0.4, </w:t>
      </w:r>
      <w:r w:rsidR="0084155A">
        <w:rPr>
          <w:rFonts w:ascii="Times New Roman" w:hAnsi="Times New Roman" w:cs="Times New Roman" w:hint="eastAsia"/>
          <w:sz w:val="20"/>
          <w:szCs w:val="20"/>
        </w:rPr>
        <w:t>show</w:t>
      </w:r>
      <w:r w:rsidR="0084155A">
        <w:rPr>
          <w:rFonts w:ascii="Times New Roman" w:hAnsi="Times New Roman" w:cs="Times New Roman" w:hint="eastAsia"/>
          <w:sz w:val="20"/>
          <w:szCs w:val="20"/>
        </w:rPr>
        <w:t>ing</w:t>
      </w:r>
      <w:r w:rsidR="0084155A">
        <w:rPr>
          <w:rFonts w:ascii="Times New Roman" w:hAnsi="Times New Roman" w:cs="Times New Roman" w:hint="eastAsia"/>
          <w:sz w:val="20"/>
          <w:szCs w:val="20"/>
        </w:rPr>
        <w:t xml:space="preserve"> poor discrimination.</w:t>
      </w:r>
      <w:r w:rsidR="0084155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AUC, area under the curves; CI, confidence interval</w:t>
      </w:r>
      <w:r>
        <w:rPr>
          <w:rFonts w:ascii="Times New Roman" w:hAnsi="Times New Roman" w:cs="Times New Roman" w:hint="eastAsia"/>
          <w:sz w:val="20"/>
          <w:szCs w:val="20"/>
        </w:rPr>
        <w:t xml:space="preserve">; eGFR, estimated </w:t>
      </w:r>
      <w:r w:rsidRPr="00D0225C">
        <w:rPr>
          <w:rFonts w:ascii="Times New Roman" w:hAnsi="Times New Roman" w:cs="Times New Roman"/>
          <w:sz w:val="20"/>
          <w:szCs w:val="20"/>
        </w:rPr>
        <w:t>glomerular filtration rate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D0225C">
        <w:rPr>
          <w:rFonts w:ascii="Times New Roman" w:hAnsi="Times New Roman" w:cs="Times New Roman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HCM, hypertrophic cardiomyopathy</w:t>
      </w:r>
    </w:p>
    <w:p w14:paraId="198C4169" w14:textId="77777777" w:rsidR="00A04BD0" w:rsidRPr="00A04BD0" w:rsidRDefault="00A04BD0" w:rsidP="00A04BD0">
      <w:pPr>
        <w:ind w:rightChars="-157" w:right="-330"/>
        <w:rPr>
          <w:rFonts w:ascii="Times New Roman" w:hAnsi="Times New Roman" w:cs="Times New Roman"/>
          <w:sz w:val="20"/>
          <w:szCs w:val="20"/>
        </w:rPr>
      </w:pPr>
    </w:p>
    <w:p w14:paraId="7E20898C" w14:textId="11ED0F71" w:rsidR="00A04BD0" w:rsidRDefault="00A04BD0" w:rsidP="00C21AA5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  <w:sectPr w:rsidR="00A04BD0" w:rsidSect="00AC2FDD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41D086ED" w14:textId="5A090C89" w:rsidR="00B5245A" w:rsidRDefault="00B5245A" w:rsidP="00B5245A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</w:pPr>
      <w:r w:rsidRPr="00384A61">
        <w:rPr>
          <w:rFonts w:ascii="Times New Roman" w:hAnsi="Times New Roman" w:cs="Times New Roman" w:hint="eastAsia"/>
          <w:sz w:val="20"/>
          <w:szCs w:val="20"/>
        </w:rPr>
        <w:lastRenderedPageBreak/>
        <w:t>Figure S</w:t>
      </w:r>
      <w:r w:rsidR="00F75CF3">
        <w:rPr>
          <w:rFonts w:ascii="Times New Roman" w:hAnsi="Times New Roman" w:cs="Times New Roman" w:hint="eastAsia"/>
          <w:sz w:val="20"/>
          <w:szCs w:val="20"/>
        </w:rPr>
        <w:t>3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. Time-dependent AUCs of serum </w:t>
      </w:r>
      <w:r>
        <w:rPr>
          <w:rFonts w:ascii="Times New Roman" w:hAnsi="Times New Roman" w:cs="Times New Roman" w:hint="eastAsia"/>
          <w:sz w:val="20"/>
          <w:szCs w:val="20"/>
        </w:rPr>
        <w:t>creatinine</w:t>
      </w:r>
      <w:r w:rsidRPr="00384A61">
        <w:rPr>
          <w:rFonts w:ascii="Times New Roman" w:hAnsi="Times New Roman" w:cs="Times New Roman" w:hint="eastAsia"/>
          <w:sz w:val="20"/>
          <w:szCs w:val="20"/>
        </w:rPr>
        <w:t xml:space="preserve"> for predicting all-cause mortality with the extension of time</w:t>
      </w:r>
    </w:p>
    <w:p w14:paraId="113F3B3E" w14:textId="77777777" w:rsidR="00B5245A" w:rsidRPr="00B5245A" w:rsidRDefault="00B5245A" w:rsidP="00B5245A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</w:pPr>
    </w:p>
    <w:p w14:paraId="20501495" w14:textId="77777777" w:rsidR="004F2130" w:rsidRDefault="00B5245A" w:rsidP="00B5245A">
      <w:pPr>
        <w:ind w:leftChars="-135" w:left="-283" w:rightChars="-157" w:right="-3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4CA0F3C" wp14:editId="7A133B15">
            <wp:extent cx="2870200" cy="2743200"/>
            <wp:effectExtent l="0" t="0" r="6350" b="0"/>
            <wp:docPr id="166855709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740B2" w14:textId="77777777" w:rsidR="00D0225C" w:rsidRDefault="00D0225C" w:rsidP="00D0225C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</w:pPr>
    </w:p>
    <w:p w14:paraId="50315B87" w14:textId="6E74C8C3" w:rsidR="00D0225C" w:rsidRPr="00C11241" w:rsidRDefault="00D0225C" w:rsidP="00D0225C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Notes: </w:t>
      </w:r>
      <w:r w:rsidRPr="00D0225C">
        <w:rPr>
          <w:rFonts w:ascii="Times New Roman" w:hAnsi="Times New Roman" w:cs="Times New Roman" w:hint="eastAsia"/>
          <w:sz w:val="20"/>
          <w:szCs w:val="20"/>
        </w:rPr>
        <w:t xml:space="preserve">Time-dependent AUC at each time of the follow-up was plotted to evaluate the accuracy of serum </w:t>
      </w:r>
      <w:r>
        <w:rPr>
          <w:rFonts w:ascii="Times New Roman" w:hAnsi="Times New Roman" w:cs="Times New Roman" w:hint="eastAsia"/>
          <w:sz w:val="20"/>
          <w:szCs w:val="20"/>
        </w:rPr>
        <w:t>creatinine</w:t>
      </w:r>
      <w:r w:rsidRPr="00D0225C">
        <w:rPr>
          <w:rFonts w:ascii="Times New Roman" w:hAnsi="Times New Roman" w:cs="Times New Roman" w:hint="eastAsia"/>
          <w:sz w:val="20"/>
          <w:szCs w:val="20"/>
        </w:rPr>
        <w:t xml:space="preserve"> in the prediction of all-cause mortality. A generally accepted approach suggests that an AUC of less</w:t>
      </w:r>
      <w:r w:rsidRPr="00D0225C">
        <w:rPr>
          <w:rFonts w:ascii="Times New Roman" w:hAnsi="Times New Roman" w:cs="Times New Roman"/>
          <w:sz w:val="20"/>
          <w:szCs w:val="20"/>
        </w:rPr>
        <w:t xml:space="preserve"> than 0.60 reflects poor discrimination; 0.60 to 0.75, possibly helpful discrimination; and more than 0.75, clearly useful discrimination. </w:t>
      </w:r>
      <w:r w:rsidR="00FB4466">
        <w:rPr>
          <w:rFonts w:ascii="Times New Roman" w:hAnsi="Times New Roman" w:cs="Times New Roman" w:hint="eastAsia"/>
          <w:sz w:val="20"/>
          <w:szCs w:val="20"/>
        </w:rPr>
        <w:t>Serum creatinine</w:t>
      </w:r>
      <w:r w:rsidR="00FB4466">
        <w:rPr>
          <w:rFonts w:ascii="Times New Roman" w:hAnsi="Times New Roman" w:cs="Times New Roman" w:hint="eastAsia"/>
          <w:sz w:val="20"/>
          <w:szCs w:val="20"/>
        </w:rPr>
        <w:t xml:space="preserve"> shows poor discrimination</w:t>
      </w:r>
      <w:r w:rsidR="00981EC0">
        <w:rPr>
          <w:rFonts w:ascii="Times New Roman" w:hAnsi="Times New Roman" w:cs="Times New Roman" w:hint="eastAsia"/>
          <w:sz w:val="20"/>
          <w:szCs w:val="20"/>
        </w:rPr>
        <w:t xml:space="preserve"> across the whole follow-up</w:t>
      </w:r>
      <w:r w:rsidR="00FB4466">
        <w:rPr>
          <w:rFonts w:ascii="Times New Roman" w:hAnsi="Times New Roman" w:cs="Times New Roman" w:hint="eastAsia"/>
          <w:sz w:val="20"/>
          <w:szCs w:val="20"/>
        </w:rPr>
        <w:t>.</w:t>
      </w:r>
      <w:r w:rsidR="00FB446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AUC, area under the curves;</w:t>
      </w:r>
      <w:r w:rsidRPr="00D0225C">
        <w:rPr>
          <w:rFonts w:ascii="Times New Roman" w:hAnsi="Times New Roman" w:cs="Times New Roman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C11241">
        <w:rPr>
          <w:rFonts w:ascii="Times New Roman" w:hAnsi="Times New Roman" w:cs="Times New Roman"/>
          <w:sz w:val="20"/>
          <w:szCs w:val="20"/>
        </w:rPr>
        <w:t xml:space="preserve"> HCM, hypertrophic cardiomyopathy.</w:t>
      </w:r>
    </w:p>
    <w:p w14:paraId="3CE9414E" w14:textId="10913977" w:rsidR="00D0225C" w:rsidRPr="00D0225C" w:rsidRDefault="00D0225C" w:rsidP="00D0225C">
      <w:pPr>
        <w:ind w:leftChars="-135" w:left="-283" w:rightChars="-157" w:right="-330"/>
        <w:rPr>
          <w:rFonts w:ascii="Times New Roman" w:hAnsi="Times New Roman" w:cs="Times New Roman"/>
          <w:sz w:val="20"/>
          <w:szCs w:val="20"/>
        </w:rPr>
        <w:sectPr w:rsidR="00D0225C" w:rsidRPr="00D0225C" w:rsidSect="00AC2FDD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3BEF0533" w14:textId="3EFCABB2" w:rsidR="00A12256" w:rsidRPr="00C11241" w:rsidRDefault="00A12256" w:rsidP="00A12256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 w:rsidRPr="00C11241">
        <w:rPr>
          <w:rFonts w:ascii="Times New Roman" w:hAnsi="Times New Roman" w:cs="Times New Roman"/>
          <w:sz w:val="20"/>
          <w:szCs w:val="20"/>
        </w:rPr>
        <w:lastRenderedPageBreak/>
        <w:t>Figure S</w:t>
      </w:r>
      <w:r w:rsidR="00F75CF3">
        <w:rPr>
          <w:rFonts w:ascii="Times New Roman" w:hAnsi="Times New Roman" w:cs="Times New Roman" w:hint="eastAsia"/>
          <w:sz w:val="20"/>
          <w:szCs w:val="20"/>
        </w:rPr>
        <w:t>4</w:t>
      </w:r>
      <w:r w:rsidRPr="00C11241">
        <w:rPr>
          <w:rFonts w:ascii="Times New Roman" w:hAnsi="Times New Roman" w:cs="Times New Roman"/>
          <w:sz w:val="20"/>
          <w:szCs w:val="20"/>
        </w:rPr>
        <w:t>. Pearson’s correlation coefficients between pairs of independent variables.</w:t>
      </w:r>
    </w:p>
    <w:p w14:paraId="3D37D3D6" w14:textId="77777777" w:rsidR="00A12256" w:rsidRPr="00C11241" w:rsidRDefault="00A12256" w:rsidP="00A12256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</w:p>
    <w:p w14:paraId="1059C26C" w14:textId="1764BA29" w:rsidR="00B268BC" w:rsidRPr="00C11241" w:rsidRDefault="004F2130" w:rsidP="004F2130">
      <w:pPr>
        <w:ind w:rightChars="-157" w:right="-330"/>
        <w:jc w:val="center"/>
        <w:rPr>
          <w:rFonts w:ascii="Times New Roman" w:hAnsi="Times New Roman" w:cs="Times New Roman"/>
          <w:sz w:val="20"/>
          <w:szCs w:val="20"/>
        </w:rPr>
      </w:pPr>
      <w:r w:rsidRPr="00C112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4B3180A" wp14:editId="43275FC0">
            <wp:extent cx="2914650" cy="2355850"/>
            <wp:effectExtent l="0" t="0" r="0" b="6350"/>
            <wp:docPr id="1648004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BCAC" w14:textId="66C06E93" w:rsidR="004F2130" w:rsidRPr="00C11241" w:rsidRDefault="00A12256" w:rsidP="004F2130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  <w:sectPr w:rsidR="004F2130" w:rsidRPr="00C11241" w:rsidSect="00AC2FDD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C11241">
        <w:rPr>
          <w:rFonts w:ascii="Times New Roman" w:hAnsi="Times New Roman" w:cs="Times New Roman"/>
          <w:sz w:val="20"/>
          <w:szCs w:val="20"/>
        </w:rPr>
        <w:t>Note</w:t>
      </w:r>
      <w:r w:rsidR="002622B5" w:rsidRPr="00C11241">
        <w:rPr>
          <w:rFonts w:ascii="Times New Roman" w:hAnsi="Times New Roman" w:cs="Times New Roman"/>
          <w:sz w:val="20"/>
          <w:szCs w:val="20"/>
        </w:rPr>
        <w:t>s</w:t>
      </w:r>
      <w:r w:rsidRPr="00C11241">
        <w:rPr>
          <w:rFonts w:ascii="Times New Roman" w:hAnsi="Times New Roman" w:cs="Times New Roman"/>
          <w:sz w:val="20"/>
          <w:szCs w:val="20"/>
        </w:rPr>
        <w:t xml:space="preserve">: VIF values and Pearson’s correlation coefficients were used to evaluate the degree of multicollinearity among the independent variables. All the correlation coefficients between pairs of independent variables were &lt; 0.7 and the VIF values were close to 1, indicating no collinearity among the independent variables. </w:t>
      </w:r>
      <w:r w:rsidR="006A0246" w:rsidRPr="00C11241">
        <w:rPr>
          <w:rFonts w:ascii="Times New Roman" w:hAnsi="Times New Roman" w:cs="Times New Roman"/>
          <w:sz w:val="20"/>
          <w:szCs w:val="20"/>
        </w:rPr>
        <w:t>BUN</w:t>
      </w:r>
      <w:r w:rsidR="002622B5" w:rsidRPr="00C11241">
        <w:rPr>
          <w:rFonts w:ascii="Times New Roman" w:hAnsi="Times New Roman" w:cs="Times New Roman"/>
          <w:sz w:val="20"/>
          <w:szCs w:val="20"/>
        </w:rPr>
        <w:t>,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blood urea nitrogen</w:t>
      </w:r>
      <w:r w:rsidR="002622B5" w:rsidRPr="00C11241">
        <w:rPr>
          <w:rFonts w:ascii="Times New Roman" w:hAnsi="Times New Roman" w:cs="Times New Roman"/>
          <w:sz w:val="20"/>
          <w:szCs w:val="20"/>
        </w:rPr>
        <w:t>;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LA</w:t>
      </w:r>
      <w:r w:rsidR="002622B5" w:rsidRPr="00C11241">
        <w:rPr>
          <w:rFonts w:ascii="Times New Roman" w:hAnsi="Times New Roman" w:cs="Times New Roman"/>
          <w:sz w:val="20"/>
          <w:szCs w:val="20"/>
        </w:rPr>
        <w:t xml:space="preserve">, </w:t>
      </w:r>
      <w:r w:rsidR="006A0246" w:rsidRPr="00C11241">
        <w:rPr>
          <w:rFonts w:ascii="Times New Roman" w:hAnsi="Times New Roman" w:cs="Times New Roman"/>
          <w:sz w:val="20"/>
          <w:szCs w:val="20"/>
        </w:rPr>
        <w:t>left atrium</w:t>
      </w:r>
      <w:r w:rsidR="002622B5" w:rsidRPr="00C11241">
        <w:rPr>
          <w:rFonts w:ascii="Times New Roman" w:hAnsi="Times New Roman" w:cs="Times New Roman"/>
          <w:sz w:val="20"/>
          <w:szCs w:val="20"/>
        </w:rPr>
        <w:t>;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79550062"/>
      <w:r w:rsidR="006A0246" w:rsidRPr="00C11241">
        <w:rPr>
          <w:rFonts w:ascii="Times New Roman" w:hAnsi="Times New Roman" w:cs="Times New Roman"/>
          <w:sz w:val="20"/>
          <w:szCs w:val="20"/>
        </w:rPr>
        <w:t>LVEDD</w:t>
      </w:r>
      <w:bookmarkEnd w:id="1"/>
      <w:r w:rsidR="002622B5" w:rsidRPr="00C11241">
        <w:rPr>
          <w:rFonts w:ascii="Times New Roman" w:hAnsi="Times New Roman" w:cs="Times New Roman"/>
          <w:sz w:val="20"/>
          <w:szCs w:val="20"/>
        </w:rPr>
        <w:t>,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left ventricular end diastolic diameter</w:t>
      </w:r>
      <w:r w:rsidR="002622B5" w:rsidRPr="00C11241">
        <w:rPr>
          <w:rFonts w:ascii="Times New Roman" w:hAnsi="Times New Roman" w:cs="Times New Roman"/>
          <w:sz w:val="20"/>
          <w:szCs w:val="20"/>
        </w:rPr>
        <w:t>;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LVPW</w:t>
      </w:r>
      <w:r w:rsidR="002622B5" w:rsidRPr="00C11241">
        <w:rPr>
          <w:rFonts w:ascii="Times New Roman" w:hAnsi="Times New Roman" w:cs="Times New Roman"/>
          <w:sz w:val="20"/>
          <w:szCs w:val="20"/>
        </w:rPr>
        <w:t>, left ventricular posterior wall;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EF</w:t>
      </w:r>
      <w:r w:rsidR="002622B5" w:rsidRPr="00C11241">
        <w:rPr>
          <w:rFonts w:ascii="Times New Roman" w:hAnsi="Times New Roman" w:cs="Times New Roman"/>
          <w:sz w:val="20"/>
          <w:szCs w:val="20"/>
        </w:rPr>
        <w:t xml:space="preserve">, </w:t>
      </w:r>
      <w:r w:rsidR="006A0246" w:rsidRPr="00C11241">
        <w:rPr>
          <w:rFonts w:ascii="Times New Roman" w:hAnsi="Times New Roman" w:cs="Times New Roman"/>
          <w:sz w:val="20"/>
          <w:szCs w:val="20"/>
        </w:rPr>
        <w:t>ejection fraction</w:t>
      </w:r>
      <w:r w:rsidR="002622B5" w:rsidRPr="00C11241">
        <w:rPr>
          <w:rFonts w:ascii="Times New Roman" w:hAnsi="Times New Roman" w:cs="Times New Roman"/>
          <w:sz w:val="20"/>
          <w:szCs w:val="20"/>
        </w:rPr>
        <w:t>;</w:t>
      </w:r>
      <w:r w:rsidR="006A0246" w:rsidRPr="00C11241">
        <w:rPr>
          <w:rFonts w:ascii="Times New Roman" w:hAnsi="Times New Roman" w:cs="Times New Roman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VIF</w:t>
      </w:r>
      <w:r w:rsidR="002622B5" w:rsidRPr="00C11241">
        <w:rPr>
          <w:rFonts w:ascii="Times New Roman" w:hAnsi="Times New Roman" w:cs="Times New Roman"/>
          <w:sz w:val="20"/>
          <w:szCs w:val="20"/>
        </w:rPr>
        <w:t>, v</w:t>
      </w:r>
      <w:r w:rsidRPr="00C11241">
        <w:rPr>
          <w:rFonts w:ascii="Times New Roman" w:hAnsi="Times New Roman" w:cs="Times New Roman"/>
          <w:sz w:val="20"/>
          <w:szCs w:val="20"/>
        </w:rPr>
        <w:t>ariance inflation factor.</w:t>
      </w:r>
    </w:p>
    <w:p w14:paraId="052DD76E" w14:textId="69F2B82E" w:rsidR="002622B5" w:rsidRPr="00C11241" w:rsidRDefault="002622B5" w:rsidP="002622B5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bookmarkStart w:id="2" w:name="_Hlk179569511"/>
      <w:r w:rsidRPr="00C11241">
        <w:rPr>
          <w:rFonts w:ascii="Times New Roman" w:hAnsi="Times New Roman" w:cs="Times New Roman"/>
          <w:sz w:val="20"/>
          <w:szCs w:val="20"/>
        </w:rPr>
        <w:lastRenderedPageBreak/>
        <w:t>Figure S</w:t>
      </w:r>
      <w:r w:rsidR="00F75CF3">
        <w:rPr>
          <w:rFonts w:ascii="Times New Roman" w:hAnsi="Times New Roman" w:cs="Times New Roman" w:hint="eastAsia"/>
          <w:sz w:val="20"/>
          <w:szCs w:val="20"/>
        </w:rPr>
        <w:t>5</w:t>
      </w:r>
      <w:r w:rsidRPr="00C11241">
        <w:rPr>
          <w:rFonts w:ascii="Times New Roman" w:hAnsi="Times New Roman" w:cs="Times New Roman"/>
          <w:sz w:val="20"/>
          <w:szCs w:val="20"/>
        </w:rPr>
        <w:t>. Time-dependent AUCs of serum cystatin-C for predicting all-cause mortality with the extension of time in the HCM patients with eGFR ≥ 60 mL/min/1.73 m</w:t>
      </w:r>
      <w:r w:rsidRPr="00C11241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bookmarkEnd w:id="2"/>
    <w:p w14:paraId="51FD5AD7" w14:textId="1D84A800" w:rsidR="004F2130" w:rsidRPr="00C11241" w:rsidRDefault="004F2130" w:rsidP="004F2130">
      <w:pPr>
        <w:ind w:rightChars="-157" w:right="-330"/>
        <w:jc w:val="center"/>
        <w:rPr>
          <w:rFonts w:ascii="Times New Roman" w:hAnsi="Times New Roman" w:cs="Times New Roman"/>
          <w:sz w:val="20"/>
          <w:szCs w:val="20"/>
        </w:rPr>
      </w:pPr>
      <w:r w:rsidRPr="00C112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52A0A52" wp14:editId="60840101">
            <wp:extent cx="3054350" cy="2743200"/>
            <wp:effectExtent l="0" t="0" r="0" b="0"/>
            <wp:docPr id="15532038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8E9BE" w14:textId="46438362" w:rsidR="002622B5" w:rsidRPr="00C11241" w:rsidRDefault="002622B5" w:rsidP="00B5245A">
      <w:pPr>
        <w:ind w:rightChars="-157" w:right="-330"/>
        <w:jc w:val="left"/>
        <w:rPr>
          <w:rFonts w:ascii="Times New Roman" w:hAnsi="Times New Roman" w:cs="Times New Roman"/>
          <w:sz w:val="20"/>
          <w:szCs w:val="20"/>
        </w:rPr>
      </w:pPr>
      <w:r w:rsidRPr="00C11241">
        <w:rPr>
          <w:rFonts w:ascii="Times New Roman" w:hAnsi="Times New Roman" w:cs="Times New Roman"/>
          <w:sz w:val="20"/>
          <w:szCs w:val="20"/>
        </w:rPr>
        <w:t xml:space="preserve">Notes: </w:t>
      </w:r>
      <w:bookmarkStart w:id="3" w:name="_Hlk179570240"/>
      <w:r w:rsidR="00B5245A" w:rsidRPr="00B5245A">
        <w:rPr>
          <w:rFonts w:ascii="Times New Roman" w:hAnsi="Times New Roman" w:cs="Times New Roman"/>
          <w:sz w:val="20"/>
          <w:szCs w:val="20"/>
        </w:rPr>
        <w:t>Time-dependent AUC at each time of the follow-up was plotted to evaluate the accuracy of serum cystatin-C in the prediction of all-cause mortality</w:t>
      </w:r>
      <w:r w:rsidR="00D0225C" w:rsidRPr="00D0225C">
        <w:rPr>
          <w:rFonts w:ascii="Times New Roman" w:hAnsi="Times New Roman" w:cs="Times New Roman"/>
          <w:sz w:val="20"/>
          <w:szCs w:val="20"/>
        </w:rPr>
        <w:t xml:space="preserve"> </w:t>
      </w:r>
      <w:r w:rsidR="00D0225C" w:rsidRPr="00C11241">
        <w:rPr>
          <w:rFonts w:ascii="Times New Roman" w:hAnsi="Times New Roman" w:cs="Times New Roman"/>
          <w:sz w:val="20"/>
          <w:szCs w:val="20"/>
        </w:rPr>
        <w:t>in the HCM patients with eGFR ≥ 60 mL/min/1.73 m</w:t>
      </w:r>
      <w:r w:rsidR="00D0225C" w:rsidRPr="00C1124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5245A" w:rsidRPr="00B5245A">
        <w:rPr>
          <w:rFonts w:ascii="Times New Roman" w:hAnsi="Times New Roman" w:cs="Times New Roman"/>
          <w:sz w:val="20"/>
          <w:szCs w:val="20"/>
        </w:rPr>
        <w:t>. A generally accepted approach suggests that an AUC of less than 0.60 reflects poor discrimination; 0.60 to 0.75, possibly helpful discrimination; and more than 0.75, clearly useful discrimination</w:t>
      </w:r>
      <w:r w:rsidR="00D0225C">
        <w:rPr>
          <w:rFonts w:ascii="Times New Roman" w:hAnsi="Times New Roman" w:cs="Times New Roman" w:hint="eastAsia"/>
          <w:sz w:val="20"/>
          <w:szCs w:val="20"/>
        </w:rPr>
        <w:t>.</w:t>
      </w:r>
      <w:bookmarkEnd w:id="3"/>
      <w:r w:rsidR="00D0225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 xml:space="preserve">AUC, area under the curves; </w:t>
      </w:r>
      <w:r w:rsidR="00D0225C" w:rsidRPr="00C11241">
        <w:rPr>
          <w:rFonts w:ascii="Times New Roman" w:hAnsi="Times New Roman" w:cs="Times New Roman"/>
          <w:sz w:val="20"/>
          <w:szCs w:val="20"/>
        </w:rPr>
        <w:t>CI, confidence interval</w:t>
      </w:r>
      <w:r w:rsidR="00D0225C">
        <w:rPr>
          <w:rFonts w:ascii="Times New Roman" w:hAnsi="Times New Roman" w:cs="Times New Roman" w:hint="eastAsia"/>
          <w:sz w:val="20"/>
          <w:szCs w:val="20"/>
        </w:rPr>
        <w:t>;</w:t>
      </w:r>
      <w:r w:rsidR="00D0225C" w:rsidRPr="00C11241">
        <w:rPr>
          <w:rFonts w:ascii="Times New Roman" w:hAnsi="Times New Roman" w:cs="Times New Roman"/>
          <w:sz w:val="20"/>
          <w:szCs w:val="20"/>
        </w:rPr>
        <w:t xml:space="preserve"> </w:t>
      </w:r>
      <w:r w:rsidRPr="00C11241">
        <w:rPr>
          <w:rFonts w:ascii="Times New Roman" w:hAnsi="Times New Roman" w:cs="Times New Roman"/>
          <w:sz w:val="20"/>
          <w:szCs w:val="20"/>
        </w:rPr>
        <w:t>HCM, hypertrophic cardiomyopathy.</w:t>
      </w:r>
      <w:bookmarkEnd w:id="0"/>
    </w:p>
    <w:sectPr w:rsidR="002622B5" w:rsidRPr="00C11241" w:rsidSect="00AC2FD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6AA25" w14:textId="77777777" w:rsidR="0068063D" w:rsidRDefault="0068063D" w:rsidP="00EF168B">
      <w:r>
        <w:separator/>
      </w:r>
    </w:p>
  </w:endnote>
  <w:endnote w:type="continuationSeparator" w:id="0">
    <w:p w14:paraId="2E49EA10" w14:textId="77777777" w:rsidR="0068063D" w:rsidRDefault="0068063D" w:rsidP="00E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D5A6C" w14:textId="77777777" w:rsidR="0068063D" w:rsidRDefault="0068063D" w:rsidP="00EF168B">
      <w:r>
        <w:separator/>
      </w:r>
    </w:p>
  </w:footnote>
  <w:footnote w:type="continuationSeparator" w:id="0">
    <w:p w14:paraId="6BF765C9" w14:textId="77777777" w:rsidR="0068063D" w:rsidRDefault="0068063D" w:rsidP="00EF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9C9"/>
    <w:rsid w:val="000076B8"/>
    <w:rsid w:val="00023AFA"/>
    <w:rsid w:val="00026446"/>
    <w:rsid w:val="000436B0"/>
    <w:rsid w:val="000437A1"/>
    <w:rsid w:val="00050D2A"/>
    <w:rsid w:val="000773D0"/>
    <w:rsid w:val="000B1B82"/>
    <w:rsid w:val="000C61E4"/>
    <w:rsid w:val="000E1673"/>
    <w:rsid w:val="000F0A2A"/>
    <w:rsid w:val="000F2B6E"/>
    <w:rsid w:val="001143A1"/>
    <w:rsid w:val="001152D4"/>
    <w:rsid w:val="00126F58"/>
    <w:rsid w:val="00130E57"/>
    <w:rsid w:val="00137503"/>
    <w:rsid w:val="00140E1A"/>
    <w:rsid w:val="0014301F"/>
    <w:rsid w:val="00147505"/>
    <w:rsid w:val="00163565"/>
    <w:rsid w:val="00164566"/>
    <w:rsid w:val="0017202A"/>
    <w:rsid w:val="00192C56"/>
    <w:rsid w:val="001B0894"/>
    <w:rsid w:val="001B43E1"/>
    <w:rsid w:val="001B46D5"/>
    <w:rsid w:val="001C18AD"/>
    <w:rsid w:val="001C2C7B"/>
    <w:rsid w:val="001E3E5F"/>
    <w:rsid w:val="001F04E6"/>
    <w:rsid w:val="001F4505"/>
    <w:rsid w:val="001F5AB2"/>
    <w:rsid w:val="001F5FF1"/>
    <w:rsid w:val="0020347C"/>
    <w:rsid w:val="002622B5"/>
    <w:rsid w:val="0027089C"/>
    <w:rsid w:val="002A126B"/>
    <w:rsid w:val="002A4F90"/>
    <w:rsid w:val="002A5246"/>
    <w:rsid w:val="002B4561"/>
    <w:rsid w:val="002B6734"/>
    <w:rsid w:val="002C3B3D"/>
    <w:rsid w:val="002C6B2A"/>
    <w:rsid w:val="002E0CF0"/>
    <w:rsid w:val="002E0F61"/>
    <w:rsid w:val="002E11AE"/>
    <w:rsid w:val="003117BB"/>
    <w:rsid w:val="00324C08"/>
    <w:rsid w:val="003417FB"/>
    <w:rsid w:val="00384A61"/>
    <w:rsid w:val="003B090B"/>
    <w:rsid w:val="003E184B"/>
    <w:rsid w:val="003F5B89"/>
    <w:rsid w:val="003F7EE0"/>
    <w:rsid w:val="00410D09"/>
    <w:rsid w:val="00411A2E"/>
    <w:rsid w:val="0041252D"/>
    <w:rsid w:val="00413CF5"/>
    <w:rsid w:val="004336C0"/>
    <w:rsid w:val="00455915"/>
    <w:rsid w:val="00463D8B"/>
    <w:rsid w:val="00467A35"/>
    <w:rsid w:val="00471DA1"/>
    <w:rsid w:val="00483EF9"/>
    <w:rsid w:val="00492AA5"/>
    <w:rsid w:val="004A68CF"/>
    <w:rsid w:val="004B090C"/>
    <w:rsid w:val="004B4F88"/>
    <w:rsid w:val="004C1FC6"/>
    <w:rsid w:val="004C30AD"/>
    <w:rsid w:val="004C4E0F"/>
    <w:rsid w:val="004C4F07"/>
    <w:rsid w:val="004D09C9"/>
    <w:rsid w:val="004D173D"/>
    <w:rsid w:val="004D33CF"/>
    <w:rsid w:val="004E47CF"/>
    <w:rsid w:val="004E50F5"/>
    <w:rsid w:val="004F13BB"/>
    <w:rsid w:val="004F2130"/>
    <w:rsid w:val="004F382A"/>
    <w:rsid w:val="005038A6"/>
    <w:rsid w:val="00512886"/>
    <w:rsid w:val="00520A2D"/>
    <w:rsid w:val="005469F9"/>
    <w:rsid w:val="005514D6"/>
    <w:rsid w:val="00565F01"/>
    <w:rsid w:val="00574482"/>
    <w:rsid w:val="005A2FD6"/>
    <w:rsid w:val="005B4689"/>
    <w:rsid w:val="005D1D54"/>
    <w:rsid w:val="005E4D42"/>
    <w:rsid w:val="005F49FD"/>
    <w:rsid w:val="0060035F"/>
    <w:rsid w:val="00606906"/>
    <w:rsid w:val="0061693E"/>
    <w:rsid w:val="006201C9"/>
    <w:rsid w:val="00641F97"/>
    <w:rsid w:val="00650D64"/>
    <w:rsid w:val="00652AA6"/>
    <w:rsid w:val="00665AAE"/>
    <w:rsid w:val="0068063D"/>
    <w:rsid w:val="006946B1"/>
    <w:rsid w:val="006A0246"/>
    <w:rsid w:val="006C07A1"/>
    <w:rsid w:val="006C7E6D"/>
    <w:rsid w:val="006D7020"/>
    <w:rsid w:val="006D711F"/>
    <w:rsid w:val="006F3859"/>
    <w:rsid w:val="00731E05"/>
    <w:rsid w:val="00732FF1"/>
    <w:rsid w:val="00736D04"/>
    <w:rsid w:val="0074184C"/>
    <w:rsid w:val="007913E1"/>
    <w:rsid w:val="007A0F70"/>
    <w:rsid w:val="007A51B3"/>
    <w:rsid w:val="007C42E9"/>
    <w:rsid w:val="007D6788"/>
    <w:rsid w:val="007F5223"/>
    <w:rsid w:val="00813941"/>
    <w:rsid w:val="00813EBD"/>
    <w:rsid w:val="0081507E"/>
    <w:rsid w:val="008153F8"/>
    <w:rsid w:val="0084155A"/>
    <w:rsid w:val="00847D71"/>
    <w:rsid w:val="008522D0"/>
    <w:rsid w:val="00852ADA"/>
    <w:rsid w:val="008602AA"/>
    <w:rsid w:val="0087023D"/>
    <w:rsid w:val="0088079A"/>
    <w:rsid w:val="00894791"/>
    <w:rsid w:val="008B4508"/>
    <w:rsid w:val="008C3E81"/>
    <w:rsid w:val="008C41A6"/>
    <w:rsid w:val="008C69DF"/>
    <w:rsid w:val="008D4CF9"/>
    <w:rsid w:val="00906031"/>
    <w:rsid w:val="0091519A"/>
    <w:rsid w:val="00934D7B"/>
    <w:rsid w:val="00955FFA"/>
    <w:rsid w:val="00957F0B"/>
    <w:rsid w:val="00965419"/>
    <w:rsid w:val="00970C3F"/>
    <w:rsid w:val="00981EC0"/>
    <w:rsid w:val="00984792"/>
    <w:rsid w:val="009977B4"/>
    <w:rsid w:val="009B3FF9"/>
    <w:rsid w:val="009B48AC"/>
    <w:rsid w:val="009D0E1E"/>
    <w:rsid w:val="009D1223"/>
    <w:rsid w:val="009D5B04"/>
    <w:rsid w:val="009F5CA7"/>
    <w:rsid w:val="00A04BD0"/>
    <w:rsid w:val="00A105FA"/>
    <w:rsid w:val="00A12256"/>
    <w:rsid w:val="00A358DD"/>
    <w:rsid w:val="00A543C3"/>
    <w:rsid w:val="00A54E2F"/>
    <w:rsid w:val="00A671F9"/>
    <w:rsid w:val="00A803DB"/>
    <w:rsid w:val="00A82B5A"/>
    <w:rsid w:val="00A84330"/>
    <w:rsid w:val="00A85DE4"/>
    <w:rsid w:val="00A9796B"/>
    <w:rsid w:val="00AC2FDD"/>
    <w:rsid w:val="00AC4C3A"/>
    <w:rsid w:val="00AD4A91"/>
    <w:rsid w:val="00B0091E"/>
    <w:rsid w:val="00B13DAB"/>
    <w:rsid w:val="00B21D4B"/>
    <w:rsid w:val="00B268BC"/>
    <w:rsid w:val="00B4052B"/>
    <w:rsid w:val="00B5245A"/>
    <w:rsid w:val="00B61D63"/>
    <w:rsid w:val="00B6479A"/>
    <w:rsid w:val="00B7395D"/>
    <w:rsid w:val="00BA3D95"/>
    <w:rsid w:val="00BC11D1"/>
    <w:rsid w:val="00BC2671"/>
    <w:rsid w:val="00BC69CC"/>
    <w:rsid w:val="00BD5BE5"/>
    <w:rsid w:val="00BE6B26"/>
    <w:rsid w:val="00BF1F75"/>
    <w:rsid w:val="00BF71B5"/>
    <w:rsid w:val="00C00422"/>
    <w:rsid w:val="00C04386"/>
    <w:rsid w:val="00C11241"/>
    <w:rsid w:val="00C2004D"/>
    <w:rsid w:val="00C21AA5"/>
    <w:rsid w:val="00C70473"/>
    <w:rsid w:val="00C806A4"/>
    <w:rsid w:val="00C92B64"/>
    <w:rsid w:val="00C93021"/>
    <w:rsid w:val="00CA0B01"/>
    <w:rsid w:val="00CC22E4"/>
    <w:rsid w:val="00CE6335"/>
    <w:rsid w:val="00D0225C"/>
    <w:rsid w:val="00D0244A"/>
    <w:rsid w:val="00D02B33"/>
    <w:rsid w:val="00D06692"/>
    <w:rsid w:val="00D06C61"/>
    <w:rsid w:val="00D16682"/>
    <w:rsid w:val="00D35888"/>
    <w:rsid w:val="00D45385"/>
    <w:rsid w:val="00D63CE2"/>
    <w:rsid w:val="00D9642E"/>
    <w:rsid w:val="00E03C8A"/>
    <w:rsid w:val="00E46860"/>
    <w:rsid w:val="00E603A5"/>
    <w:rsid w:val="00E7009B"/>
    <w:rsid w:val="00E74FE2"/>
    <w:rsid w:val="00E85612"/>
    <w:rsid w:val="00EB26C6"/>
    <w:rsid w:val="00EC44AC"/>
    <w:rsid w:val="00EC6183"/>
    <w:rsid w:val="00EC72DD"/>
    <w:rsid w:val="00EF168B"/>
    <w:rsid w:val="00F01B1C"/>
    <w:rsid w:val="00F04FFD"/>
    <w:rsid w:val="00F110F6"/>
    <w:rsid w:val="00F21D1D"/>
    <w:rsid w:val="00F2731E"/>
    <w:rsid w:val="00F65656"/>
    <w:rsid w:val="00F75A15"/>
    <w:rsid w:val="00F75CF3"/>
    <w:rsid w:val="00F76A05"/>
    <w:rsid w:val="00F8209D"/>
    <w:rsid w:val="00F91677"/>
    <w:rsid w:val="00FA2A28"/>
    <w:rsid w:val="00FA3230"/>
    <w:rsid w:val="00FA62C9"/>
    <w:rsid w:val="00FB4466"/>
    <w:rsid w:val="00FB63A3"/>
    <w:rsid w:val="00FC2CB0"/>
    <w:rsid w:val="00FC4B65"/>
    <w:rsid w:val="00FD6A2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EEDA0"/>
  <w15:docId w15:val="{90C9E488-1D3E-412D-9E59-D8543714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4B090C"/>
    <w:rPr>
      <w:rFonts w:asciiTheme="majorHAnsi" w:eastAsia="黑体" w:hAnsiTheme="majorHAnsi" w:cstheme="majorBidi"/>
      <w:sz w:val="20"/>
      <w:szCs w:val="20"/>
    </w:rPr>
  </w:style>
  <w:style w:type="table" w:styleId="a5">
    <w:name w:val="Light Shading"/>
    <w:basedOn w:val="a1"/>
    <w:uiPriority w:val="60"/>
    <w:rsid w:val="005A2FD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EF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168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F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F1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761</Words>
  <Characters>4343</Characters>
  <Application>Microsoft Office Word</Application>
  <DocSecurity>0</DocSecurity>
  <Lines>36</Lines>
  <Paragraphs>10</Paragraphs>
  <ScaleCrop>false</ScaleCrop>
  <Company>SDWM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璐 刘</cp:lastModifiedBy>
  <cp:revision>82</cp:revision>
  <dcterms:created xsi:type="dcterms:W3CDTF">2021-11-12T08:27:00Z</dcterms:created>
  <dcterms:modified xsi:type="dcterms:W3CDTF">2024-10-24T03:34:00Z</dcterms:modified>
</cp:coreProperties>
</file>