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1BBC" w14:textId="66267DDC" w:rsidR="004845AF" w:rsidRPr="00153D55" w:rsidRDefault="00785073" w:rsidP="004F20B0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153D55">
        <w:rPr>
          <w:rFonts w:ascii="Times New Roman" w:hAnsi="Times New Roman" w:cs="Times New Roman"/>
          <w:b/>
          <w:bCs/>
          <w:sz w:val="32"/>
          <w:szCs w:val="32"/>
          <w:lang w:val="en-US"/>
        </w:rPr>
        <w:t>SUPPLEMENTA</w:t>
      </w:r>
      <w:r w:rsidR="004E1454">
        <w:rPr>
          <w:rFonts w:ascii="Times New Roman" w:hAnsi="Times New Roman" w:cs="Times New Roman"/>
          <w:b/>
          <w:bCs/>
          <w:sz w:val="32"/>
          <w:szCs w:val="32"/>
          <w:lang w:val="en-US"/>
        </w:rPr>
        <w:t>L TEXT</w:t>
      </w:r>
    </w:p>
    <w:p w14:paraId="58530DC8" w14:textId="77777777" w:rsidR="008C0E3D" w:rsidRPr="00153D55" w:rsidRDefault="008C0E3D" w:rsidP="004F20B0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bookmarkStart w:id="0" w:name="_Hlk146462994"/>
    </w:p>
    <w:p w14:paraId="7AB32C60" w14:textId="302A0D75" w:rsidR="00E53D21" w:rsidRPr="00153D55" w:rsidRDefault="00E53D21" w:rsidP="004F20B0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153D5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Azhdarchid pterosaur diversity in the </w:t>
      </w:r>
      <w:proofErr w:type="spellStart"/>
      <w:r w:rsidRPr="00153D55">
        <w:rPr>
          <w:rFonts w:ascii="Times New Roman" w:hAnsi="Times New Roman" w:cs="Times New Roman"/>
          <w:b/>
          <w:bCs/>
          <w:sz w:val="32"/>
          <w:szCs w:val="32"/>
          <w:lang w:val="en-US"/>
        </w:rPr>
        <w:t>Bayanshiree</w:t>
      </w:r>
      <w:proofErr w:type="spellEnd"/>
      <w:r w:rsidRPr="00153D5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Formation, Upper Cretaceous of the Gobi Desert, Mongolia</w:t>
      </w:r>
    </w:p>
    <w:p w14:paraId="46BA5AE2" w14:textId="77777777" w:rsidR="00E53D21" w:rsidRPr="00153D55" w:rsidRDefault="00E53D21" w:rsidP="004F20B0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763D5B40" w14:textId="764F5D1B" w:rsidR="00E53D21" w:rsidRPr="00153D55" w:rsidRDefault="00E53D21" w:rsidP="004F20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Rodrigo V. Pêgas, </w:t>
      </w:r>
      <w:proofErr w:type="spellStart"/>
      <w:r w:rsidRPr="00153D55">
        <w:rPr>
          <w:rFonts w:ascii="Times New Roman" w:hAnsi="Times New Roman" w:cs="Times New Roman"/>
          <w:sz w:val="24"/>
          <w:szCs w:val="24"/>
          <w:lang w:val="en-US"/>
        </w:rPr>
        <w:t>Xuanyu</w:t>
      </w:r>
      <w:proofErr w:type="spellEnd"/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Zhou, </w:t>
      </w:r>
      <w:r w:rsidR="00D1199F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Pr="00153D55">
        <w:rPr>
          <w:rFonts w:ascii="Times New Roman" w:hAnsi="Times New Roman" w:cs="Times New Roman"/>
          <w:sz w:val="24"/>
          <w:szCs w:val="24"/>
          <w:lang w:val="en-US"/>
        </w:rPr>
        <w:t>Yoshitsugu</w:t>
      </w:r>
      <w:proofErr w:type="spellEnd"/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Kobayashi</w:t>
      </w:r>
    </w:p>
    <w:bookmarkEnd w:id="0"/>
    <w:p w14:paraId="2AE2AD92" w14:textId="77777777" w:rsidR="00E53D21" w:rsidRPr="00153D55" w:rsidRDefault="00E53D21" w:rsidP="004F20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67018C" w14:textId="77777777" w:rsidR="00E53D21" w:rsidRPr="00153D55" w:rsidRDefault="00E53D21" w:rsidP="004F20B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41E02BC" w14:textId="77777777" w:rsidR="00905AC8" w:rsidRPr="00153D55" w:rsidRDefault="00905AC8" w:rsidP="004F20B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3CF0887" w14:textId="77777777" w:rsidR="00973188" w:rsidRPr="00153D55" w:rsidRDefault="00973188" w:rsidP="004F20B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C963671" w14:textId="77777777" w:rsidR="00A07685" w:rsidRPr="00153D55" w:rsidRDefault="00A07685" w:rsidP="004F20B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00D1FEB" w14:textId="77777777" w:rsidR="00973188" w:rsidRPr="00153D55" w:rsidRDefault="00973188" w:rsidP="004F20B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50D1B5" w14:textId="77777777" w:rsidR="00973188" w:rsidRPr="00153D55" w:rsidRDefault="00973188" w:rsidP="004F20B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48F5565" w14:textId="77777777" w:rsidR="00973188" w:rsidRPr="00153D55" w:rsidRDefault="00973188" w:rsidP="004F20B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85B517E" w14:textId="77777777" w:rsidR="00973188" w:rsidRPr="00153D55" w:rsidRDefault="00973188" w:rsidP="004F20B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1356B84" w14:textId="77777777" w:rsidR="00973188" w:rsidRPr="00153D55" w:rsidRDefault="00973188" w:rsidP="004F20B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3DFB8E" w14:textId="77777777" w:rsidR="00973188" w:rsidRPr="00153D55" w:rsidRDefault="00973188" w:rsidP="004F20B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4BC5853" w14:textId="77777777" w:rsidR="00973188" w:rsidRPr="00153D55" w:rsidRDefault="00973188" w:rsidP="004F20B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92515B1" w14:textId="77777777" w:rsidR="000D6BA1" w:rsidRDefault="000D6BA1" w:rsidP="004F20B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E4D9C6E" w14:textId="77777777" w:rsidR="00F67CB4" w:rsidRDefault="00F67CB4" w:rsidP="004F20B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40CE81" w14:textId="77777777" w:rsidR="00F67CB4" w:rsidRPr="00153D55" w:rsidRDefault="00F67CB4" w:rsidP="004F20B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A68EBF" w14:textId="77777777" w:rsidR="006C6D31" w:rsidRPr="00153D55" w:rsidRDefault="006C6D31" w:rsidP="004F20B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5385198" w14:textId="77777777" w:rsidR="009E4A92" w:rsidRPr="00153D55" w:rsidRDefault="009E4A92" w:rsidP="004F20B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A3B1194" w14:textId="35B7AFFF" w:rsidR="004845AF" w:rsidRPr="00153D55" w:rsidRDefault="00A91D53" w:rsidP="004F20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153D5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lastRenderedPageBreak/>
        <w:t>Wingspan estimates</w:t>
      </w:r>
    </w:p>
    <w:p w14:paraId="5BB05317" w14:textId="2964BF2B" w:rsidR="004C7A7D" w:rsidRPr="00153D55" w:rsidRDefault="00DE7C4B" w:rsidP="004F20B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3D55">
        <w:rPr>
          <w:rFonts w:ascii="Times New Roman" w:hAnsi="Times New Roman" w:cs="Times New Roman"/>
          <w:sz w:val="24"/>
          <w:szCs w:val="24"/>
          <w:lang w:val="en-US"/>
        </w:rPr>
        <w:t>As mentioned in the main text, e</w:t>
      </w:r>
      <w:r w:rsidR="00495F1D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stimating body size </w:t>
      </w:r>
      <w:r w:rsidR="0073340C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for fragmentary fossil specimens </w:t>
      </w:r>
      <w:r w:rsidR="00495F1D" w:rsidRPr="00153D55">
        <w:rPr>
          <w:rFonts w:ascii="Times New Roman" w:hAnsi="Times New Roman" w:cs="Times New Roman"/>
          <w:sz w:val="24"/>
          <w:szCs w:val="24"/>
          <w:lang w:val="en-US"/>
        </w:rPr>
        <w:t>is a complicated task</w:t>
      </w:r>
      <w:r w:rsidR="0073340C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>particularly</w:t>
      </w:r>
      <w:r w:rsidR="0073340C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when it comes to groups with 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>large variations</w:t>
      </w:r>
      <w:r w:rsidR="007F53D2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in skeletal proportions –</w:t>
      </w:r>
      <w:r w:rsidR="0073340C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such as azhdarchid</w:t>
      </w:r>
      <w:r w:rsidR="000A63F9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73340C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(e.g. Cai &amp; Wei, 1994; </w:t>
      </w:r>
      <w:proofErr w:type="spellStart"/>
      <w:r w:rsidR="0073340C" w:rsidRPr="00153D55">
        <w:rPr>
          <w:rFonts w:ascii="Times New Roman" w:hAnsi="Times New Roman" w:cs="Times New Roman"/>
          <w:sz w:val="24"/>
          <w:szCs w:val="24"/>
          <w:lang w:val="en-US"/>
        </w:rPr>
        <w:t>Vremir</w:t>
      </w:r>
      <w:proofErr w:type="spellEnd"/>
      <w:r w:rsidR="0073340C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340C"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al.</w:t>
      </w:r>
      <w:r w:rsidR="0073340C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, 2015; Andres &amp; Langston, 2021). The herein described </w:t>
      </w:r>
      <w:proofErr w:type="spellStart"/>
      <w:r w:rsidR="0073340C" w:rsidRPr="00153D55">
        <w:rPr>
          <w:rFonts w:ascii="Times New Roman" w:hAnsi="Times New Roman" w:cs="Times New Roman"/>
          <w:sz w:val="24"/>
          <w:szCs w:val="24"/>
          <w:lang w:val="en-US"/>
        </w:rPr>
        <w:t>Baynshiree</w:t>
      </w:r>
      <w:proofErr w:type="spellEnd"/>
      <w:r w:rsidR="0073340C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Formation azhdarchids are represented solely by cervical vertebrae. We note here that </w:t>
      </w:r>
      <w:proofErr w:type="spellStart"/>
      <w:r w:rsidR="0073340C" w:rsidRPr="00153D55">
        <w:rPr>
          <w:rFonts w:ascii="Times New Roman" w:hAnsi="Times New Roman" w:cs="Times New Roman"/>
          <w:sz w:val="24"/>
          <w:szCs w:val="24"/>
          <w:lang w:val="en-US"/>
        </w:rPr>
        <w:t>mesocervical</w:t>
      </w:r>
      <w:proofErr w:type="spellEnd"/>
      <w:r w:rsidR="0073340C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vertebrae length cannot be reliably utilized for making body size comparisons within azhdarchids, </w:t>
      </w:r>
      <w:r w:rsidR="007354C7" w:rsidRPr="00153D55">
        <w:rPr>
          <w:rFonts w:ascii="Times New Roman" w:hAnsi="Times New Roman" w:cs="Times New Roman"/>
          <w:sz w:val="24"/>
          <w:szCs w:val="24"/>
          <w:lang w:val="en-US"/>
        </w:rPr>
        <w:t>due to</w:t>
      </w:r>
      <w:r w:rsidR="0073340C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the great</w:t>
      </w:r>
      <w:r w:rsidR="002C55D8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variation</w:t>
      </w:r>
      <w:r w:rsidR="0073340C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54C7" w:rsidRPr="00153D5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3340C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40C" w:rsidRPr="00153D55">
        <w:rPr>
          <w:rFonts w:ascii="Times New Roman" w:hAnsi="Times New Roman" w:cs="Times New Roman"/>
          <w:sz w:val="24"/>
          <w:szCs w:val="24"/>
          <w:lang w:val="en-US"/>
        </w:rPr>
        <w:t>mesocervical</w:t>
      </w:r>
      <w:proofErr w:type="spellEnd"/>
      <w:r w:rsidR="0073340C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relative length in this group</w:t>
      </w:r>
      <w:r w:rsidR="008A5C8C" w:rsidRPr="00153D55">
        <w:rPr>
          <w:rFonts w:ascii="Times New Roman" w:hAnsi="Times New Roman" w:cs="Times New Roman"/>
          <w:sz w:val="24"/>
          <w:szCs w:val="24"/>
          <w:lang w:val="en-US"/>
        </w:rPr>
        <w:t>, wherein some forms are “slender-necked” while others are more “robust-necked”</w:t>
      </w:r>
      <w:r w:rsidR="0073340C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(see </w:t>
      </w:r>
      <w:r w:rsidR="00FB07C1">
        <w:rPr>
          <w:rFonts w:ascii="Times New Roman" w:hAnsi="Times New Roman" w:cs="Times New Roman"/>
          <w:sz w:val="24"/>
          <w:szCs w:val="24"/>
          <w:lang w:val="en-US"/>
        </w:rPr>
        <w:t xml:space="preserve">Naish &amp; </w:t>
      </w:r>
      <w:r w:rsidR="0073340C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Witton, 2017; Pêgas </w:t>
      </w:r>
      <w:r w:rsidR="0073340C"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al.</w:t>
      </w:r>
      <w:r w:rsidR="0073340C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, 2021). </w:t>
      </w:r>
      <w:r w:rsidR="00EA2F7E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Of note, cervical length/humerus length (CL/HL) ratios vary quite extremely across azhdarchids. Regarding cervical IV, CL/HL ratios are 1.09 for </w:t>
      </w:r>
      <w:r w:rsidR="00EA2F7E"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Q. </w:t>
      </w:r>
      <w:proofErr w:type="spellStart"/>
      <w:r w:rsidR="00EA2F7E"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lawsoni</w:t>
      </w:r>
      <w:proofErr w:type="spellEnd"/>
      <w:r w:rsidR="00EA2F7E"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EA2F7E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(mean value; Andres &amp; Langston, 2021), 0.85 for </w:t>
      </w:r>
      <w:proofErr w:type="spellStart"/>
      <w:r w:rsidR="00EA2F7E"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Zhejiangopterus</w:t>
      </w:r>
      <w:proofErr w:type="spellEnd"/>
      <w:r w:rsidR="00EA2F7E"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EA2F7E"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linhaiensis</w:t>
      </w:r>
      <w:proofErr w:type="spellEnd"/>
      <w:r w:rsidR="00EA2F7E"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EA2F7E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(Cai &amp; Wei, 1994), and 0.56 for </w:t>
      </w:r>
      <w:proofErr w:type="spellStart"/>
      <w:r w:rsidR="00EA2F7E"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Cryodrakon</w:t>
      </w:r>
      <w:proofErr w:type="spellEnd"/>
      <w:r w:rsidR="00EA2F7E"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boreas</w:t>
      </w:r>
      <w:r w:rsidR="00EA2F7E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(Hone </w:t>
      </w:r>
      <w:r w:rsidR="00EA2F7E"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al.</w:t>
      </w:r>
      <w:r w:rsidR="00EA2F7E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, 2019). </w:t>
      </w:r>
      <w:r w:rsidR="002C55D8" w:rsidRPr="00153D5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C7A7D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he fourth cervical of </w:t>
      </w:r>
      <w:r w:rsidR="004C7A7D"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Q. </w:t>
      </w:r>
      <w:proofErr w:type="spellStart"/>
      <w:r w:rsidR="004C7A7D"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lawsoni</w:t>
      </w:r>
      <w:proofErr w:type="spellEnd"/>
      <w:r w:rsidR="004C7A7D"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67069A" w:rsidRPr="00153D5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4C7A7D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almost twice as elongate relative to the humerus if compared to </w:t>
      </w:r>
      <w:proofErr w:type="spellStart"/>
      <w:r w:rsidR="004C7A7D"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Cryodrakon</w:t>
      </w:r>
      <w:proofErr w:type="spellEnd"/>
      <w:r w:rsidR="004C7A7D"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boreas</w:t>
      </w:r>
      <w:r w:rsidR="0067069A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. Despite this tremendous difference in </w:t>
      </w:r>
      <w:proofErr w:type="spellStart"/>
      <w:r w:rsidR="0067069A" w:rsidRPr="00153D55">
        <w:rPr>
          <w:rFonts w:ascii="Times New Roman" w:hAnsi="Times New Roman" w:cs="Times New Roman"/>
          <w:sz w:val="24"/>
          <w:szCs w:val="24"/>
          <w:lang w:val="en-US"/>
        </w:rPr>
        <w:t>cIV</w:t>
      </w:r>
      <w:proofErr w:type="spellEnd"/>
      <w:r w:rsidR="0067069A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relative elongation,</w:t>
      </w:r>
      <w:r w:rsidR="004C7A7D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their </w:t>
      </w:r>
      <w:proofErr w:type="spellStart"/>
      <w:r w:rsidR="004C7A7D" w:rsidRPr="00153D55">
        <w:rPr>
          <w:rFonts w:ascii="Times New Roman" w:hAnsi="Times New Roman" w:cs="Times New Roman"/>
          <w:sz w:val="24"/>
          <w:szCs w:val="24"/>
          <w:lang w:val="en-US"/>
        </w:rPr>
        <w:t>prezygapophyseal</w:t>
      </w:r>
      <w:proofErr w:type="spellEnd"/>
      <w:r w:rsidR="004C7A7D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width</w:t>
      </w:r>
      <w:r w:rsidR="0067069A" w:rsidRPr="00153D55">
        <w:rPr>
          <w:rFonts w:ascii="Times New Roman" w:hAnsi="Times New Roman" w:cs="Times New Roman"/>
          <w:sz w:val="24"/>
          <w:szCs w:val="24"/>
          <w:lang w:val="en-US"/>
        </w:rPr>
        <w:t>/humeral length ratios</w:t>
      </w:r>
      <w:r w:rsidR="004C7A7D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are quite similar: 0.29 for </w:t>
      </w:r>
      <w:r w:rsidR="004C7A7D"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Q. </w:t>
      </w:r>
      <w:proofErr w:type="spellStart"/>
      <w:r w:rsidR="004C7A7D"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lawsoni</w:t>
      </w:r>
      <w:proofErr w:type="spellEnd"/>
      <w:r w:rsidR="004C7A7D"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4C7A7D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(mean value; Andres &amp; Langston, 2021) and 0.26 for </w:t>
      </w:r>
      <w:proofErr w:type="spellStart"/>
      <w:r w:rsidR="004C7A7D"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Cryodrakon</w:t>
      </w:r>
      <w:proofErr w:type="spellEnd"/>
      <w:r w:rsidR="004C7A7D"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boreas</w:t>
      </w:r>
      <w:r w:rsidR="004C7A7D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(Hone </w:t>
      </w:r>
      <w:r w:rsidR="004C7A7D"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al.</w:t>
      </w:r>
      <w:r w:rsidR="004C7A7D" w:rsidRPr="00153D55">
        <w:rPr>
          <w:rFonts w:ascii="Times New Roman" w:hAnsi="Times New Roman" w:cs="Times New Roman"/>
          <w:sz w:val="24"/>
          <w:szCs w:val="24"/>
          <w:lang w:val="en-US"/>
        </w:rPr>
        <w:t>, 2019).</w:t>
      </w:r>
      <w:r w:rsidR="0067069A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Therefore, it seems that width proportions are more conservative than length proportions in azhdarchid</w:t>
      </w:r>
      <w:r w:rsidR="002C55D8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55D8" w:rsidRPr="00153D55">
        <w:rPr>
          <w:rFonts w:ascii="Times New Roman" w:hAnsi="Times New Roman" w:cs="Times New Roman"/>
          <w:sz w:val="24"/>
          <w:szCs w:val="24"/>
          <w:lang w:val="en-US"/>
        </w:rPr>
        <w:t>cervical</w:t>
      </w:r>
      <w:r w:rsidR="0067069A" w:rsidRPr="00153D55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67069A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. For this reason, the present work will focus in </w:t>
      </w:r>
      <w:r w:rsidR="00682E82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cervical </w:t>
      </w:r>
      <w:r w:rsidR="0067069A" w:rsidRPr="00153D55">
        <w:rPr>
          <w:rFonts w:ascii="Times New Roman" w:hAnsi="Times New Roman" w:cs="Times New Roman"/>
          <w:sz w:val="24"/>
          <w:szCs w:val="24"/>
          <w:lang w:val="en-US"/>
        </w:rPr>
        <w:t>width, rather than length, ratios.</w:t>
      </w:r>
    </w:p>
    <w:p w14:paraId="24EFFF88" w14:textId="77777777" w:rsidR="004845AF" w:rsidRPr="00153D55" w:rsidRDefault="004845AF" w:rsidP="004F20B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Ideally, body size estimates should be produced by regression analyses to account for allometric corrections. Unfortunately, relatively complete azhdarchid skeletons are exceedingly rare, and restricted to the taxa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Zhejiangopterus</w:t>
      </w:r>
      <w:proofErr w:type="spellEnd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linhaiensis</w:t>
      </w:r>
      <w:proofErr w:type="spellEnd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(Cai &amp; Wei, 1994),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Mistralazhdarcho</w:t>
      </w:r>
      <w:proofErr w:type="spellEnd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maggi</w:t>
      </w:r>
      <w:proofErr w:type="spellEnd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(Vullo </w:t>
      </w:r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al.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>, 2018),</w:t>
      </w:r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Cryodrakon</w:t>
      </w:r>
      <w:proofErr w:type="spellEnd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boreas 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(Hone </w:t>
      </w:r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al.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, 2019), and </w:t>
      </w:r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Quetzalcoatlus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lawsoni</w:t>
      </w:r>
      <w:proofErr w:type="spellEnd"/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(Andres &amp; Langston, 2021). Performing regression and allometric analyses with such a low sample is not feasible. Still, multiple comparisons (using </w:t>
      </w:r>
      <w:proofErr w:type="spellStart"/>
      <w:r w:rsidRPr="00153D55">
        <w:rPr>
          <w:rFonts w:ascii="Times New Roman" w:hAnsi="Times New Roman" w:cs="Times New Roman"/>
          <w:sz w:val="24"/>
          <w:szCs w:val="24"/>
          <w:lang w:val="en-US"/>
        </w:rPr>
        <w:t>atlantoaxis</w:t>
      </w:r>
      <w:proofErr w:type="spellEnd"/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proportions in</w:t>
      </w:r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Mistralazhdarcho</w:t>
      </w:r>
      <w:proofErr w:type="spellEnd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maggi</w:t>
      </w:r>
      <w:proofErr w:type="spellEnd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Quetzalcoatlus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lawsoni</w:t>
      </w:r>
      <w:proofErr w:type="spellEnd"/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, as well as width in the third and sixth </w:t>
      </w:r>
      <w:proofErr w:type="spellStart"/>
      <w:r w:rsidRPr="00153D55">
        <w:rPr>
          <w:rFonts w:ascii="Times New Roman" w:hAnsi="Times New Roman" w:cs="Times New Roman"/>
          <w:sz w:val="24"/>
          <w:szCs w:val="24"/>
          <w:lang w:val="en-US"/>
        </w:rPr>
        <w:t>cervicals</w:t>
      </w:r>
      <w:proofErr w:type="spellEnd"/>
      <w:r w:rsidRPr="00153D55">
        <w:rPr>
          <w:rFonts w:ascii="Times New Roman" w:hAnsi="Times New Roman" w:cs="Times New Roman"/>
          <w:sz w:val="24"/>
          <w:szCs w:val="24"/>
          <w:lang w:val="en-US"/>
        </w:rPr>
        <w:t>) converge towards a wingspan of 3.0–3.5 for MPC−Nd 100/302, as explored below.</w:t>
      </w:r>
    </w:p>
    <w:p w14:paraId="262ACAB1" w14:textId="77777777" w:rsidR="004845AF" w:rsidRPr="00153D55" w:rsidRDefault="004845AF" w:rsidP="004F20B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Firstly, the estimated wingspan of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Mistralazhdarcho</w:t>
      </w:r>
      <w:proofErr w:type="spellEnd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maggi</w:t>
      </w:r>
      <w:proofErr w:type="spellEnd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needs to be addressed. The holotype of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Mistralazhdarcho</w:t>
      </w:r>
      <w:proofErr w:type="spellEnd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maggi</w:t>
      </w:r>
      <w:proofErr w:type="spellEnd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preserves a radius (the only completely preserved forelimb element) of 289 mm in length, which is ~124% and 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~76% the radius lengths of, respectively, the ~3 meter-wingspan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Zhejiangopterus</w:t>
      </w:r>
      <w:proofErr w:type="spellEnd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linhaiensis</w:t>
      </w:r>
      <w:proofErr w:type="spellEnd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>specimen</w:t>
      </w:r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ZMNH M 1323 (see Cai &amp; Wei, 1994) and the ~4.8 meter-wingspan </w:t>
      </w:r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Quetzalcoatlus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lawsoni</w:t>
      </w:r>
      <w:proofErr w:type="spellEnd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>specimen</w:t>
      </w:r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TMM 42138-1 (Andres &amp; Langston, 2021). These proportions suggest, respectively, a wingspan between 3.6 and 3.7 m for the holotype of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Mistralazhdarcho</w:t>
      </w:r>
      <w:proofErr w:type="spellEnd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maggi</w:t>
      </w:r>
      <w:proofErr w:type="spellEnd"/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. It is interesting to note that the </w:t>
      </w:r>
      <w:proofErr w:type="spellStart"/>
      <w:r w:rsidRPr="00153D55">
        <w:rPr>
          <w:rFonts w:ascii="Times New Roman" w:hAnsi="Times New Roman" w:cs="Times New Roman"/>
          <w:sz w:val="24"/>
          <w:szCs w:val="24"/>
          <w:lang w:val="en-US"/>
        </w:rPr>
        <w:t>atlantoaxes</w:t>
      </w:r>
      <w:proofErr w:type="spellEnd"/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of specimen MPC−Nd 100/302 and of the holotype of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Mistralazhdarcho</w:t>
      </w:r>
      <w:proofErr w:type="spellEnd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maggi</w:t>
      </w:r>
      <w:proofErr w:type="spellEnd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are almost exactly of the same size (centrum lengths x condyle widths of, respectively, 26 x 19.8 mm and 26 x 20 mm); </w:t>
      </w:r>
      <w:proofErr w:type="gramStart"/>
      <w:r w:rsidRPr="00153D55">
        <w:rPr>
          <w:rFonts w:ascii="Times New Roman" w:hAnsi="Times New Roman" w:cs="Times New Roman"/>
          <w:sz w:val="24"/>
          <w:szCs w:val="24"/>
          <w:lang w:val="en-US"/>
        </w:rPr>
        <w:t>thus</w:t>
      </w:r>
      <w:proofErr w:type="gramEnd"/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indicating they most likely represent similar-sized individuals. </w:t>
      </w:r>
    </w:p>
    <w:p w14:paraId="52AEAA50" w14:textId="744B8616" w:rsidR="004845AF" w:rsidRPr="00153D55" w:rsidRDefault="004845AF" w:rsidP="004F20B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Comparisons between the </w:t>
      </w:r>
      <w:proofErr w:type="spellStart"/>
      <w:r w:rsidRPr="00153D55">
        <w:rPr>
          <w:rFonts w:ascii="Times New Roman" w:hAnsi="Times New Roman" w:cs="Times New Roman"/>
          <w:sz w:val="24"/>
          <w:szCs w:val="24"/>
          <w:lang w:val="en-US"/>
        </w:rPr>
        <w:t>atlantoaxes</w:t>
      </w:r>
      <w:proofErr w:type="spellEnd"/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and third </w:t>
      </w:r>
      <w:proofErr w:type="spellStart"/>
      <w:r w:rsidRPr="00153D55">
        <w:rPr>
          <w:rFonts w:ascii="Times New Roman" w:hAnsi="Times New Roman" w:cs="Times New Roman"/>
          <w:sz w:val="24"/>
          <w:szCs w:val="24"/>
          <w:lang w:val="en-US"/>
        </w:rPr>
        <w:t>cervicals</w:t>
      </w:r>
      <w:proofErr w:type="spellEnd"/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of MPC−Nd 100/302 and </w:t>
      </w:r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Quetzalcoatlus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lawsoni</w:t>
      </w:r>
      <w:proofErr w:type="spellEnd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may also be informative, though less useful given that the available </w:t>
      </w:r>
      <w:proofErr w:type="spellStart"/>
      <w:r w:rsidRPr="00153D55">
        <w:rPr>
          <w:rFonts w:ascii="Times New Roman" w:hAnsi="Times New Roman" w:cs="Times New Roman"/>
          <w:sz w:val="24"/>
          <w:szCs w:val="24"/>
          <w:lang w:val="en-US"/>
        </w:rPr>
        <w:t>atlantoaxes</w:t>
      </w:r>
      <w:proofErr w:type="spellEnd"/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and third </w:t>
      </w:r>
      <w:proofErr w:type="spellStart"/>
      <w:r w:rsidRPr="00153D55">
        <w:rPr>
          <w:rFonts w:ascii="Times New Roman" w:hAnsi="Times New Roman" w:cs="Times New Roman"/>
          <w:sz w:val="24"/>
          <w:szCs w:val="24"/>
          <w:lang w:val="en-US"/>
        </w:rPr>
        <w:t>cervicals</w:t>
      </w:r>
      <w:proofErr w:type="spellEnd"/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Q.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lawsoni</w:t>
      </w:r>
      <w:proofErr w:type="spellEnd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represent isolated specimens of unknown wingspan. Still, considering that the </w:t>
      </w:r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Q.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lawsoni</w:t>
      </w:r>
      <w:proofErr w:type="spellEnd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bone bed comprises specimens between 4.2–5.1 m in wingspan (see forelimb measurements in Andres &amp; Langston, 2021), estimates can be tentatively drawn on the basis of this range. </w:t>
      </w:r>
      <w:proofErr w:type="spellStart"/>
      <w:r w:rsidRPr="00153D55">
        <w:rPr>
          <w:rFonts w:ascii="Times New Roman" w:hAnsi="Times New Roman" w:cs="Times New Roman"/>
          <w:sz w:val="24"/>
          <w:szCs w:val="24"/>
          <w:lang w:val="en-US"/>
        </w:rPr>
        <w:t>Atlantoaxis</w:t>
      </w:r>
      <w:proofErr w:type="spellEnd"/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condyle width in </w:t>
      </w:r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Q.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lawsoni</w:t>
      </w:r>
      <w:proofErr w:type="spellEnd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>specimen</w:t>
      </w:r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TMM 41954-36 (24 mm; Andres &amp; Langston, 2021) correspond to 120% of the same value in MPC−Nd 100/302, thus suggesting a wingspan range of 3.5–4.2 m for the latter specimen. Similarly, cervical III </w:t>
      </w:r>
      <w:proofErr w:type="spellStart"/>
      <w:r w:rsidRPr="00153D55">
        <w:rPr>
          <w:rFonts w:ascii="Times New Roman" w:hAnsi="Times New Roman" w:cs="Times New Roman"/>
          <w:sz w:val="24"/>
          <w:szCs w:val="24"/>
          <w:lang w:val="en-US"/>
        </w:rPr>
        <w:t>prezygapophyseal</w:t>
      </w:r>
      <w:proofErr w:type="spellEnd"/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153D55">
        <w:rPr>
          <w:rFonts w:ascii="Times New Roman" w:hAnsi="Times New Roman" w:cs="Times New Roman"/>
          <w:sz w:val="24"/>
          <w:szCs w:val="24"/>
          <w:lang w:val="en-US"/>
        </w:rPr>
        <w:t>postzygapophyseal</w:t>
      </w:r>
      <w:proofErr w:type="spellEnd"/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widths in </w:t>
      </w:r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Q.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lawsoni</w:t>
      </w:r>
      <w:proofErr w:type="spellEnd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>specimen</w:t>
      </w:r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TMM 42422-24 (50 and 48.8 mm; Andres &amp; Langston, 2021) correspond to 130% and 127% of the same value in MPC−Nd 100/302, thus suggesting a wingspan range of 3.2–4.0 m for the latter specimen. The lower values (3.2–3.5) seem most plausible than the higher ones, given that the aforementioned </w:t>
      </w:r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Q.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lawsoni</w:t>
      </w:r>
      <w:proofErr w:type="spellEnd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specimens are not among the largest ones, even though their precise wingspan cannot be assessed (Andres &amp; Langston, 2021). Furthermore, </w:t>
      </w:r>
      <w:r w:rsidR="006C4EBC" w:rsidRPr="00153D5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>VI condyl</w:t>
      </w:r>
      <w:r w:rsidR="00D12260" w:rsidRPr="00153D55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width in MPC−Nd 100/302 (24.3 mm) is ~69% this value in </w:t>
      </w:r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Q.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lawsoni</w:t>
      </w:r>
      <w:proofErr w:type="spellEnd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(35 mm), what would suggest a wingspan of 2.9–3.5 for MPC−Nd 100/302. </w:t>
      </w:r>
    </w:p>
    <w:p w14:paraId="11C899E1" w14:textId="1CD9B9A3" w:rsidR="004845AF" w:rsidRPr="00153D55" w:rsidRDefault="004845AF" w:rsidP="004F20B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Finally, it must also be noted that the </w:t>
      </w:r>
      <w:r w:rsidR="006C4EBC" w:rsidRPr="00153D5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III of MPC−Nd 100/302 (38.5 mm in </w:t>
      </w:r>
      <w:proofErr w:type="spellStart"/>
      <w:r w:rsidRPr="00153D55">
        <w:rPr>
          <w:rFonts w:ascii="Times New Roman" w:hAnsi="Times New Roman" w:cs="Times New Roman"/>
          <w:sz w:val="24"/>
          <w:szCs w:val="24"/>
          <w:lang w:val="en-US"/>
        </w:rPr>
        <w:t>prezygapophyseal</w:t>
      </w:r>
      <w:proofErr w:type="spellEnd"/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width) is only slightly larger than that of the holotype of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Eurazhdarcho</w:t>
      </w:r>
      <w:proofErr w:type="spellEnd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langendorfensis</w:t>
      </w:r>
      <w:proofErr w:type="spellEnd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(37 mm in </w:t>
      </w:r>
      <w:proofErr w:type="spellStart"/>
      <w:r w:rsidRPr="00153D55">
        <w:rPr>
          <w:rFonts w:ascii="Times New Roman" w:hAnsi="Times New Roman" w:cs="Times New Roman"/>
          <w:sz w:val="24"/>
          <w:szCs w:val="24"/>
          <w:lang w:val="en-US"/>
        </w:rPr>
        <w:t>prezygapophyseal</w:t>
      </w:r>
      <w:proofErr w:type="spellEnd"/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width), which is estimated at 3 m wingspan </w:t>
      </w:r>
      <w:r w:rsidR="00AC1320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based on its wing remains 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153D55">
        <w:rPr>
          <w:rFonts w:ascii="Times New Roman" w:hAnsi="Times New Roman" w:cs="Times New Roman"/>
          <w:sz w:val="24"/>
          <w:szCs w:val="24"/>
          <w:lang w:val="en-US"/>
        </w:rPr>
        <w:t>Vremir</w:t>
      </w:r>
      <w:proofErr w:type="spellEnd"/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al.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, 2013). Therefore, taking all of the abovementioned evidence together, a cautious wingspan estimate of 3.0–3.5 m seems most plausible for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Gobiazhdarcho</w:t>
      </w:r>
      <w:proofErr w:type="spellEnd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tsogtbaatari</w:t>
      </w:r>
      <w:proofErr w:type="spellEnd"/>
      <w:r w:rsidRPr="00153D5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95BC9A" w14:textId="3273921C" w:rsidR="0046254E" w:rsidRPr="00153D55" w:rsidRDefault="004845AF" w:rsidP="004F20B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153D5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Regarding the holotype and only known specimen of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Tsogtopteryx</w:t>
      </w:r>
      <w:proofErr w:type="spellEnd"/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mongoliensis</w:t>
      </w:r>
      <w:proofErr w:type="spellEnd"/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, the only preserved element available is unfortunately a partial CVI, greatly limiting comparisons. Still, it is </w:t>
      </w:r>
      <w:r w:rsidR="0056729B">
        <w:rPr>
          <w:rFonts w:ascii="Times New Roman" w:hAnsi="Times New Roman" w:cs="Times New Roman"/>
          <w:sz w:val="24"/>
          <w:szCs w:val="24"/>
          <w:lang w:val="en-US"/>
        </w:rPr>
        <w:t>notable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that MPC−Nd 100/303 represents a very small specimen. The </w:t>
      </w:r>
      <w:proofErr w:type="spellStart"/>
      <w:r w:rsidRPr="00153D55">
        <w:rPr>
          <w:rFonts w:ascii="Times New Roman" w:hAnsi="Times New Roman" w:cs="Times New Roman"/>
          <w:sz w:val="24"/>
          <w:szCs w:val="24"/>
          <w:lang w:val="en-US"/>
        </w:rPr>
        <w:t>prezygapophyseal</w:t>
      </w:r>
      <w:proofErr w:type="spellEnd"/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width is of 25 mm, what corresponds to 38% the same value in </w:t>
      </w:r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Q.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lawsoni</w:t>
      </w:r>
      <w:proofErr w:type="spellEnd"/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specimen TMM 42180-19 (~60 mm), suggesting a wingspan of ~1.6–1.9 m for MPC−Nd 100/303. </w:t>
      </w:r>
      <w:r w:rsidR="004836E9" w:rsidRPr="00153D55">
        <w:rPr>
          <w:rFonts w:ascii="Times New Roman" w:hAnsi="Times New Roman" w:cs="Times New Roman"/>
          <w:sz w:val="24"/>
          <w:szCs w:val="24"/>
          <w:lang w:val="en-US"/>
        </w:rPr>
        <w:t>Similarly, cotylar width is 15 mm, corresponding to</w:t>
      </w:r>
      <w:r w:rsidR="00C20345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~</w:t>
      </w:r>
      <w:r w:rsidR="004836E9" w:rsidRPr="00153D5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20345" w:rsidRPr="00153D5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4836E9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% the same value in </w:t>
      </w:r>
      <w:r w:rsidR="004836E9"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Q. </w:t>
      </w:r>
      <w:proofErr w:type="spellStart"/>
      <w:r w:rsidR="004836E9"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lawsoni</w:t>
      </w:r>
      <w:proofErr w:type="spellEnd"/>
      <w:r w:rsidR="004836E9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TMM 42180-19 (~3</w:t>
      </w:r>
      <w:r w:rsidR="00C20345" w:rsidRPr="00153D5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4836E9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mm)</w:t>
      </w:r>
      <w:r w:rsidR="006111BE" w:rsidRPr="00153D55">
        <w:rPr>
          <w:rFonts w:ascii="Times New Roman" w:hAnsi="Times New Roman" w:cs="Times New Roman"/>
          <w:sz w:val="24"/>
          <w:szCs w:val="24"/>
          <w:lang w:val="en-US"/>
        </w:rPr>
        <w:t>, suggesting a wingspan of ~1.</w:t>
      </w:r>
      <w:r w:rsidR="00C20345" w:rsidRPr="00153D5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111BE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–2 m for MPC−Nd 100/303. </w:t>
      </w:r>
      <w:r w:rsidR="007E49B1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Therefore, an estimate of </w:t>
      </w:r>
      <w:r w:rsidR="00C20345" w:rsidRPr="00153D55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1432FC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2 m seems plausible for </w:t>
      </w:r>
      <w:proofErr w:type="spellStart"/>
      <w:r w:rsidR="001432FC"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Tsogtopteryx</w:t>
      </w:r>
      <w:proofErr w:type="spellEnd"/>
      <w:r w:rsidR="001432FC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32FC"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mongoliensis</w:t>
      </w:r>
      <w:proofErr w:type="spellEnd"/>
      <w:r w:rsidR="001432FC"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As explored above, the </w:t>
      </w:r>
      <w:proofErr w:type="spellStart"/>
      <w:r w:rsidRPr="00153D55">
        <w:rPr>
          <w:rFonts w:ascii="Times New Roman" w:hAnsi="Times New Roman" w:cs="Times New Roman"/>
          <w:sz w:val="24"/>
          <w:szCs w:val="24"/>
          <w:lang w:val="en-US"/>
        </w:rPr>
        <w:t>Burkhant</w:t>
      </w:r>
      <w:proofErr w:type="spellEnd"/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specimen is probably very close to reaching osteological maturity, while the </w:t>
      </w:r>
      <w:proofErr w:type="spellStart"/>
      <w:r w:rsidRPr="00153D55">
        <w:rPr>
          <w:rFonts w:ascii="Times New Roman" w:hAnsi="Times New Roman" w:cs="Times New Roman"/>
          <w:sz w:val="24"/>
          <w:szCs w:val="24"/>
          <w:lang w:val="en-US"/>
        </w:rPr>
        <w:t>Bayshin</w:t>
      </w:r>
      <w:proofErr w:type="spellEnd"/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Tsav can be regarded as </w:t>
      </w:r>
      <w:proofErr w:type="spellStart"/>
      <w:r w:rsidRPr="00153D55">
        <w:rPr>
          <w:rFonts w:ascii="Times New Roman" w:hAnsi="Times New Roman" w:cs="Times New Roman"/>
          <w:sz w:val="24"/>
          <w:szCs w:val="24"/>
          <w:lang w:val="en-US"/>
        </w:rPr>
        <w:t>osteologically</w:t>
      </w:r>
      <w:proofErr w:type="spellEnd"/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 mature.</w:t>
      </w:r>
    </w:p>
    <w:p w14:paraId="3096D181" w14:textId="77777777" w:rsidR="004845AF" w:rsidRDefault="004845AF" w:rsidP="004F20B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CB07535" w14:textId="77777777" w:rsidR="0081286C" w:rsidRDefault="0081286C" w:rsidP="004F20B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AD8FE01" w14:textId="77777777" w:rsidR="0081286C" w:rsidRDefault="0081286C" w:rsidP="004F20B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1FBC0E1" w14:textId="77777777" w:rsidR="0081286C" w:rsidRDefault="0081286C" w:rsidP="004F20B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098A574" w14:textId="77777777" w:rsidR="0081286C" w:rsidRDefault="0081286C" w:rsidP="004F20B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77AE5E70" w14:textId="77777777" w:rsidR="0081286C" w:rsidRDefault="0081286C" w:rsidP="004F20B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421480B" w14:textId="77777777" w:rsidR="0081286C" w:rsidRDefault="0081286C" w:rsidP="004F20B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E9A4E28" w14:textId="77777777" w:rsidR="0081286C" w:rsidRDefault="0081286C" w:rsidP="004F20B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0735330" w14:textId="77777777" w:rsidR="0081286C" w:rsidRDefault="0081286C" w:rsidP="004F20B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3AA03EF" w14:textId="77777777" w:rsidR="0081286C" w:rsidRDefault="0081286C" w:rsidP="004F20B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86155CF" w14:textId="77777777" w:rsidR="0081286C" w:rsidRDefault="0081286C" w:rsidP="004F20B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581F11F" w14:textId="77777777" w:rsidR="0081286C" w:rsidRDefault="0081286C" w:rsidP="004F20B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6DAB9EB" w14:textId="77777777" w:rsidR="0081286C" w:rsidRDefault="0081286C" w:rsidP="004F20B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CDDCB48" w14:textId="77777777" w:rsidR="0081286C" w:rsidRDefault="0081286C" w:rsidP="004F20B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E3BD925" w14:textId="77777777" w:rsidR="0081286C" w:rsidRDefault="0081286C" w:rsidP="004F20B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C4A8C9C" w14:textId="77777777" w:rsidR="0081286C" w:rsidRDefault="0081286C" w:rsidP="004F20B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79F1B2D" w14:textId="7B3BF930" w:rsidR="003341E2" w:rsidRDefault="003341E2" w:rsidP="002D58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lastRenderedPageBreak/>
        <w:t>Strict consensus tree (complete)</w:t>
      </w:r>
    </w:p>
    <w:p w14:paraId="5EE368E9" w14:textId="46D3B10E" w:rsidR="002D58A4" w:rsidRPr="002D58A4" w:rsidRDefault="00C60795" w:rsidP="002D58A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11AEB730" wp14:editId="16BBEEA1">
            <wp:simplePos x="0" y="0"/>
            <wp:positionH relativeFrom="column">
              <wp:posOffset>-1883</wp:posOffset>
            </wp:positionH>
            <wp:positionV relativeFrom="paragraph">
              <wp:posOffset>37414</wp:posOffset>
            </wp:positionV>
            <wp:extent cx="4355293" cy="9386570"/>
            <wp:effectExtent l="0" t="0" r="7620" b="5080"/>
            <wp:wrapNone/>
            <wp:docPr id="855516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516236" name="Picture 8555162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356" cy="9401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6A169" w14:textId="1DFBD6FD" w:rsidR="003341E2" w:rsidRDefault="003341E2" w:rsidP="002D58A4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4EA8F00C" w14:textId="77777777" w:rsidR="00681C9C" w:rsidRDefault="00681C9C" w:rsidP="003341E2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2701DE29" w14:textId="77777777" w:rsidR="00681C9C" w:rsidRDefault="00681C9C" w:rsidP="003341E2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61DF22FB" w14:textId="77777777" w:rsidR="00681C9C" w:rsidRDefault="00681C9C" w:rsidP="003341E2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7060966C" w14:textId="77777777" w:rsidR="00681C9C" w:rsidRDefault="00681C9C" w:rsidP="003341E2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3AF57983" w14:textId="77777777" w:rsidR="00681C9C" w:rsidRDefault="00681C9C" w:rsidP="003341E2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1262B2FA" w14:textId="77777777" w:rsidR="00681C9C" w:rsidRDefault="00681C9C" w:rsidP="003341E2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07D18C2B" w14:textId="77777777" w:rsidR="00681C9C" w:rsidRDefault="00681C9C" w:rsidP="003341E2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1283037C" w14:textId="77777777" w:rsidR="00681C9C" w:rsidRDefault="00681C9C" w:rsidP="003341E2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19762707" w14:textId="77777777" w:rsidR="00681C9C" w:rsidRDefault="00681C9C" w:rsidP="003341E2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4B6C6CDE" w14:textId="77777777" w:rsidR="00681C9C" w:rsidRDefault="00681C9C" w:rsidP="003341E2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2B148060" w14:textId="77777777" w:rsidR="00681C9C" w:rsidRDefault="00681C9C" w:rsidP="003341E2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74E98603" w14:textId="77777777" w:rsidR="00681C9C" w:rsidRDefault="00681C9C" w:rsidP="003341E2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18BFE9BE" w14:textId="77777777" w:rsidR="00681C9C" w:rsidRDefault="00681C9C" w:rsidP="003341E2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099AD553" w14:textId="77777777" w:rsidR="00681C9C" w:rsidRDefault="00681C9C" w:rsidP="003341E2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71E39653" w14:textId="77777777" w:rsidR="00681C9C" w:rsidRDefault="00681C9C" w:rsidP="003341E2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120B7167" w14:textId="77777777" w:rsidR="00681C9C" w:rsidRDefault="00681C9C" w:rsidP="003341E2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0E7A4EC1" w14:textId="77777777" w:rsidR="00681C9C" w:rsidRDefault="00681C9C" w:rsidP="003341E2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02EF4E3B" w14:textId="77777777" w:rsidR="00681C9C" w:rsidRDefault="00681C9C" w:rsidP="003341E2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4E94D7DD" w14:textId="77777777" w:rsidR="00681C9C" w:rsidRDefault="00681C9C" w:rsidP="003341E2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4EDE6542" w14:textId="77777777" w:rsidR="00681C9C" w:rsidRDefault="00681C9C" w:rsidP="003341E2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4BDBCBE4" w14:textId="77777777" w:rsidR="00681C9C" w:rsidRDefault="00681C9C" w:rsidP="003341E2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3CF9E32D" w14:textId="77777777" w:rsidR="00681C9C" w:rsidRDefault="00681C9C" w:rsidP="003341E2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12FCBC94" w14:textId="77777777" w:rsidR="00681C9C" w:rsidRDefault="00681C9C" w:rsidP="003341E2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69745D66" w14:textId="273126E3" w:rsidR="00681C9C" w:rsidRPr="003341E2" w:rsidRDefault="00F05042" w:rsidP="00F05042">
      <w:pPr>
        <w:pStyle w:val="ListParagraph"/>
        <w:tabs>
          <w:tab w:val="left" w:pos="3771"/>
        </w:tabs>
        <w:spacing w:line="36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ab/>
      </w:r>
    </w:p>
    <w:p w14:paraId="32B9A942" w14:textId="77777777" w:rsidR="003341E2" w:rsidRPr="00153D55" w:rsidRDefault="003341E2" w:rsidP="004F20B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700D2ADA" w14:textId="77777777" w:rsidR="004E6096" w:rsidRDefault="004E6096" w:rsidP="004F20B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0FCAC" w14:textId="05462BDB" w:rsidR="004302AC" w:rsidRPr="003341E2" w:rsidRDefault="00C9320A" w:rsidP="004F20B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341E2">
        <w:rPr>
          <w:rFonts w:ascii="Times New Roman" w:hAnsi="Times New Roman" w:cs="Times New Roman"/>
          <w:b/>
          <w:bCs/>
          <w:sz w:val="28"/>
          <w:szCs w:val="28"/>
        </w:rPr>
        <w:lastRenderedPageBreak/>
        <w:t>Supplementary</w:t>
      </w:r>
      <w:proofErr w:type="spellEnd"/>
      <w:r w:rsidRPr="00334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302AC" w:rsidRPr="003341E2">
        <w:rPr>
          <w:rFonts w:ascii="Times New Roman" w:hAnsi="Times New Roman" w:cs="Times New Roman"/>
          <w:b/>
          <w:bCs/>
          <w:sz w:val="28"/>
          <w:szCs w:val="28"/>
        </w:rPr>
        <w:t>References</w:t>
      </w:r>
      <w:proofErr w:type="spellEnd"/>
    </w:p>
    <w:p w14:paraId="1FB2FE60" w14:textId="77777777" w:rsidR="0030470C" w:rsidRPr="00153D55" w:rsidRDefault="0030470C" w:rsidP="004F20B0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Andres, B., &amp; Langston Jr, W. (2021). Morphology and taxonomy of </w:t>
      </w:r>
      <w:r w:rsidRPr="007605B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Quetzalcoatlus</w:t>
      </w:r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Lawson 1975 (</w:t>
      </w:r>
      <w:proofErr w:type="spellStart"/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Pterodactyloidea</w:t>
      </w:r>
      <w:proofErr w:type="spellEnd"/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Azhdarchoidea</w:t>
      </w:r>
      <w:proofErr w:type="spellEnd"/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). </w:t>
      </w:r>
      <w:r w:rsidRPr="00153D5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Journal of Vertebrate Paleontology</w:t>
      </w:r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153D5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41</w:t>
      </w:r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(sup1), 46-202.</w:t>
      </w:r>
    </w:p>
    <w:p w14:paraId="13D52FB9" w14:textId="77777777" w:rsidR="0030470C" w:rsidRPr="004E1454" w:rsidRDefault="0030470C" w:rsidP="004F20B0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es-AR"/>
        </w:rPr>
      </w:pPr>
      <w:r w:rsidRPr="00153D55">
        <w:rPr>
          <w:rFonts w:ascii="Times New Roman" w:hAnsi="Times New Roman" w:cs="Times New Roman"/>
          <w:sz w:val="24"/>
          <w:szCs w:val="24"/>
          <w:lang w:val="en-US"/>
        </w:rPr>
        <w:t>Cai, Z. and Wei, F. 1994. On a new pterosaur (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Zhejiangopterus</w:t>
      </w:r>
      <w:proofErr w:type="spellEnd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>linhaiensis</w:t>
      </w:r>
      <w:proofErr w:type="spellEnd"/>
      <w:r w:rsidRPr="00153D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gen. et sp. </w:t>
      </w:r>
      <w:proofErr w:type="spellStart"/>
      <w:r w:rsidRPr="00153D55">
        <w:rPr>
          <w:rFonts w:ascii="Times New Roman" w:hAnsi="Times New Roman" w:cs="Times New Roman"/>
          <w:sz w:val="24"/>
          <w:szCs w:val="24"/>
          <w:lang w:val="en-US"/>
        </w:rPr>
        <w:t>nov.</w:t>
      </w:r>
      <w:proofErr w:type="spellEnd"/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) from Upper Cretaceous in </w:t>
      </w:r>
      <w:proofErr w:type="spellStart"/>
      <w:r w:rsidRPr="00153D55">
        <w:rPr>
          <w:rFonts w:ascii="Times New Roman" w:hAnsi="Times New Roman" w:cs="Times New Roman"/>
          <w:sz w:val="24"/>
          <w:szCs w:val="24"/>
          <w:lang w:val="en-US"/>
        </w:rPr>
        <w:t>Linhai</w:t>
      </w:r>
      <w:proofErr w:type="spellEnd"/>
      <w:r w:rsidRPr="00153D55">
        <w:rPr>
          <w:rFonts w:ascii="Times New Roman" w:hAnsi="Times New Roman" w:cs="Times New Roman"/>
          <w:sz w:val="24"/>
          <w:szCs w:val="24"/>
          <w:lang w:val="en-US"/>
        </w:rPr>
        <w:t xml:space="preserve">, Zhejiang, China. </w:t>
      </w:r>
      <w:proofErr w:type="spellStart"/>
      <w:r w:rsidRPr="004E1454">
        <w:rPr>
          <w:rFonts w:ascii="Times New Roman" w:hAnsi="Times New Roman" w:cs="Times New Roman"/>
          <w:i/>
          <w:iCs/>
          <w:sz w:val="24"/>
          <w:szCs w:val="24"/>
          <w:lang w:val="es-AR"/>
        </w:rPr>
        <w:t>Vertebrata</w:t>
      </w:r>
      <w:proofErr w:type="spellEnd"/>
      <w:r w:rsidRPr="004E1454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</w:t>
      </w:r>
      <w:proofErr w:type="spellStart"/>
      <w:r w:rsidRPr="004E1454">
        <w:rPr>
          <w:rFonts w:ascii="Times New Roman" w:hAnsi="Times New Roman" w:cs="Times New Roman"/>
          <w:i/>
          <w:iCs/>
          <w:sz w:val="24"/>
          <w:szCs w:val="24"/>
          <w:lang w:val="es-AR"/>
        </w:rPr>
        <w:t>Palasiatica</w:t>
      </w:r>
      <w:proofErr w:type="spellEnd"/>
      <w:r w:rsidRPr="004E1454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</w:t>
      </w:r>
      <w:r w:rsidRPr="004E1454">
        <w:rPr>
          <w:rFonts w:ascii="Times New Roman" w:hAnsi="Times New Roman" w:cs="Times New Roman"/>
          <w:sz w:val="24"/>
          <w:szCs w:val="24"/>
          <w:lang w:val="es-AR"/>
        </w:rPr>
        <w:t xml:space="preserve">32: 181–194 </w:t>
      </w:r>
    </w:p>
    <w:p w14:paraId="2C8F4EFE" w14:textId="77777777" w:rsidR="0030470C" w:rsidRPr="00153D55" w:rsidRDefault="0030470C" w:rsidP="004F20B0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4E1454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>Hone</w:t>
      </w:r>
      <w:proofErr w:type="spellEnd"/>
      <w:r w:rsidRPr="004E1454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 xml:space="preserve">, D. W., Habib, M. B., &amp; </w:t>
      </w:r>
      <w:proofErr w:type="spellStart"/>
      <w:r w:rsidRPr="004E1454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>Therrien</w:t>
      </w:r>
      <w:proofErr w:type="spellEnd"/>
      <w:r w:rsidRPr="004E1454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 xml:space="preserve">, F. (2019).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Cryodrakon</w:t>
      </w:r>
      <w:proofErr w:type="spellEnd"/>
      <w:r w:rsidRPr="00153D5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boreas</w:t>
      </w:r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gen. et sp. </w:t>
      </w:r>
      <w:proofErr w:type="spellStart"/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nov.</w:t>
      </w:r>
      <w:proofErr w:type="spellEnd"/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a Late Cretaceous Canadian azhdarchid pterosaur. </w:t>
      </w:r>
      <w:r w:rsidRPr="00153D5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Journal of Vertebrate Paleontology</w:t>
      </w:r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153D5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39</w:t>
      </w:r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(3), e1649681.</w:t>
      </w:r>
    </w:p>
    <w:p w14:paraId="0D7D47DF" w14:textId="77777777" w:rsidR="0030470C" w:rsidRPr="004E1454" w:rsidRDefault="0030470C" w:rsidP="004F20B0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Naish, D., &amp; Witton, M. P. (2017). Neck biomechanics indicate that giant Transylvanian azhdarchid pterosaurs were short-necked arch predators. </w:t>
      </w:r>
      <w:proofErr w:type="spellStart"/>
      <w:r w:rsidRPr="004E145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PeerJ</w:t>
      </w:r>
      <w:proofErr w:type="spellEnd"/>
      <w:r w:rsidRPr="004E145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E145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5</w:t>
      </w:r>
      <w:r w:rsidRPr="004E1454">
        <w:rPr>
          <w:rFonts w:ascii="Times New Roman" w:hAnsi="Times New Roman" w:cs="Times New Roman"/>
          <w:sz w:val="24"/>
          <w:szCs w:val="24"/>
          <w:shd w:val="clear" w:color="auto" w:fill="FFFFFF"/>
        </w:rPr>
        <w:t>, e2908.</w:t>
      </w:r>
      <w:r w:rsidRPr="004E14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9C5D97" w14:textId="77777777" w:rsidR="0030470C" w:rsidRPr="00153D55" w:rsidRDefault="0030470C" w:rsidP="004F20B0">
      <w:pPr>
        <w:tabs>
          <w:tab w:val="left" w:pos="2160"/>
        </w:tabs>
        <w:spacing w:after="240" w:line="360" w:lineRule="auto"/>
        <w:ind w:left="709" w:hanging="709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bookmarkStart w:id="1" w:name="_Hlk171651185"/>
      <w:r w:rsidRPr="00153D55">
        <w:rPr>
          <w:rFonts w:ascii="Times New Roman" w:hAnsi="Times New Roman"/>
          <w:sz w:val="24"/>
          <w:szCs w:val="24"/>
          <w:shd w:val="clear" w:color="auto" w:fill="FFFFFF"/>
        </w:rPr>
        <w:t xml:space="preserve">Pêgas, R. V., </w:t>
      </w:r>
      <w:proofErr w:type="spellStart"/>
      <w:r w:rsidRPr="00153D55">
        <w:rPr>
          <w:rFonts w:ascii="Times New Roman" w:hAnsi="Times New Roman"/>
          <w:sz w:val="24"/>
          <w:szCs w:val="24"/>
          <w:shd w:val="clear" w:color="auto" w:fill="FFFFFF"/>
        </w:rPr>
        <w:t>Holgado</w:t>
      </w:r>
      <w:proofErr w:type="spellEnd"/>
      <w:r w:rsidRPr="00153D55">
        <w:rPr>
          <w:rFonts w:ascii="Times New Roman" w:hAnsi="Times New Roman"/>
          <w:sz w:val="24"/>
          <w:szCs w:val="24"/>
          <w:shd w:val="clear" w:color="auto" w:fill="FFFFFF"/>
        </w:rPr>
        <w:t xml:space="preserve">, B., David, L. D. O., Baiano, M. A., &amp; Costa, F. R. (2021). </w:t>
      </w:r>
      <w:r w:rsidRPr="00153D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On the pterosaur </w:t>
      </w:r>
      <w:proofErr w:type="spellStart"/>
      <w:r w:rsidRPr="00153D55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Aerotitan</w:t>
      </w:r>
      <w:proofErr w:type="spellEnd"/>
      <w:r w:rsidRPr="00153D55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53D55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sudamericanus</w:t>
      </w:r>
      <w:proofErr w:type="spellEnd"/>
      <w:r w:rsidRPr="00153D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(Neuquén Basin, Upper Cretaceous of Argentina), with comments on azhdarchoid phylogeny and jaw anatomy. </w:t>
      </w:r>
      <w:r w:rsidRPr="00153D55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Cretaceous Research</w:t>
      </w:r>
      <w:r w:rsidRPr="00153D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, </w:t>
      </w:r>
      <w:r w:rsidRPr="00153D55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129</w:t>
      </w:r>
      <w:r w:rsidRPr="00153D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, 104998.</w:t>
      </w:r>
    </w:p>
    <w:p w14:paraId="3525734D" w14:textId="77777777" w:rsidR="0030470C" w:rsidRPr="00153D55" w:rsidRDefault="0030470C" w:rsidP="004F20B0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bookmarkStart w:id="2" w:name="_Hlk171651218"/>
      <w:bookmarkEnd w:id="1"/>
      <w:proofErr w:type="spellStart"/>
      <w:r w:rsidRPr="00FB07C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Vremir</w:t>
      </w:r>
      <w:proofErr w:type="spellEnd"/>
      <w:r w:rsidRPr="00FB07C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M., Kellner, A. W., Naish, D., &amp; Dyke, G. J. (2013). </w:t>
      </w:r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 new azhdarchid pterosaur from the Late Cretaceous of the Transylvanian Basin, Romania: implications for azhdarchid diversity and distribution. 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PLoS</w:t>
      </w:r>
      <w:proofErr w:type="spellEnd"/>
      <w:r w:rsidRPr="00153D5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One</w:t>
      </w:r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153D5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8</w:t>
      </w:r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(1), e54268.</w:t>
      </w:r>
    </w:p>
    <w:p w14:paraId="78C52D48" w14:textId="77777777" w:rsidR="0030470C" w:rsidRPr="00153D55" w:rsidRDefault="0030470C" w:rsidP="004F20B0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Vremir</w:t>
      </w:r>
      <w:proofErr w:type="spellEnd"/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M., Witton, M., Naish, D., Dyke, G., Brusatte, S. L., Norell, M., &amp; </w:t>
      </w:r>
      <w:proofErr w:type="spellStart"/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Totoianu</w:t>
      </w:r>
      <w:proofErr w:type="spellEnd"/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R. (2015). A medium-sized robust-necked azhdarchid pterosaur (</w:t>
      </w:r>
      <w:proofErr w:type="spellStart"/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Pterodactyloidea</w:t>
      </w:r>
      <w:proofErr w:type="spellEnd"/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Azhdarchidae</w:t>
      </w:r>
      <w:proofErr w:type="spellEnd"/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 from the Maastrichtian of Pui (</w:t>
      </w:r>
      <w:proofErr w:type="spellStart"/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Haţeg</w:t>
      </w:r>
      <w:proofErr w:type="spellEnd"/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Basin, Transylvania, Romania). </w:t>
      </w:r>
      <w:r w:rsidRPr="00153D5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American Museum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Novitates</w:t>
      </w:r>
      <w:proofErr w:type="spellEnd"/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153D5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2015</w:t>
      </w:r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(3827), 1-16.</w:t>
      </w:r>
    </w:p>
    <w:bookmarkEnd w:id="2"/>
    <w:p w14:paraId="3F671AF8" w14:textId="77777777" w:rsidR="0030470C" w:rsidRPr="00153D55" w:rsidRDefault="0030470C" w:rsidP="004F20B0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Vullo, R., Garcia, G., </w:t>
      </w:r>
      <w:proofErr w:type="spellStart"/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Godefroit</w:t>
      </w:r>
      <w:proofErr w:type="spellEnd"/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P., Cincotta, A., &amp; Valentin, X. (2018).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Mistralazhdarcho</w:t>
      </w:r>
      <w:proofErr w:type="spellEnd"/>
      <w:r w:rsidRPr="00153D5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53D5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maggii</w:t>
      </w:r>
      <w:proofErr w:type="spellEnd"/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gen. et sp. </w:t>
      </w:r>
      <w:proofErr w:type="spellStart"/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nov.</w:t>
      </w:r>
      <w:proofErr w:type="spellEnd"/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a new azhdarchid pterosaur from the Upper Cretaceous of southeastern France. </w:t>
      </w:r>
      <w:r w:rsidRPr="00153D5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Journal of Vertebrate Paleontology</w:t>
      </w:r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153D5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38</w:t>
      </w:r>
      <w:r w:rsidRPr="00153D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(4), 1-16.</w:t>
      </w:r>
    </w:p>
    <w:p w14:paraId="06087531" w14:textId="3BAA4F72" w:rsidR="004302AC" w:rsidRPr="0030470C" w:rsidRDefault="004302AC" w:rsidP="004F20B0">
      <w:pPr>
        <w:spacing w:after="240" w:line="360" w:lineRule="auto"/>
        <w:ind w:left="709" w:hanging="709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sectPr w:rsidR="004302AC" w:rsidRPr="003047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E7D2C"/>
    <w:multiLevelType w:val="hybridMultilevel"/>
    <w:tmpl w:val="2B42CA1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C25BE6"/>
    <w:multiLevelType w:val="hybridMultilevel"/>
    <w:tmpl w:val="6330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71424">
    <w:abstractNumId w:val="0"/>
  </w:num>
  <w:num w:numId="2" w16cid:durableId="1306473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AF"/>
    <w:rsid w:val="0002384A"/>
    <w:rsid w:val="00024711"/>
    <w:rsid w:val="00030453"/>
    <w:rsid w:val="00032A2D"/>
    <w:rsid w:val="00032AB6"/>
    <w:rsid w:val="0007116A"/>
    <w:rsid w:val="00091586"/>
    <w:rsid w:val="0009460E"/>
    <w:rsid w:val="000A63F9"/>
    <w:rsid w:val="000C7528"/>
    <w:rsid w:val="000D6BA1"/>
    <w:rsid w:val="00102E2A"/>
    <w:rsid w:val="00107094"/>
    <w:rsid w:val="00120C52"/>
    <w:rsid w:val="001236E6"/>
    <w:rsid w:val="00133C7A"/>
    <w:rsid w:val="001432FC"/>
    <w:rsid w:val="00153D55"/>
    <w:rsid w:val="0016719A"/>
    <w:rsid w:val="00175259"/>
    <w:rsid w:val="00191F27"/>
    <w:rsid w:val="0019763A"/>
    <w:rsid w:val="001A203B"/>
    <w:rsid w:val="001C222D"/>
    <w:rsid w:val="001C58FD"/>
    <w:rsid w:val="001D2732"/>
    <w:rsid w:val="001F7409"/>
    <w:rsid w:val="002632B8"/>
    <w:rsid w:val="00266BEE"/>
    <w:rsid w:val="00282B23"/>
    <w:rsid w:val="002902C5"/>
    <w:rsid w:val="00292020"/>
    <w:rsid w:val="002A5D02"/>
    <w:rsid w:val="002C0202"/>
    <w:rsid w:val="002C3B30"/>
    <w:rsid w:val="002C55D8"/>
    <w:rsid w:val="002C586E"/>
    <w:rsid w:val="002D58A4"/>
    <w:rsid w:val="0030470C"/>
    <w:rsid w:val="003341E2"/>
    <w:rsid w:val="0036373A"/>
    <w:rsid w:val="00373674"/>
    <w:rsid w:val="003739CE"/>
    <w:rsid w:val="00376EE5"/>
    <w:rsid w:val="00390B79"/>
    <w:rsid w:val="003A38FE"/>
    <w:rsid w:val="003C1A25"/>
    <w:rsid w:val="003C1E80"/>
    <w:rsid w:val="003F323E"/>
    <w:rsid w:val="003F3B11"/>
    <w:rsid w:val="0040627A"/>
    <w:rsid w:val="00407118"/>
    <w:rsid w:val="00415B1F"/>
    <w:rsid w:val="004248BE"/>
    <w:rsid w:val="004302AC"/>
    <w:rsid w:val="00442878"/>
    <w:rsid w:val="00457563"/>
    <w:rsid w:val="0046254E"/>
    <w:rsid w:val="004836E9"/>
    <w:rsid w:val="004845AF"/>
    <w:rsid w:val="00495F1D"/>
    <w:rsid w:val="004A1E3E"/>
    <w:rsid w:val="004C7A7D"/>
    <w:rsid w:val="004E1454"/>
    <w:rsid w:val="004E6096"/>
    <w:rsid w:val="004F20B0"/>
    <w:rsid w:val="004F4138"/>
    <w:rsid w:val="00515482"/>
    <w:rsid w:val="00520E57"/>
    <w:rsid w:val="00522E2B"/>
    <w:rsid w:val="0056729B"/>
    <w:rsid w:val="00567446"/>
    <w:rsid w:val="005731FC"/>
    <w:rsid w:val="005777CB"/>
    <w:rsid w:val="005A5D34"/>
    <w:rsid w:val="005B0363"/>
    <w:rsid w:val="005C197D"/>
    <w:rsid w:val="005D67C2"/>
    <w:rsid w:val="005E5906"/>
    <w:rsid w:val="00600B22"/>
    <w:rsid w:val="006111BE"/>
    <w:rsid w:val="006213F4"/>
    <w:rsid w:val="00625AAB"/>
    <w:rsid w:val="006440E8"/>
    <w:rsid w:val="00651028"/>
    <w:rsid w:val="006617F6"/>
    <w:rsid w:val="0067069A"/>
    <w:rsid w:val="00681C9C"/>
    <w:rsid w:val="00682E82"/>
    <w:rsid w:val="006A0EF8"/>
    <w:rsid w:val="006A62EB"/>
    <w:rsid w:val="006C4EBC"/>
    <w:rsid w:val="006C6D31"/>
    <w:rsid w:val="006D66D6"/>
    <w:rsid w:val="006F2E56"/>
    <w:rsid w:val="007053D6"/>
    <w:rsid w:val="00712351"/>
    <w:rsid w:val="0073340C"/>
    <w:rsid w:val="007354C7"/>
    <w:rsid w:val="007452EE"/>
    <w:rsid w:val="007544DC"/>
    <w:rsid w:val="007605B5"/>
    <w:rsid w:val="00771856"/>
    <w:rsid w:val="00785073"/>
    <w:rsid w:val="00795018"/>
    <w:rsid w:val="007E49B1"/>
    <w:rsid w:val="007F53D2"/>
    <w:rsid w:val="0081286C"/>
    <w:rsid w:val="00844D3E"/>
    <w:rsid w:val="0085119B"/>
    <w:rsid w:val="008750B3"/>
    <w:rsid w:val="008A5BC8"/>
    <w:rsid w:val="008A5C8C"/>
    <w:rsid w:val="008B4325"/>
    <w:rsid w:val="008C0E3D"/>
    <w:rsid w:val="008D3821"/>
    <w:rsid w:val="008F53C8"/>
    <w:rsid w:val="00905AC8"/>
    <w:rsid w:val="00935311"/>
    <w:rsid w:val="00940542"/>
    <w:rsid w:val="00973188"/>
    <w:rsid w:val="00975F76"/>
    <w:rsid w:val="009D3C81"/>
    <w:rsid w:val="009E4A92"/>
    <w:rsid w:val="009F0077"/>
    <w:rsid w:val="00A02A2B"/>
    <w:rsid w:val="00A045D6"/>
    <w:rsid w:val="00A07685"/>
    <w:rsid w:val="00A22E54"/>
    <w:rsid w:val="00A45E0E"/>
    <w:rsid w:val="00A6744B"/>
    <w:rsid w:val="00A74120"/>
    <w:rsid w:val="00A83737"/>
    <w:rsid w:val="00A91AE4"/>
    <w:rsid w:val="00A91D53"/>
    <w:rsid w:val="00AB2850"/>
    <w:rsid w:val="00AC1320"/>
    <w:rsid w:val="00AC35B9"/>
    <w:rsid w:val="00AD58F3"/>
    <w:rsid w:val="00AE05E0"/>
    <w:rsid w:val="00B17132"/>
    <w:rsid w:val="00B31A47"/>
    <w:rsid w:val="00B31F3A"/>
    <w:rsid w:val="00B570E6"/>
    <w:rsid w:val="00B82126"/>
    <w:rsid w:val="00B90C02"/>
    <w:rsid w:val="00BB431D"/>
    <w:rsid w:val="00BD4BA8"/>
    <w:rsid w:val="00BF5305"/>
    <w:rsid w:val="00C01DDE"/>
    <w:rsid w:val="00C20345"/>
    <w:rsid w:val="00C57E57"/>
    <w:rsid w:val="00C60795"/>
    <w:rsid w:val="00C65724"/>
    <w:rsid w:val="00C7237B"/>
    <w:rsid w:val="00C752B8"/>
    <w:rsid w:val="00C77B40"/>
    <w:rsid w:val="00C9320A"/>
    <w:rsid w:val="00C959A5"/>
    <w:rsid w:val="00CC2D09"/>
    <w:rsid w:val="00CC703D"/>
    <w:rsid w:val="00CD79F7"/>
    <w:rsid w:val="00CE329C"/>
    <w:rsid w:val="00CF5A3C"/>
    <w:rsid w:val="00D1199F"/>
    <w:rsid w:val="00D12260"/>
    <w:rsid w:val="00D15C0C"/>
    <w:rsid w:val="00D40724"/>
    <w:rsid w:val="00D653AD"/>
    <w:rsid w:val="00D758BC"/>
    <w:rsid w:val="00D852A5"/>
    <w:rsid w:val="00D9187E"/>
    <w:rsid w:val="00D92185"/>
    <w:rsid w:val="00DA6A39"/>
    <w:rsid w:val="00DC19F7"/>
    <w:rsid w:val="00DE49E2"/>
    <w:rsid w:val="00DE7C4B"/>
    <w:rsid w:val="00DF7DF6"/>
    <w:rsid w:val="00E01BF8"/>
    <w:rsid w:val="00E10366"/>
    <w:rsid w:val="00E26FA0"/>
    <w:rsid w:val="00E52539"/>
    <w:rsid w:val="00E53D21"/>
    <w:rsid w:val="00E83E56"/>
    <w:rsid w:val="00EA2695"/>
    <w:rsid w:val="00EA2F7E"/>
    <w:rsid w:val="00EB58B3"/>
    <w:rsid w:val="00ED7976"/>
    <w:rsid w:val="00EF441F"/>
    <w:rsid w:val="00EF5768"/>
    <w:rsid w:val="00EF77F2"/>
    <w:rsid w:val="00EF7F2C"/>
    <w:rsid w:val="00F05042"/>
    <w:rsid w:val="00F35C58"/>
    <w:rsid w:val="00F376B0"/>
    <w:rsid w:val="00F521D9"/>
    <w:rsid w:val="00F67CB4"/>
    <w:rsid w:val="00F87231"/>
    <w:rsid w:val="00F929C6"/>
    <w:rsid w:val="00F940DF"/>
    <w:rsid w:val="00FB07C1"/>
    <w:rsid w:val="00FC279A"/>
    <w:rsid w:val="00FD450B"/>
    <w:rsid w:val="00FD70C0"/>
    <w:rsid w:val="00FE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EC36"/>
  <w15:chartTrackingRefBased/>
  <w15:docId w15:val="{46974795-D7D5-4156-8AF4-BBB6721B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6</Pages>
  <Words>1241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Pêgas</dc:creator>
  <cp:keywords/>
  <dc:description/>
  <cp:lastModifiedBy>Rodrigo Pêgas</cp:lastModifiedBy>
  <cp:revision>170</cp:revision>
  <dcterms:created xsi:type="dcterms:W3CDTF">2024-10-30T03:34:00Z</dcterms:created>
  <dcterms:modified xsi:type="dcterms:W3CDTF">2025-05-14T16:28:00Z</dcterms:modified>
</cp:coreProperties>
</file>