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010"/>
        <w:gridCol w:w="771"/>
        <w:gridCol w:w="1676"/>
        <w:gridCol w:w="2154"/>
        <w:gridCol w:w="1164"/>
        <w:gridCol w:w="998"/>
        <w:gridCol w:w="3021"/>
        <w:gridCol w:w="841"/>
        <w:gridCol w:w="1052"/>
      </w:tblGrid>
      <w:tr w:rsidR="00752458" w14:paraId="605844BA" w14:textId="77777777" w:rsidTr="00BB15F1">
        <w:trPr>
          <w:trHeight w:val="1125"/>
        </w:trPr>
        <w:tc>
          <w:tcPr>
            <w:tcW w:w="456" w:type="pct"/>
            <w:shd w:val="clear" w:color="auto" w:fill="auto"/>
            <w:noWrap/>
            <w:vAlign w:val="center"/>
          </w:tcPr>
          <w:p w14:paraId="7CD8F158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Author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5BE2896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Design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512919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Country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59B533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 randomized subjects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 xml:space="preserve">(Soy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isoflavones,comparison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82C148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Age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 xml:space="preserve">(range)(Soy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isoflavones,comparison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2CFE74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Exposure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D3DBB32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Daily dosage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251A12D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Other compounds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F8ADE96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Duration of active treatment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22BBB1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Outcome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(measures)</w:t>
            </w:r>
          </w:p>
        </w:tc>
      </w:tr>
      <w:tr w:rsidR="00752458" w14:paraId="73E5D26E" w14:textId="77777777" w:rsidTr="00BB15F1">
        <w:trPr>
          <w:trHeight w:val="920"/>
        </w:trPr>
        <w:tc>
          <w:tcPr>
            <w:tcW w:w="456" w:type="pct"/>
            <w:shd w:val="clear" w:color="auto" w:fill="auto"/>
            <w:noWrap/>
            <w:vAlign w:val="center"/>
          </w:tcPr>
          <w:p w14:paraId="12FAEFE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Atteritano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 al.2013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709B28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9D67F3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Italy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1FC0D6BC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389(198,191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7D78A21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(49-67)(53.00±2.00,52.00±2.00)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EFA3FF2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Genistein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634A8C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54mg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7ED9A7B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Calcium carbonate (500 mg)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Vitamin D (400 IU)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71ABC0F8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 years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372535E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Zung</w:t>
            </w:r>
            <w:proofErr w:type="spellEnd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 xml:space="preserve"> Self-Rating Depression Scale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Score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a</w:t>
            </w:r>
            <w:proofErr w:type="spellEnd"/>
          </w:p>
        </w:tc>
      </w:tr>
      <w:tr w:rsidR="00752458" w14:paraId="52B3AF88" w14:textId="77777777" w:rsidTr="00BB15F1">
        <w:trPr>
          <w:trHeight w:val="900"/>
        </w:trPr>
        <w:tc>
          <w:tcPr>
            <w:tcW w:w="456" w:type="pct"/>
            <w:shd w:val="clear" w:color="auto" w:fill="auto"/>
            <w:noWrap/>
            <w:vAlign w:val="center"/>
          </w:tcPr>
          <w:p w14:paraId="46D2579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Jou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 al.2008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A63269B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Open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label,parallel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EAB955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868BB3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64(34,30 placebo )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182CCED" w14:textId="6694C011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53.8±3.8 EP group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r w:rsidR="00196DF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53.6±3.8 non-EP group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54.3±2.8 placebo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CA85AEE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FBAAF4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135mg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5E8EE6A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CCCE3F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 months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C9FD02B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 xml:space="preserve">Modified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Kupperman</w:t>
            </w:r>
            <w:proofErr w:type="spellEnd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Index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b</w:t>
            </w:r>
            <w:proofErr w:type="spellEnd"/>
          </w:p>
        </w:tc>
      </w:tr>
      <w:tr w:rsidR="00752458" w14:paraId="27D20214" w14:textId="77777777" w:rsidTr="00BB15F1">
        <w:trPr>
          <w:trHeight w:val="600"/>
        </w:trPr>
        <w:tc>
          <w:tcPr>
            <w:tcW w:w="456" w:type="pct"/>
            <w:shd w:val="clear" w:color="auto" w:fill="auto"/>
            <w:noWrap/>
            <w:vAlign w:val="center"/>
          </w:tcPr>
          <w:p w14:paraId="4DF37E9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Mansoreh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 al.2015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F9218AC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51DDC83C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Iran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4E0559D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80(40,40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3907749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(45-60)(52.13±3.05,51.39±2.89)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F5976A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09807B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185.55mg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9E9425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Calcium carbonate (500 mg)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Vitamin D (200 IU)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25969F42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 months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3ABEA9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MENQOL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c</w:t>
            </w:r>
            <w:proofErr w:type="spellEnd"/>
          </w:p>
        </w:tc>
      </w:tr>
      <w:tr w:rsidR="00752458" w14:paraId="66DE4C00" w14:textId="77777777" w:rsidTr="00BB15F1">
        <w:trPr>
          <w:trHeight w:val="600"/>
        </w:trPr>
        <w:tc>
          <w:tcPr>
            <w:tcW w:w="456" w:type="pct"/>
            <w:shd w:val="clear" w:color="auto" w:fill="auto"/>
            <w:noWrap/>
            <w:vAlign w:val="center"/>
          </w:tcPr>
          <w:p w14:paraId="72346F7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Rilva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 al.2009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DBEDB44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1E49C68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Brazil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10AEA142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84(42,42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04A6EEA6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(45-60)(53.35±3.62)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16A5D2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E576BA8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120mg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60F8996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02F2EF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16 weeks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A0E0474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CES-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D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d</w:t>
            </w:r>
            <w:proofErr w:type="spellEnd"/>
          </w:p>
        </w:tc>
      </w:tr>
      <w:tr w:rsidR="00752458" w14:paraId="4B7B3B05" w14:textId="77777777" w:rsidTr="00BB15F1">
        <w:trPr>
          <w:trHeight w:val="1728"/>
        </w:trPr>
        <w:tc>
          <w:tcPr>
            <w:tcW w:w="456" w:type="pct"/>
            <w:shd w:val="clear" w:color="auto" w:fill="auto"/>
            <w:noWrap/>
            <w:vAlign w:val="center"/>
          </w:tcPr>
          <w:p w14:paraId="569F056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Costa et al.2017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D451DB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30979F0E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Brazil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135B9A1E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36(19,17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2E5FE5A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(45-60)(56.0±1.3,52.7±1.3)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C8503A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42CC25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100mg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1E35609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1296DC9B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 weeks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EEEB91C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Kupperman</w:t>
            </w:r>
            <w:proofErr w:type="spellEnd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Index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e</w:t>
            </w:r>
            <w:proofErr w:type="spellEnd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br/>
              <w:t xml:space="preserve">Menopause Rating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Scale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f</w:t>
            </w:r>
            <w:proofErr w:type="spellEnd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br/>
              <w:t xml:space="preserve">Cervantes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Scale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g</w:t>
            </w:r>
            <w:proofErr w:type="spellEnd"/>
          </w:p>
        </w:tc>
      </w:tr>
      <w:tr w:rsidR="00752458" w14:paraId="313390B0" w14:textId="77777777" w:rsidTr="00BB15F1">
        <w:trPr>
          <w:trHeight w:val="600"/>
        </w:trPr>
        <w:tc>
          <w:tcPr>
            <w:tcW w:w="456" w:type="pct"/>
            <w:shd w:val="clear" w:color="auto" w:fill="auto"/>
            <w:noWrap/>
            <w:vAlign w:val="center"/>
          </w:tcPr>
          <w:p w14:paraId="39A0A04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Frigo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et.al.2021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7F651F4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4378792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Brazil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6654EB9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48(24,24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3AB97C2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(40-65)(51±5.2,50.7±5.7)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8CFF37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9E05B1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40.5mg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08D33C2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Phytoestrogens derived from flaxseed(40.9mg)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7FFCCF0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90 days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175388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Kupperman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index</w:t>
            </w:r>
          </w:p>
        </w:tc>
      </w:tr>
      <w:tr w:rsidR="00752458" w14:paraId="204E7728" w14:textId="77777777" w:rsidTr="00BB15F1">
        <w:trPr>
          <w:trHeight w:val="630"/>
        </w:trPr>
        <w:tc>
          <w:tcPr>
            <w:tcW w:w="456" w:type="pct"/>
            <w:shd w:val="clear" w:color="auto" w:fill="auto"/>
            <w:noWrap/>
            <w:vAlign w:val="center"/>
          </w:tcPr>
          <w:p w14:paraId="12A7110C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Giorgio et.al.2005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4A29CF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07C8B16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Italy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6E2B895C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117(58,59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3F7214A8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(≥35)(52.0,52.0)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9706EE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E19CF8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80mg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6056E08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FEDCC2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 months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E9B64C6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 xml:space="preserve">Greene Climacteric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Scale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h</w:t>
            </w:r>
            <w:proofErr w:type="spellEnd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br/>
              <w:t xml:space="preserve">Greene Psychological </w:t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Subscale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i</w:t>
            </w:r>
            <w:proofErr w:type="spellEnd"/>
          </w:p>
        </w:tc>
      </w:tr>
      <w:tr w:rsidR="00752458" w14:paraId="3B1B3C3B" w14:textId="77777777" w:rsidTr="00BB15F1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</w:tcPr>
          <w:p w14:paraId="5CAF2052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Salvador et.al.2016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A8875F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Open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label,parallel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06F9F60" w14:textId="77777777" w:rsidR="00752458" w:rsidRPr="00BB15F1" w:rsidRDefault="00196D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hyperlink r:id="rId4" w:anchor=" England" w:history="1">
              <w:r w:rsidR="00BB15F1" w:rsidRPr="00BB15F1">
                <w:rPr>
                  <w:rStyle w:val="a3"/>
                  <w:rFonts w:ascii="Times New Roman" w:eastAsia="宋体" w:hAnsi="Times New Roman" w:cs="Times New Roman"/>
                  <w:color w:val="auto"/>
                  <w:sz w:val="15"/>
                  <w:szCs w:val="15"/>
                  <w:u w:val="none"/>
                </w:rPr>
                <w:t>England</w:t>
              </w:r>
            </w:hyperlink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4736668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90(45,45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1B5A3C4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(≥45)(51.8±3.1,51.5±3.5)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96212B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D495ED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50mg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62B8074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34FD28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 weeks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1678A8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Menopause Rating Scale</w:t>
            </w:r>
          </w:p>
        </w:tc>
      </w:tr>
      <w:tr w:rsidR="00752458" w14:paraId="4F6A341B" w14:textId="77777777" w:rsidTr="00BB15F1">
        <w:trPr>
          <w:trHeight w:val="600"/>
        </w:trPr>
        <w:tc>
          <w:tcPr>
            <w:tcW w:w="456" w:type="pct"/>
            <w:shd w:val="clear" w:color="auto" w:fill="auto"/>
            <w:noWrap/>
            <w:vAlign w:val="center"/>
          </w:tcPr>
          <w:p w14:paraId="4A4DF06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Malkanthi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et.al.2010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BDDA5D6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24FFD5C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Canada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5E54C47E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83(41,42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67C4596F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(40-65)(53.39±5.05,53.50±4.44)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65EE11E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Genistein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37C1489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30mg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0977794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6C853CF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 weeks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D000C9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Greene Climacteric Scale</w:t>
            </w:r>
          </w:p>
        </w:tc>
      </w:tr>
      <w:tr w:rsidR="00752458" w14:paraId="330CB16D" w14:textId="77777777" w:rsidTr="00BB15F1">
        <w:trPr>
          <w:trHeight w:val="900"/>
        </w:trPr>
        <w:tc>
          <w:tcPr>
            <w:tcW w:w="456" w:type="pct"/>
            <w:shd w:val="clear" w:color="auto" w:fill="auto"/>
            <w:noWrap/>
            <w:vAlign w:val="center"/>
          </w:tcPr>
          <w:p w14:paraId="787676F4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Martin et.al.2018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B3708A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vAlign w:val="center"/>
          </w:tcPr>
          <w:p w14:paraId="7C049E5E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Austria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 xml:space="preserve"> Romania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 xml:space="preserve"> Germany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6F8004D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192(97,95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49827D9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(40-70)(54.3±6.4,53.6±5.3)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B817DC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78A6CA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100mg</w:t>
            </w:r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49007C6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70251F8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 weeks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5FD213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Greene Climacteric Scale</w:t>
            </w:r>
          </w:p>
        </w:tc>
      </w:tr>
      <w:tr w:rsidR="00752458" w14:paraId="0EDF831A" w14:textId="77777777" w:rsidTr="00BB15F1">
        <w:trPr>
          <w:trHeight w:val="930"/>
        </w:trPr>
        <w:tc>
          <w:tcPr>
            <w:tcW w:w="456" w:type="pct"/>
            <w:shd w:val="clear" w:color="auto" w:fill="auto"/>
            <w:noWrap/>
            <w:vAlign w:val="center"/>
          </w:tcPr>
          <w:p w14:paraId="21BF8A1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Fontvieille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et.al.2017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BAE51F5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F16BDA4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Canada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42BB5A56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31(15,16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714071A7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(50-70)(60.4±3.4,58.2±5.7)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75764C44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44 mg of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daidzein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 xml:space="preserve">16 mg of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glycitein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 xml:space="preserve">10 mg of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genistein</w:t>
            </w:r>
            <w:proofErr w:type="spellEnd"/>
          </w:p>
        </w:tc>
        <w:tc>
          <w:tcPr>
            <w:tcW w:w="1007" w:type="pct"/>
            <w:shd w:val="clear" w:color="auto" w:fill="auto"/>
            <w:noWrap/>
            <w:vAlign w:val="center"/>
          </w:tcPr>
          <w:p w14:paraId="090F9CBD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None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4FABD7E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 months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5FEE18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SF-36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 xml:space="preserve">j </w:t>
            </w:r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>Kupperman</w:t>
            </w:r>
            <w:proofErr w:type="spellEnd"/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t xml:space="preserve"> index</w:t>
            </w:r>
            <w:r>
              <w:rPr>
                <w:rStyle w:val="font11"/>
                <w:rFonts w:eastAsia="宋体"/>
                <w:sz w:val="15"/>
                <w:szCs w:val="15"/>
                <w:lang w:bidi="ar"/>
              </w:rPr>
              <w:br/>
              <w:t>PSS-10</w:t>
            </w:r>
            <w:r>
              <w:rPr>
                <w:rStyle w:val="font31"/>
                <w:rFonts w:eastAsia="宋体"/>
                <w:sz w:val="15"/>
                <w:szCs w:val="15"/>
                <w:lang w:bidi="ar"/>
              </w:rPr>
              <w:t>k</w:t>
            </w:r>
          </w:p>
        </w:tc>
      </w:tr>
      <w:tr w:rsidR="00752458" w14:paraId="3036FAD4" w14:textId="77777777" w:rsidTr="00BB15F1">
        <w:trPr>
          <w:trHeight w:val="1200"/>
        </w:trPr>
        <w:tc>
          <w:tcPr>
            <w:tcW w:w="456" w:type="pct"/>
            <w:shd w:val="clear" w:color="auto" w:fill="auto"/>
            <w:noWrap/>
            <w:vAlign w:val="center"/>
          </w:tcPr>
          <w:p w14:paraId="4E00BE5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Mingkwan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et.al.2024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22E88C1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Double-blind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RCT,parallel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14:paraId="7319CF56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Thailand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14:paraId="178C1CC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100(50,50 placebo)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46A6607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(48-65)(55.92±3.52,56.88±3.62)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AAD1CB3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Soy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isoflavones</w:t>
            </w:r>
            <w:proofErr w:type="spellEnd"/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6829240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209mg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5BFA1AB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Grape seed extract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Tomato extract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Lycopersicon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esculentum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Mill)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Vitamins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Minerals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14:paraId="3D1C97C4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12 weeks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A1D40AA" w14:textId="77777777" w:rsidR="00752458" w:rsidRDefault="00BB15F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Modified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Kupperman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Index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br/>
              <w:t>MENQOL</w:t>
            </w:r>
          </w:p>
        </w:tc>
      </w:tr>
      <w:tr w:rsidR="00752458" w14:paraId="38169F63" w14:textId="77777777" w:rsidTr="00BB15F1">
        <w:trPr>
          <w:trHeight w:val="238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528FDCD" w14:textId="77777777" w:rsidR="00752458" w:rsidRDefault="00BB15F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lastRenderedPageBreak/>
              <w:t>a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This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is a self-reporting scale consisting of 20 items to assess the presence and severity of depressive symptoms.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b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An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adaptation of the original </w:t>
            </w:r>
            <w:proofErr w:type="spellStart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Kupperman</w:t>
            </w:r>
            <w:proofErr w:type="spell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Index, used to assess the severity of menopausal symptoms.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c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The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Menopause-Specific Quality of Life questionnaire is a tool designed to measure the impact of menopause on a woman's quality of life.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d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The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Center for Epidemiologic Studies Depression Scale is a self-reporting questionnaire used to measure symptoms of depression in the general population.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e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A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widely used scale to assess the severity of menopausal symptoms, which was one of the first tools developed for this purpose.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f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A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validated instrument used to evaluate the severity of climacteric symptoms and the effectiveness of treatments for menopausal symptoms.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g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A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31-item questionnaire used to assess the health-related quality of life in women during the menopausal transition.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h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A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self-assessment tool consisting of 21 items across five dimensions to evaluate menopausal symptoms, including anxiety, depression, somatic symptoms, vasomotor symptoms, and sexual function.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i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A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part of the Greene Climacteric Scale that focuses on psychological symptoms such as anxiety and depression. </w:t>
            </w:r>
            <w:proofErr w:type="spellStart"/>
            <w:proofErr w:type="gramStart"/>
            <w:r>
              <w:rPr>
                <w:rStyle w:val="font21"/>
                <w:rFonts w:ascii="Times New Roman" w:hAnsi="Times New Roman" w:cs="Times New Roman" w:hint="default"/>
                <w:sz w:val="15"/>
                <w:szCs w:val="15"/>
                <w:lang w:bidi="ar"/>
              </w:rPr>
              <w:t>j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A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multipurpose, short-form health survey with 36 questions about perceptions of health and well-being. </w:t>
            </w:r>
            <w:proofErr w:type="spellStart"/>
            <w:proofErr w:type="gramStart"/>
            <w:r w:rsidRPr="00196DF1">
              <w:rPr>
                <w:rStyle w:val="font01"/>
                <w:rFonts w:ascii="Times New Roman" w:hAnsi="Times New Roman" w:cs="Times New Roman" w:hint="default"/>
                <w:sz w:val="15"/>
                <w:szCs w:val="15"/>
                <w:vertAlign w:val="superscript"/>
                <w:lang w:bidi="ar"/>
              </w:rPr>
              <w:t>k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The</w:t>
            </w:r>
            <w:proofErr w:type="spellEnd"/>
            <w:proofErr w:type="gramEnd"/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Perceived Stress Scale-10 is a self-report measure developed to assess the global level of perceived stress.</w:t>
            </w:r>
            <w:bookmarkStart w:id="0" w:name="_GoBack"/>
            <w:bookmarkEnd w:id="0"/>
          </w:p>
        </w:tc>
      </w:tr>
    </w:tbl>
    <w:p w14:paraId="7CCB46FD" w14:textId="77777777" w:rsidR="00752458" w:rsidRDefault="00752458"/>
    <w:sectPr w:rsidR="007524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7A82"/>
    <w:rsid w:val="00196DF1"/>
    <w:rsid w:val="00752458"/>
    <w:rsid w:val="00BB15F1"/>
    <w:rsid w:val="4D5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B5DAB"/>
  <w15:docId w15:val="{9599E0AB-36B3-4A7E-A89B-EB8AC9F9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nyi.so.com/?src=onebo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3</cp:revision>
  <dcterms:created xsi:type="dcterms:W3CDTF">2024-12-30T15:30:00Z</dcterms:created>
  <dcterms:modified xsi:type="dcterms:W3CDTF">2024-12-30T15:42:00Z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185E5F26483F4D349E8723600514E2AC_11</vt:lpwstr>
  </property>
  <property fmtid="{D5CDD505-2E9C-101B-9397-08002B2CF9AE}" pid="4" name="KSOTemplateDocerSaveRecord">
    <vt:lpwstr>eyJoZGlkIjoiZTQyMzY5ZWJmZjBlZjE4MjExMmM2MTBlNTM5NDM3NjMiLCJ1c2VySWQiOiI0MDQ1MzU0NTUifQ==</vt:lpwstr>
  </property>
</Properties>
</file>