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28B6ED" w14:textId="77777777" w:rsidR="00B17267" w:rsidRDefault="00B17267"/>
    <w:tbl>
      <w:tblPr>
        <w:tblStyle w:val="a"/>
        <w:tblW w:w="139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900"/>
        <w:gridCol w:w="960"/>
        <w:gridCol w:w="1230"/>
        <w:gridCol w:w="1305"/>
        <w:gridCol w:w="977"/>
        <w:gridCol w:w="1348"/>
        <w:gridCol w:w="780"/>
        <w:gridCol w:w="2820"/>
        <w:gridCol w:w="1950"/>
      </w:tblGrid>
      <w:tr w:rsidR="00B17267" w14:paraId="6B85104A" w14:textId="77777777" w:rsidTr="007267C6">
        <w:trPr>
          <w:trHeight w:val="1010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E8142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Paper</w:t>
            </w:r>
          </w:p>
        </w:tc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18ED5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Authors</w:t>
            </w:r>
          </w:p>
        </w:tc>
        <w:tc>
          <w:tcPr>
            <w:tcW w:w="9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12A4A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of publication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03978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Region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974B3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Site/s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EFB80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Marker/s</w:t>
            </w:r>
          </w:p>
        </w:tc>
        <w:tc>
          <w:tcPr>
            <w:tcW w:w="13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33CBB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pair/s</w:t>
            </w:r>
          </w:p>
        </w:tc>
        <w:tc>
          <w:tcPr>
            <w:tcW w:w="7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DCCF8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 of sequences</w:t>
            </w:r>
          </w:p>
        </w:tc>
        <w:tc>
          <w:tcPr>
            <w:tcW w:w="28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D0350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Topology</w:t>
            </w:r>
          </w:p>
        </w:tc>
        <w:tc>
          <w:tcPr>
            <w:tcW w:w="19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4D6E6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Notes</w:t>
            </w:r>
          </w:p>
        </w:tc>
      </w:tr>
      <w:tr w:rsidR="00B17267" w:rsidRPr="007267C6" w14:paraId="3BBF0AD0" w14:textId="77777777" w:rsidTr="007267C6">
        <w:trPr>
          <w:trHeight w:val="2655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EE5CF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>Diversity of free-living marine nematodes (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Enoplida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>) from Baja California assessed by integrative taxonomy</w:t>
            </w:r>
          </w:p>
        </w:tc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32B04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Pereira T. J., et al.</w:t>
            </w:r>
          </w:p>
        </w:tc>
        <w:tc>
          <w:tcPr>
            <w:tcW w:w="9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5F2D2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14F3C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>Gulf of California and Pacific coast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98ED6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Felipe, Santa Clara, Bahía de Los Angeles, La Paz Bay, San Carlos, Faro beach, Cerritos beach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959A6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18S; 28S</w:t>
            </w:r>
          </w:p>
        </w:tc>
        <w:tc>
          <w:tcPr>
            <w:tcW w:w="13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0E7BC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>MN18F, d22R; D2A and D3B</w:t>
            </w:r>
          </w:p>
        </w:tc>
        <w:tc>
          <w:tcPr>
            <w:tcW w:w="7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6D423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28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52F70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 xml:space="preserve">18S gene trees feature 3 clades: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Thoracostomopsidae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7923ED">
              <w:rPr>
                <w:i/>
                <w:sz w:val="18"/>
                <w:szCs w:val="18"/>
                <w:lang w:val="en-US"/>
              </w:rPr>
              <w:t>Bathylaimus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and other non-identified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Enoplida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Oncholaimidae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7923ED">
              <w:rPr>
                <w:i/>
                <w:sz w:val="18"/>
                <w:szCs w:val="18"/>
                <w:lang w:val="en-US"/>
              </w:rPr>
              <w:t>Rhabdodemania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. 28S gene trees were less consistent, and in the ML and NJ trees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Oncholaimidae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Enchelidiidae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were paraphyletic.</w:t>
            </w:r>
          </w:p>
        </w:tc>
        <w:tc>
          <w:tcPr>
            <w:tcW w:w="19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9A4AA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proofErr w:type="spellStart"/>
            <w:r w:rsidRPr="007923ED">
              <w:rPr>
                <w:sz w:val="18"/>
                <w:szCs w:val="18"/>
                <w:lang w:val="en-US"/>
              </w:rPr>
              <w:t>Oncholaimidae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received the highest bootstrap support in all reconstructions</w:t>
            </w:r>
          </w:p>
        </w:tc>
      </w:tr>
      <w:tr w:rsidR="00B17267" w:rsidRPr="007267C6" w14:paraId="5F036E52" w14:textId="77777777" w:rsidTr="007267C6">
        <w:trPr>
          <w:trHeight w:val="2325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EAD8C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>Unraveling free-living marine nematode community structure from a biodiversity-rich tropical coastal setting based on molecular approaches</w:t>
            </w:r>
          </w:p>
        </w:tc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4A17C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Kumar A., et al.</w:t>
            </w:r>
          </w:p>
        </w:tc>
        <w:tc>
          <w:tcPr>
            <w:tcW w:w="9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3F2C8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5A94F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>Central West coast of India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D46EB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Aagarwadi and Karel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66BBB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18S</w:t>
            </w:r>
          </w:p>
        </w:tc>
        <w:tc>
          <w:tcPr>
            <w:tcW w:w="13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FADEA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MN18F/R</w:t>
            </w:r>
          </w:p>
        </w:tc>
        <w:tc>
          <w:tcPr>
            <w:tcW w:w="7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FC0B4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8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072F0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 xml:space="preserve">Five orders were found: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Enoplida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Desmodorida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Araeolaimida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Chromadorida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Monhysterida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. The biggest clade was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Tripyloidina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Enoplida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), followed by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Chromadoridae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Chromadoria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). Seven minor clades were found: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Xyalidae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Oxystominidae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Cyatholaimidae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Desmodoridae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Leptolaimidae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627D9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>This study is the result of the comparison of two libraries</w:t>
            </w:r>
          </w:p>
        </w:tc>
      </w:tr>
      <w:tr w:rsidR="00B17267" w:rsidRPr="007267C6" w14:paraId="2296DC9D" w14:textId="77777777" w:rsidTr="007267C6">
        <w:trPr>
          <w:trHeight w:val="2895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C2C5D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lastRenderedPageBreak/>
              <w:t>DNA barcoding and morphological identification of benthic nematodes assemblages of estuarine intertidal sediments: advances in molecular tools for biodiversity assessment</w:t>
            </w:r>
          </w:p>
        </w:tc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EA6D4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Avò, A. P., et al.</w:t>
            </w:r>
          </w:p>
        </w:tc>
        <w:tc>
          <w:tcPr>
            <w:tcW w:w="9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2F1F3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8D66F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Southwestern coast of Portugal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75463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Mira estuary (4 sites)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D41AA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18S rRNA; COI</w:t>
            </w:r>
          </w:p>
        </w:tc>
        <w:tc>
          <w:tcPr>
            <w:tcW w:w="13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CFF96" w14:textId="77777777" w:rsidR="00B17267" w:rsidRDefault="00000000">
            <w:pPr>
              <w:rPr>
                <w:sz w:val="18"/>
                <w:szCs w:val="18"/>
              </w:rPr>
            </w:pPr>
            <w:r w:rsidRPr="007923ED">
              <w:rPr>
                <w:sz w:val="18"/>
                <w:szCs w:val="18"/>
                <w:lang w:val="en-US"/>
              </w:rPr>
              <w:t xml:space="preserve">G18S4-18S_NemR or 18S_NemF-18S_NemR. </w:t>
            </w:r>
            <w:r>
              <w:rPr>
                <w:sz w:val="18"/>
                <w:szCs w:val="18"/>
              </w:rPr>
              <w:t>JB3/JB5</w:t>
            </w:r>
          </w:p>
        </w:tc>
        <w:tc>
          <w:tcPr>
            <w:tcW w:w="7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5D577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114; 60</w:t>
            </w:r>
          </w:p>
        </w:tc>
        <w:tc>
          <w:tcPr>
            <w:tcW w:w="28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B0403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 xml:space="preserve">From rRNA 18S, sequences clustered into 17 families, of which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Xyalidae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Sphaerolaimidae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Comesomatidae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Leptomoeidae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Axonolaimidae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Chromadoridae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well supported (ML&gt;75%).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Linhomoidae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Oxystominidae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were separated into different clades. The tree obtained with COI had lower support values, and only families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Axonolaimidae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Anoplostomatidae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Tripyloididae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were supported.</w:t>
            </w:r>
          </w:p>
        </w:tc>
        <w:tc>
          <w:tcPr>
            <w:tcW w:w="19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58908" w14:textId="77777777" w:rsidR="00B17267" w:rsidRPr="007923ED" w:rsidRDefault="00B17267">
            <w:pPr>
              <w:rPr>
                <w:sz w:val="18"/>
                <w:szCs w:val="18"/>
                <w:lang w:val="en-US"/>
              </w:rPr>
            </w:pPr>
          </w:p>
        </w:tc>
      </w:tr>
      <w:tr w:rsidR="00B17267" w:rsidRPr="007267C6" w14:paraId="51560029" w14:textId="77777777" w:rsidTr="007267C6">
        <w:trPr>
          <w:trHeight w:val="2760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A2B4F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 xml:space="preserve">Low endemism, continued deep-shallow interchanges, and evidence for cosmopolitan distributions in free-living marine nematodes (order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Enoplida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C38FD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Bik H. M., et al.</w:t>
            </w:r>
          </w:p>
        </w:tc>
        <w:tc>
          <w:tcPr>
            <w:tcW w:w="9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2F9BC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36123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Worldwide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24C44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>New England (UK), South Africa, California, Bellinghausen Sea, Southern Indian Ocean, and Iberian Margin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48A4A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18S; 28S; COI</w:t>
            </w:r>
          </w:p>
        </w:tc>
        <w:tc>
          <w:tcPr>
            <w:tcW w:w="13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A44ED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>18S (SSU_F_04 and SSU_R_26, SSU_F_22 and SSU_R_13, and SSU_F_24_1 and SSU_R_81); 28S (D2A/D3B); COI (JB3/JB5)</w:t>
            </w:r>
          </w:p>
        </w:tc>
        <w:tc>
          <w:tcPr>
            <w:tcW w:w="7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2FE4E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254; 99 for COI</w:t>
            </w:r>
          </w:p>
        </w:tc>
        <w:tc>
          <w:tcPr>
            <w:tcW w:w="28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2D7BE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>5 clades were retrieved and named as I, II, III (</w:t>
            </w:r>
            <w:proofErr w:type="spellStart"/>
            <w:proofErr w:type="gramStart"/>
            <w:r w:rsidRPr="007923ED">
              <w:rPr>
                <w:sz w:val="18"/>
                <w:szCs w:val="18"/>
                <w:lang w:val="en-US"/>
              </w:rPr>
              <w:t>IIIa,IIIb</w:t>
            </w:r>
            <w:proofErr w:type="gramEnd"/>
            <w:r w:rsidRPr="007923ED">
              <w:rPr>
                <w:sz w:val="18"/>
                <w:szCs w:val="18"/>
                <w:lang w:val="en-US"/>
              </w:rPr>
              <w:t>,IIIc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). Phylogenetic relationships amongst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Enoplids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were congruent in ML and Bayesian trees. Deep-sea species were recovered in most marine families. Deep-sea taxa do not form an independent lineage within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Enoplida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B72F5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>Deep-sea species. phylogenetic structures suggest frequent and recent interchanges between habitats and multiple independent origins for shallow and deep-sea taxa</w:t>
            </w:r>
          </w:p>
        </w:tc>
      </w:tr>
      <w:tr w:rsidR="00B17267" w:rsidRPr="007267C6" w14:paraId="46E22D00" w14:textId="77777777" w:rsidTr="007267C6">
        <w:trPr>
          <w:trHeight w:val="3382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118F5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lastRenderedPageBreak/>
              <w:t xml:space="preserve">Moving towards a complete molecular framework of the Nematoda: a focus on the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Enoplida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and </w:t>
            </w:r>
            <w:proofErr w:type="gramStart"/>
            <w:r w:rsidRPr="007923ED">
              <w:rPr>
                <w:sz w:val="18"/>
                <w:szCs w:val="18"/>
                <w:lang w:val="en-US"/>
              </w:rPr>
              <w:t>early-branching</w:t>
            </w:r>
            <w:proofErr w:type="gramEnd"/>
            <w:r w:rsidRPr="007923ED">
              <w:rPr>
                <w:sz w:val="18"/>
                <w:szCs w:val="18"/>
                <w:lang w:val="en-US"/>
              </w:rPr>
              <w:t xml:space="preserve"> clades</w:t>
            </w:r>
          </w:p>
        </w:tc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756B5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Bik H. M., et al.</w:t>
            </w:r>
          </w:p>
        </w:tc>
        <w:tc>
          <w:tcPr>
            <w:tcW w:w="9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62037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EBC3D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Worldwide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85D55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>New England (UK), South Africa, California, Bellinghausen Sea, Southern Indian Ocean, and Iberian Margin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15262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18S; 28S; COI</w:t>
            </w:r>
          </w:p>
        </w:tc>
        <w:tc>
          <w:tcPr>
            <w:tcW w:w="13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23E89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>18S (SSU_F_04 and SSU_R_26, SSU_F_22 and SSU_R_13, and SSU_F_24_1 and SSU_R_81); 28S (D2A/D3B); COI (JB3/JB5)</w:t>
            </w:r>
          </w:p>
        </w:tc>
        <w:tc>
          <w:tcPr>
            <w:tcW w:w="7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5EBCE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254; 99 for COI</w:t>
            </w:r>
          </w:p>
        </w:tc>
        <w:tc>
          <w:tcPr>
            <w:tcW w:w="28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41619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proofErr w:type="spellStart"/>
            <w:r w:rsidRPr="007923ED">
              <w:rPr>
                <w:sz w:val="18"/>
                <w:szCs w:val="18"/>
                <w:lang w:val="en-US"/>
              </w:rPr>
              <w:t>Enoplia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is divided into two orders (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Triplonchida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Enoplida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) highly supported by ML and Bayesian analyses as monophyletic.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Tryplochida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contained three sub-clades, and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Enoplida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had five distinct lineages. In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Enoplida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, Clade I contained the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Rhabdolaimidae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>, the genera</w:t>
            </w:r>
            <w:r w:rsidRPr="007923ED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23ED">
              <w:rPr>
                <w:i/>
                <w:sz w:val="18"/>
                <w:szCs w:val="18"/>
                <w:lang w:val="en-US"/>
              </w:rPr>
              <w:t>Syringolaimus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7923ED">
              <w:rPr>
                <w:i/>
                <w:sz w:val="18"/>
                <w:szCs w:val="18"/>
                <w:lang w:val="en-US"/>
              </w:rPr>
              <w:t>Campydora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, Clade II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Alaimina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Ironidae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(excluding </w:t>
            </w:r>
            <w:proofErr w:type="spellStart"/>
            <w:r w:rsidRPr="007923ED">
              <w:rPr>
                <w:i/>
                <w:sz w:val="18"/>
                <w:szCs w:val="18"/>
                <w:lang w:val="en-US"/>
              </w:rPr>
              <w:t>Syringolaimus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), Clade III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Tripyloididae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Trefusiidae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, Clade IV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Oxystominidae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and the superfamily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Oncholaimoidea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, Clade V some specimens of the superfamily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Enoploidea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Leptosomatidae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0BC3D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 xml:space="preserve">Small and large 18S datasets of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Enoplid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taxa and all nematode taxa found congruent topologies. Certain </w:t>
            </w:r>
            <w:proofErr w:type="gramStart"/>
            <w:r w:rsidRPr="007923ED">
              <w:rPr>
                <w:sz w:val="18"/>
                <w:szCs w:val="18"/>
                <w:lang w:val="en-US"/>
              </w:rPr>
              <w:t>higher clade</w:t>
            </w:r>
            <w:proofErr w:type="gramEnd"/>
            <w:r w:rsidRPr="007923ED">
              <w:rPr>
                <w:sz w:val="18"/>
                <w:szCs w:val="18"/>
                <w:lang w:val="en-US"/>
              </w:rPr>
              <w:t xml:space="preserve"> relationships within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Enoplida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remained unresolved. 28S and COI were too variable for inferring deep phylogeny. Many 18S and 28S tree topologies were corresponding at a genus level, fewer possible from COI datasets.</w:t>
            </w:r>
          </w:p>
        </w:tc>
      </w:tr>
      <w:tr w:rsidR="00B17267" w:rsidRPr="007267C6" w14:paraId="46845667" w14:textId="77777777" w:rsidTr="007267C6">
        <w:trPr>
          <w:trHeight w:val="1022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545B8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 xml:space="preserve">Systematics and DNA barcoding of free-living marine nematodes with emphasis on tropical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desmodorids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using nuclear SSU rDNA and mitochondrial COI sequences</w:t>
            </w:r>
          </w:p>
        </w:tc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09331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Armenteros M., et al.</w:t>
            </w:r>
          </w:p>
        </w:tc>
        <w:tc>
          <w:tcPr>
            <w:tcW w:w="9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B6F49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8E4A3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Cuban Archipelago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825FE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Punta Francés Reef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666E0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18S; COI</w:t>
            </w:r>
          </w:p>
        </w:tc>
        <w:tc>
          <w:tcPr>
            <w:tcW w:w="13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584E8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G18S4/4R; JB3/JB5</w:t>
            </w:r>
          </w:p>
        </w:tc>
        <w:tc>
          <w:tcPr>
            <w:tcW w:w="7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8707A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51; 61</w:t>
            </w:r>
          </w:p>
        </w:tc>
        <w:tc>
          <w:tcPr>
            <w:tcW w:w="28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FDB01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>18S: 6 clades (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Enoplida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Monhysterida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Comesomatidae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Xyalidae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Desmodoridae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Oncholaimidae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7923ED">
              <w:rPr>
                <w:i/>
                <w:sz w:val="18"/>
                <w:szCs w:val="18"/>
                <w:lang w:val="en-US"/>
              </w:rPr>
              <w:t>Longicyatholaimus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7923ED">
              <w:rPr>
                <w:i/>
                <w:sz w:val="18"/>
                <w:szCs w:val="18"/>
                <w:lang w:val="en-US"/>
              </w:rPr>
              <w:t>Cheironchus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Desmodoridae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formed a well-supported clade, but subfamilies and genus level taxa were not supported as monophyletic.</w:t>
            </w:r>
          </w:p>
          <w:p w14:paraId="7F31714D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 xml:space="preserve">COI: 4 clades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Xyalidae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Chromadoridae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Cyatholaimidae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Oncholaimidae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. Within </w:t>
            </w:r>
            <w:proofErr w:type="spellStart"/>
            <w:r w:rsidRPr="007923ED">
              <w:rPr>
                <w:sz w:val="18"/>
                <w:szCs w:val="18"/>
                <w:lang w:val="en-US"/>
              </w:rPr>
              <w:t>Desmodoridae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the three subfamilies appeared non monophyletic. The ML tree did </w:t>
            </w:r>
            <w:r w:rsidRPr="007923ED">
              <w:rPr>
                <w:sz w:val="18"/>
                <w:szCs w:val="18"/>
                <w:lang w:val="en-US"/>
              </w:rPr>
              <w:lastRenderedPageBreak/>
              <w:t>not provide support for deep relationships in the phylum</w:t>
            </w:r>
          </w:p>
        </w:tc>
        <w:tc>
          <w:tcPr>
            <w:tcW w:w="19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4A32A" w14:textId="77777777" w:rsidR="00B17267" w:rsidRPr="007923ED" w:rsidRDefault="00B17267">
            <w:pPr>
              <w:rPr>
                <w:sz w:val="18"/>
                <w:szCs w:val="18"/>
                <w:lang w:val="en-US"/>
              </w:rPr>
            </w:pPr>
          </w:p>
        </w:tc>
      </w:tr>
      <w:tr w:rsidR="00B17267" w14:paraId="2B4B49DA" w14:textId="77777777" w:rsidTr="007267C6">
        <w:trPr>
          <w:trHeight w:val="1410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8695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>Exploring the use of Cytochrome Oxidase c Subunit 1 (COI) for DNA barcoding of free-Living marine nematodes</w:t>
            </w:r>
          </w:p>
        </w:tc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EE1D0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Derycke S. et al.</w:t>
            </w:r>
          </w:p>
        </w:tc>
        <w:tc>
          <w:tcPr>
            <w:tcW w:w="9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9C0AE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19E10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Europe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9B742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proofErr w:type="spellStart"/>
            <w:r w:rsidRPr="007923ED">
              <w:rPr>
                <w:sz w:val="18"/>
                <w:szCs w:val="18"/>
                <w:lang w:val="en-US"/>
              </w:rPr>
              <w:t>Westerschelde</w:t>
            </w:r>
            <w:proofErr w:type="spellEnd"/>
            <w:r w:rsidRPr="007923ED">
              <w:rPr>
                <w:sz w:val="18"/>
                <w:szCs w:val="18"/>
                <w:lang w:val="en-US"/>
              </w:rPr>
              <w:t xml:space="preserve"> estuary (The Netherlands); Nieuwpoort (Belgium)</w:t>
            </w:r>
          </w:p>
        </w:tc>
        <w:tc>
          <w:tcPr>
            <w:tcW w:w="9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84AF3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COI</w:t>
            </w:r>
          </w:p>
        </w:tc>
        <w:tc>
          <w:tcPr>
            <w:tcW w:w="13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01C4D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JB2s3/JB7GED</w:t>
            </w:r>
          </w:p>
        </w:tc>
        <w:tc>
          <w:tcPr>
            <w:tcW w:w="7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A8F83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28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070C1" w14:textId="77777777" w:rsidR="00B17267" w:rsidRPr="007923ED" w:rsidRDefault="00000000">
            <w:pPr>
              <w:rPr>
                <w:sz w:val="18"/>
                <w:szCs w:val="18"/>
                <w:lang w:val="en-US"/>
              </w:rPr>
            </w:pPr>
            <w:r w:rsidRPr="007923ED">
              <w:rPr>
                <w:sz w:val="18"/>
                <w:szCs w:val="18"/>
                <w:lang w:val="en-US"/>
              </w:rPr>
              <w:t xml:space="preserve">41 species belonging to 33 genera. No support at </w:t>
            </w:r>
            <w:proofErr w:type="gramStart"/>
            <w:r w:rsidRPr="007923ED">
              <w:rPr>
                <w:sz w:val="18"/>
                <w:szCs w:val="18"/>
                <w:lang w:val="en-US"/>
              </w:rPr>
              <w:t>a family</w:t>
            </w:r>
            <w:proofErr w:type="gramEnd"/>
            <w:r w:rsidRPr="007923ED">
              <w:rPr>
                <w:sz w:val="18"/>
                <w:szCs w:val="18"/>
                <w:lang w:val="en-US"/>
              </w:rPr>
              <w:t xml:space="preserve"> level was found.</w:t>
            </w:r>
          </w:p>
        </w:tc>
        <w:tc>
          <w:tcPr>
            <w:tcW w:w="19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25F9F" w14:textId="77777777" w:rsidR="00B1726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clade division</w:t>
            </w:r>
          </w:p>
        </w:tc>
      </w:tr>
    </w:tbl>
    <w:p w14:paraId="025D0A0A" w14:textId="77777777" w:rsidR="00B17267" w:rsidRDefault="00B17267">
      <w:pPr>
        <w:rPr>
          <w:sz w:val="18"/>
          <w:szCs w:val="18"/>
        </w:rPr>
      </w:pPr>
    </w:p>
    <w:sectPr w:rsidR="00B17267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67"/>
    <w:rsid w:val="00037C7B"/>
    <w:rsid w:val="004729B5"/>
    <w:rsid w:val="007267C6"/>
    <w:rsid w:val="007923ED"/>
    <w:rsid w:val="00B1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08CC7"/>
  <w15:docId w15:val="{1B27D3C4-2635-45CB-93DC-D099086C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Marilyn Carletti</cp:lastModifiedBy>
  <cp:revision>5</cp:revision>
  <dcterms:created xsi:type="dcterms:W3CDTF">2025-01-31T07:29:00Z</dcterms:created>
  <dcterms:modified xsi:type="dcterms:W3CDTF">2025-01-31T07:37:00Z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857f8efe40b6aa5bf219544d7b99fc91cbd776583e6201b7f9f5ec7ea1d6bf54</vt:lpwstr>
  </property>
</Properties>
</file>