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794B5">
      <w:pPr>
        <w:keepNext w:val="0"/>
        <w:keepLines/>
        <w:pageBreakBefore w:val="0"/>
        <w:widowControl/>
        <w:kinsoku w:val="0"/>
        <w:wordWrap/>
        <w:overflowPunct/>
        <w:topLinePunct w:val="0"/>
        <w:autoSpaceDE w:val="0"/>
        <w:autoSpaceDN w:val="0"/>
        <w:bidi w:val="0"/>
        <w:adjustRightInd w:val="0"/>
        <w:snapToGrid w:val="0"/>
        <w:spacing w:before="56" w:line="344" w:lineRule="auto"/>
        <w:ind w:left="2290" w:right="839" w:hanging="2154"/>
        <w:textAlignment w:val="baseline"/>
        <w:rPr>
          <w:rFonts w:ascii="Times New Roman" w:hAnsi="Times New Roman" w:eastAsia="宋体" w:cs="Times New Roman"/>
          <w:sz w:val="20"/>
          <w:szCs w:val="20"/>
          <w:lang w:eastAsia="zh-CN"/>
        </w:rPr>
      </w:pPr>
      <w:r>
        <w:rPr>
          <w:rFonts w:ascii="Times New Roman" w:hAnsi="Times New Roman" w:eastAsia="Times New Roman" w:cs="Times New Roman"/>
          <w:spacing w:val="5"/>
        </w:rPr>
        <w:t>STROBE</w:t>
      </w:r>
      <w:r>
        <w:rPr>
          <w:rFonts w:ascii="Times New Roman" w:hAnsi="Times New Roman" w:eastAsia="Times New Roman" w:cs="Times New Roman"/>
          <w:spacing w:val="17"/>
        </w:rPr>
        <w:t xml:space="preserve"> </w:t>
      </w:r>
      <w:r>
        <w:rPr>
          <w:rFonts w:ascii="Times New Roman" w:hAnsi="Times New Roman" w:eastAsia="Times New Roman" w:cs="Times New Roman"/>
          <w:spacing w:val="5"/>
        </w:rPr>
        <w:t>Statement—Checklis</w:t>
      </w:r>
      <w:r>
        <w:rPr>
          <w:rFonts w:ascii="Times New Roman" w:hAnsi="Times New Roman" w:eastAsia="Times New Roman" w:cs="Times New Roman"/>
          <w:spacing w:val="4"/>
        </w:rPr>
        <w:t>t of</w:t>
      </w:r>
      <w:r>
        <w:rPr>
          <w:rFonts w:ascii="Times New Roman" w:hAnsi="Times New Roman" w:eastAsia="Times New Roman" w:cs="Times New Roman"/>
          <w:spacing w:val="-13"/>
        </w:rPr>
        <w:t xml:space="preserve"> </w:t>
      </w:r>
      <w:r>
        <w:rPr>
          <w:rFonts w:ascii="Times New Roman" w:hAnsi="Times New Roman" w:eastAsia="Times New Roman" w:cs="Times New Roman"/>
          <w:spacing w:val="4"/>
        </w:rPr>
        <w:t>items that should be included in reports of</w:t>
      </w:r>
      <w:r>
        <w:rPr>
          <w:rFonts w:ascii="Times New Roman" w:hAnsi="Times New Roman" w:eastAsia="Times New Roman" w:cs="Times New Roman"/>
          <w:spacing w:val="-15"/>
        </w:rPr>
        <w:t xml:space="preserve"> </w:t>
      </w:r>
      <w:r>
        <w:rPr>
          <w:rFonts w:ascii="Times New Roman" w:hAnsi="Times New Roman" w:eastAsia="Times New Roman" w:cs="Times New Roman"/>
          <w:b/>
          <w:bCs/>
          <w:i/>
          <w:iCs/>
          <w:spacing w:val="4"/>
        </w:rPr>
        <w:t>cross-sectional studies</w:t>
      </w:r>
      <w:r>
        <w:rPr>
          <w:rFonts w:ascii="Times New Roman" w:hAnsi="Times New Roman" w:eastAsia="Times New Roman" w:cs="Times New Roman"/>
          <w:b/>
          <w:bCs/>
          <w:i/>
          <w:iCs/>
        </w:rPr>
        <w:t xml:space="preserve"> </w:t>
      </w:r>
      <w:r>
        <w:rPr>
          <w:rFonts w:ascii="Times New Roman" w:hAnsi="Times New Roman" w:eastAsia="Times New Roman" w:cs="Times New Roman"/>
          <w:b/>
          <w:bCs/>
          <w:spacing w:val="-1"/>
          <w:sz w:val="20"/>
          <w:szCs w:val="20"/>
        </w:rPr>
        <w:t>Item</w:t>
      </w:r>
      <w:r>
        <w:rPr>
          <w:rFonts w:hint="eastAsia" w:ascii="Times New Roman" w:hAnsi="Times New Roman" w:eastAsia="宋体" w:cs="Times New Roman"/>
          <w:b/>
          <w:bCs/>
          <w:spacing w:val="-1"/>
          <w:sz w:val="20"/>
          <w:szCs w:val="20"/>
          <w:lang w:eastAsia="zh-CN"/>
        </w:rPr>
        <w:t xml:space="preserve">                                                                     </w:t>
      </w:r>
    </w:p>
    <w:p w14:paraId="05109A15">
      <w:pPr>
        <w:spacing w:before="6" w:line="187" w:lineRule="auto"/>
        <w:ind w:left="4165" w:leftChars="1126" w:hanging="1800" w:hangingChars="900"/>
        <w:rPr>
          <w:rFonts w:hint="default" w:ascii="Times New Roman" w:hAnsi="Times New Roman" w:eastAsia="宋体" w:cs="Times New Roman"/>
          <w:sz w:val="20"/>
          <w:szCs w:val="20"/>
          <w:lang w:val="en-US" w:eastAsia="zh-CN"/>
        </w:rPr>
      </w:pPr>
      <w:r>
        <w:rPr>
          <w:sz w:val="20"/>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107315</wp:posOffset>
                </wp:positionV>
                <wp:extent cx="6344920" cy="9276715"/>
                <wp:effectExtent l="5080" t="4445" r="5080" b="15240"/>
                <wp:wrapNone/>
                <wp:docPr id="2" name="文本框 2"/>
                <wp:cNvGraphicFramePr/>
                <a:graphic xmlns:a="http://schemas.openxmlformats.org/drawingml/2006/main">
                  <a:graphicData uri="http://schemas.microsoft.com/office/word/2010/wordprocessingShape">
                    <wps:wsp>
                      <wps:cNvSpPr txBox="1"/>
                      <wps:spPr>
                        <a:xfrm>
                          <a:off x="741680" y="1369695"/>
                          <a:ext cx="6344920" cy="92767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tbl>
                            <w:tblPr>
                              <w:tblStyle w:val="10"/>
                              <w:tblW w:w="5087"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43"/>
                              <w:gridCol w:w="480"/>
                              <w:gridCol w:w="7072"/>
                              <w:gridCol w:w="968"/>
                            </w:tblGrid>
                            <w:tr w14:paraId="4F3253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nil"/>
                                  </w:tcBorders>
                                </w:tcPr>
                                <w:p w14:paraId="5FEC4F27">
                                  <w:pPr>
                                    <w:spacing w:before="108" w:line="280" w:lineRule="atLeast"/>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Title and</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pacing w:val="-1"/>
                                      <w:sz w:val="20"/>
                                      <w:szCs w:val="20"/>
                                    </w:rPr>
                                    <w:t>abstract</w:t>
                                  </w:r>
                                </w:p>
                              </w:tc>
                              <w:tc>
                                <w:tcPr>
                                  <w:tcW w:w="243" w:type="pct"/>
                                  <w:tcBorders>
                                    <w:top w:val="single" w:color="000000" w:sz="2" w:space="0"/>
                                    <w:bottom w:val="nil"/>
                                  </w:tcBorders>
                                </w:tcPr>
                                <w:p w14:paraId="07A57352">
                                  <w:pPr>
                                    <w:spacing w:before="108" w:line="280" w:lineRule="atLeast"/>
                                    <w:ind w:left="34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584" w:type="pct"/>
                                  <w:tcBorders>
                                    <w:top w:val="single" w:color="000000" w:sz="2" w:space="0"/>
                                    <w:bottom w:val="single" w:color="000000" w:sz="2" w:space="0"/>
                                  </w:tcBorders>
                                </w:tcPr>
                                <w:p w14:paraId="7145D6B2">
                                  <w:pPr>
                                    <w:spacing w:before="42" w:line="280" w:lineRule="atLeast"/>
                                    <w:ind w:left="123"/>
                                    <w:rPr>
                                      <w:rFonts w:ascii="Times New Roman" w:hAnsi="Times New Roman" w:eastAsia="Times New Roman" w:cs="Times New Roman"/>
                                      <w:sz w:val="20"/>
                                      <w:szCs w:val="20"/>
                                    </w:rPr>
                                  </w:pPr>
                                  <w:r>
                                    <w:rPr>
                                      <w:rFonts w:hint="eastAsia" w:ascii="Times New Roman" w:hAnsi="Times New Roman" w:eastAsia="Times New Roman" w:cs="Times New Roman"/>
                                      <w:sz w:val="20"/>
                                      <w:szCs w:val="20"/>
                                    </w:rPr>
                                    <w:t>Epidemiological Characteristics of invasive meningococcal disease and Carriage Prevalence of Neisseria meningitidis in the Xinjiang Uygur Autonomous Region, China ,2004-2023</w:t>
                                  </w:r>
                                  <w:r>
                                    <w:rPr>
                                      <w:rFonts w:hint="eastAsia" w:ascii="Times New Roman" w:hAnsi="Times New Roman" w:eastAsia="Times New Roman" w:cs="Times New Roman"/>
                                      <w:sz w:val="20"/>
                                      <w:szCs w:val="20"/>
                                    </w:rPr>
                                    <w:tab/>
                                  </w:r>
                                </w:p>
                              </w:tc>
                              <w:tc>
                                <w:tcPr>
                                  <w:tcW w:w="490" w:type="pct"/>
                                  <w:tcBorders>
                                    <w:top w:val="single" w:color="000000" w:sz="2" w:space="0"/>
                                    <w:bottom w:val="single" w:color="000000" w:sz="2" w:space="0"/>
                                  </w:tcBorders>
                                </w:tcPr>
                                <w:p w14:paraId="74712F3B">
                                  <w:pPr>
                                    <w:spacing w:before="42" w:line="280" w:lineRule="atLeast"/>
                                    <w:ind w:left="123"/>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Page1，line1</w:t>
                                  </w:r>
                                </w:p>
                              </w:tc>
                            </w:tr>
                            <w:tr w14:paraId="131CCD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3" w:hRule="atLeast"/>
                              </w:trPr>
                              <w:tc>
                                <w:tcPr>
                                  <w:tcW w:w="4509" w:type="pct"/>
                                  <w:gridSpan w:val="3"/>
                                  <w:tcBorders>
                                    <w:top w:val="single" w:color="000000" w:sz="2" w:space="0"/>
                                    <w:bottom w:val="single" w:color="000000" w:sz="2" w:space="0"/>
                                  </w:tcBorders>
                                </w:tcPr>
                                <w:p w14:paraId="2D4042CF">
                                  <w:pPr>
                                    <w:spacing w:before="168" w:line="280" w:lineRule="atLeast"/>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Introduction</w:t>
                                  </w:r>
                                </w:p>
                              </w:tc>
                              <w:tc>
                                <w:tcPr>
                                  <w:tcW w:w="490" w:type="pct"/>
                                  <w:tcBorders>
                                    <w:top w:val="single" w:color="000000" w:sz="2" w:space="0"/>
                                    <w:bottom w:val="single" w:color="000000" w:sz="2" w:space="0"/>
                                  </w:tcBorders>
                                </w:tcPr>
                                <w:p w14:paraId="6C691982">
                                  <w:pPr>
                                    <w:spacing w:before="168" w:line="280" w:lineRule="atLeast"/>
                                    <w:rPr>
                                      <w:rFonts w:ascii="Times New Roman" w:hAnsi="Times New Roman" w:eastAsia="Times New Roman" w:cs="Times New Roman"/>
                                      <w:b/>
                                      <w:bCs/>
                                      <w:spacing w:val="-1"/>
                                      <w:sz w:val="20"/>
                                      <w:szCs w:val="20"/>
                                    </w:rPr>
                                  </w:pPr>
                                </w:p>
                              </w:tc>
                            </w:tr>
                            <w:tr w14:paraId="7A1C16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5BD1912E">
                                  <w:pPr>
                                    <w:spacing w:before="100" w:line="28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Background/rationale</w:t>
                                  </w:r>
                                </w:p>
                              </w:tc>
                              <w:tc>
                                <w:tcPr>
                                  <w:tcW w:w="243" w:type="pct"/>
                                  <w:tcBorders>
                                    <w:top w:val="single" w:color="000000" w:sz="2" w:space="0"/>
                                    <w:bottom w:val="single" w:color="000000" w:sz="2" w:space="0"/>
                                  </w:tcBorders>
                                </w:tcPr>
                                <w:p w14:paraId="11BB6A81">
                                  <w:pPr>
                                    <w:spacing w:before="103" w:line="280" w:lineRule="atLeast"/>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584" w:type="pct"/>
                                  <w:tcBorders>
                                    <w:top w:val="single" w:color="000000" w:sz="2" w:space="0"/>
                                    <w:bottom w:val="single" w:color="000000" w:sz="2" w:space="0"/>
                                  </w:tcBorders>
                                </w:tcPr>
                                <w:p w14:paraId="5DF193B4">
                                  <w:pPr>
                                    <w:spacing w:before="37" w:line="280" w:lineRule="atLeast"/>
                                    <w:ind w:left="119"/>
                                    <w:jc w:val="both"/>
                                    <w:rPr>
                                      <w:rFonts w:ascii="Times New Roman" w:hAnsi="Times New Roman" w:cs="Times New Roman"/>
                                      <w:position w:val="3"/>
                                      <w:sz w:val="20"/>
                                      <w:szCs w:val="20"/>
                                      <w:lang w:eastAsia="zh-CN"/>
                                    </w:rPr>
                                  </w:pPr>
                                  <w:r>
                                    <w:rPr>
                                      <w:rFonts w:hint="eastAsia" w:ascii="Times New Roman" w:hAnsi="Times New Roman" w:eastAsia="Times New Roman" w:cs="Times New Roman"/>
                                      <w:position w:val="3"/>
                                      <w:sz w:val="20"/>
                                      <w:szCs w:val="20"/>
                                    </w:rPr>
                                    <w:t>The Xinjiang Uygur Autonomous Region (Xinjiang) currently exhibits the high incidence rates of invasive meningococcal disease (IMD) in China. Current epidemiological data on meningococcal carriage rates among asymptomatic individuals remain sparse, with limited population-based studies systematically investigating the prevalence of Neisseria meningitidis colonization in the general population.</w:t>
                                  </w:r>
                                </w:p>
                              </w:tc>
                              <w:tc>
                                <w:tcPr>
                                  <w:tcW w:w="490" w:type="pct"/>
                                  <w:tcBorders>
                                    <w:top w:val="single" w:color="000000" w:sz="2" w:space="0"/>
                                    <w:bottom w:val="single" w:color="000000" w:sz="2" w:space="0"/>
                                  </w:tcBorders>
                                </w:tcPr>
                                <w:p w14:paraId="41CC57BA">
                                  <w:pPr>
                                    <w:spacing w:before="37" w:line="280" w:lineRule="atLeast"/>
                                    <w:ind w:left="119"/>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Page2，lines21-24</w:t>
                                  </w:r>
                                </w:p>
                              </w:tc>
                            </w:tr>
                            <w:tr w14:paraId="7E90CD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15F110A6">
                                  <w:pPr>
                                    <w:spacing w:before="99" w:line="280" w:lineRule="atLeast"/>
                                    <w:ind w:left="1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Objectives</w:t>
                                  </w:r>
                                </w:p>
                              </w:tc>
                              <w:tc>
                                <w:tcPr>
                                  <w:tcW w:w="243" w:type="pct"/>
                                  <w:tcBorders>
                                    <w:top w:val="single" w:color="000000" w:sz="2" w:space="0"/>
                                    <w:bottom w:val="single" w:color="000000" w:sz="2" w:space="0"/>
                                  </w:tcBorders>
                                </w:tcPr>
                                <w:p w14:paraId="5C1869D9">
                                  <w:pPr>
                                    <w:spacing w:before="103" w:line="280" w:lineRule="atLeast"/>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584" w:type="pct"/>
                                  <w:tcBorders>
                                    <w:top w:val="single" w:color="000000" w:sz="2" w:space="0"/>
                                    <w:bottom w:val="single" w:color="000000" w:sz="2" w:space="0"/>
                                  </w:tcBorders>
                                </w:tcPr>
                                <w:p w14:paraId="2FA196DB">
                                  <w:pPr>
                                    <w:spacing w:before="36" w:line="280" w:lineRule="atLeast"/>
                                    <w:ind w:left="127"/>
                                    <w:jc w:val="both"/>
                                    <w:rPr>
                                      <w:rFonts w:ascii="Times New Roman" w:hAnsi="Times New Roman" w:cs="Times New Roman"/>
                                      <w:position w:val="3"/>
                                      <w:sz w:val="20"/>
                                      <w:szCs w:val="20"/>
                                      <w:lang w:eastAsia="zh-CN"/>
                                    </w:rPr>
                                  </w:pPr>
                                  <w:r>
                                    <w:rPr>
                                      <w:rFonts w:hint="eastAsia" w:ascii="Times New Roman" w:hAnsi="Times New Roman" w:eastAsia="Times New Roman" w:cs="Times New Roman"/>
                                      <w:position w:val="3"/>
                                      <w:sz w:val="20"/>
                                      <w:szCs w:val="20"/>
                                    </w:rPr>
                                    <w:t>This study employs a dual-pronged epidemiological approach to systematically characterize the clinical-epidemiological profile of IMD in Xinjiang and quantify the nasopharyngeal carriage prevalence of N. meningitidis  among asymptomatic populations, while identifying region-specific sociodemographic and behavioral determinants of carriage dynamics.</w:t>
                                  </w:r>
                                </w:p>
                              </w:tc>
                              <w:tc>
                                <w:tcPr>
                                  <w:tcW w:w="490" w:type="pct"/>
                                  <w:tcBorders>
                                    <w:top w:val="single" w:color="000000" w:sz="2" w:space="0"/>
                                    <w:bottom w:val="single" w:color="000000" w:sz="2" w:space="0"/>
                                  </w:tcBorders>
                                </w:tcPr>
                                <w:p w14:paraId="5D1A180D">
                                  <w:pPr>
                                    <w:spacing w:before="36" w:line="280" w:lineRule="atLeast"/>
                                    <w:ind w:left="127"/>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Page2，lines25-28</w:t>
                                  </w:r>
                                </w:p>
                              </w:tc>
                            </w:tr>
                            <w:tr w14:paraId="4FC39F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4509" w:type="pct"/>
                                  <w:gridSpan w:val="3"/>
                                  <w:tcBorders>
                                    <w:top w:val="single" w:color="000000" w:sz="2" w:space="0"/>
                                    <w:bottom w:val="single" w:color="000000" w:sz="2" w:space="0"/>
                                  </w:tcBorders>
                                </w:tcPr>
                                <w:p w14:paraId="564761DE">
                                  <w:pPr>
                                    <w:spacing w:before="171" w:line="280" w:lineRule="atLeast"/>
                                    <w:ind w:left="126"/>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Methods</w:t>
                                  </w:r>
                                </w:p>
                              </w:tc>
                              <w:tc>
                                <w:tcPr>
                                  <w:tcW w:w="490" w:type="pct"/>
                                  <w:tcBorders>
                                    <w:top w:val="single" w:color="000000" w:sz="2" w:space="0"/>
                                    <w:bottom w:val="single" w:color="000000" w:sz="2" w:space="0"/>
                                  </w:tcBorders>
                                </w:tcPr>
                                <w:p w14:paraId="1BADBA7E">
                                  <w:pPr>
                                    <w:spacing w:before="171" w:line="280" w:lineRule="atLeast"/>
                                    <w:ind w:left="126"/>
                                    <w:rPr>
                                      <w:rFonts w:ascii="Times New Roman" w:hAnsi="Times New Roman" w:eastAsia="Times New Roman" w:cs="Times New Roman"/>
                                      <w:b/>
                                      <w:bCs/>
                                      <w:spacing w:val="-1"/>
                                      <w:sz w:val="20"/>
                                      <w:szCs w:val="20"/>
                                    </w:rPr>
                                  </w:pPr>
                                </w:p>
                              </w:tc>
                            </w:tr>
                            <w:tr w14:paraId="0073A1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1AB0CB96">
                                  <w:pPr>
                                    <w:spacing w:before="36" w:line="28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Study design</w:t>
                                  </w:r>
                                </w:p>
                              </w:tc>
                              <w:tc>
                                <w:tcPr>
                                  <w:tcW w:w="243" w:type="pct"/>
                                  <w:tcBorders>
                                    <w:top w:val="single" w:color="000000" w:sz="2" w:space="0"/>
                                    <w:bottom w:val="single" w:color="000000" w:sz="2" w:space="0"/>
                                  </w:tcBorders>
                                </w:tcPr>
                                <w:p w14:paraId="0B7EFAD5">
                                  <w:pPr>
                                    <w:spacing w:before="102" w:line="280" w:lineRule="atLeast"/>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3584" w:type="pct"/>
                                  <w:tcBorders>
                                    <w:top w:val="single" w:color="000000" w:sz="2" w:space="0"/>
                                    <w:bottom w:val="single" w:color="000000" w:sz="2" w:space="0"/>
                                  </w:tcBorders>
                                </w:tcPr>
                                <w:p w14:paraId="21697FD8">
                                  <w:pPr>
                                    <w:spacing w:before="36" w:line="280" w:lineRule="atLeast"/>
                                    <w:ind w:left="117"/>
                                    <w:jc w:val="both"/>
                                    <w:rPr>
                                      <w:rFonts w:ascii="Times New Roman" w:hAnsi="Times New Roman" w:cs="Times New Roman"/>
                                      <w:position w:val="3"/>
                                      <w:sz w:val="20"/>
                                      <w:szCs w:val="20"/>
                                      <w:lang w:eastAsia="zh-CN"/>
                                    </w:rPr>
                                  </w:pPr>
                                  <w:r>
                                    <w:rPr>
                                      <w:rFonts w:hint="eastAsia" w:ascii="Times New Roman" w:hAnsi="Times New Roman" w:eastAsia="Times New Roman" w:cs="Times New Roman"/>
                                      <w:position w:val="3"/>
                                      <w:sz w:val="20"/>
                                      <w:szCs w:val="20"/>
                                    </w:rPr>
                                    <w:t>Epidemiological characteristics were analyzed using descriptive epidemiological methods. N. meningitidis strains isolated from asymptomatic carriers underwent serogroup characterization via multiplex real-time polymerase chain reaction (Real-time PCR) targeting conserved capsular biosynthesis loci (serogroups A, B, C, W, X, and Y), with reaction conditions optimized per WHO standardized protocols for meningococcal molecular typing. The χ² test was used to compare the N. meningitidis carriage rates. A multivariable logistic regression model was used to analyze the risk factors associated with the carriage of N. meningitidis.</w:t>
                                  </w:r>
                                </w:p>
                              </w:tc>
                              <w:tc>
                                <w:tcPr>
                                  <w:tcW w:w="490" w:type="pct"/>
                                  <w:tcBorders>
                                    <w:top w:val="single" w:color="000000" w:sz="2" w:space="0"/>
                                    <w:bottom w:val="single" w:color="000000" w:sz="2" w:space="0"/>
                                  </w:tcBorders>
                                </w:tcPr>
                                <w:p w14:paraId="4E23532F">
                                  <w:pPr>
                                    <w:spacing w:before="36" w:line="280" w:lineRule="atLeast"/>
                                    <w:ind w:left="117"/>
                                    <w:jc w:val="both"/>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Page2，lines29-36</w:t>
                                  </w:r>
                                </w:p>
                              </w:tc>
                            </w:tr>
                            <w:tr w14:paraId="3CF9CE2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3987306E">
                                  <w:pPr>
                                    <w:spacing w:before="99" w:line="28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Setting</w:t>
                                  </w:r>
                                </w:p>
                              </w:tc>
                              <w:tc>
                                <w:tcPr>
                                  <w:tcW w:w="243" w:type="pct"/>
                                  <w:tcBorders>
                                    <w:top w:val="single" w:color="000000" w:sz="2" w:space="0"/>
                                    <w:bottom w:val="single" w:color="000000" w:sz="2" w:space="0"/>
                                  </w:tcBorders>
                                </w:tcPr>
                                <w:p w14:paraId="1259D04B">
                                  <w:pPr>
                                    <w:spacing w:before="105" w:line="280" w:lineRule="atLeast"/>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584" w:type="pct"/>
                                  <w:tcBorders>
                                    <w:top w:val="single" w:color="000000" w:sz="2" w:space="0"/>
                                    <w:bottom w:val="single" w:color="000000" w:sz="2" w:space="0"/>
                                  </w:tcBorders>
                                </w:tcPr>
                                <w:p w14:paraId="1A98890B">
                                  <w:pPr>
                                    <w:spacing w:before="35" w:line="280" w:lineRule="atLeast"/>
                                    <w:ind w:right="228"/>
                                    <w:jc w:val="both"/>
                                    <w:rPr>
                                      <w:rFonts w:ascii="Times New Roman" w:hAnsi="Times New Roman" w:cs="Times New Roman"/>
                                      <w:sz w:val="20"/>
                                      <w:szCs w:val="20"/>
                                      <w:lang w:eastAsia="zh-CN"/>
                                    </w:rPr>
                                  </w:pPr>
                                  <w:r>
                                    <w:rPr>
                                      <w:rFonts w:hint="eastAsia" w:ascii="Times New Roman" w:hAnsi="Times New Roman" w:eastAsia="Times New Roman" w:cs="Times New Roman"/>
                                      <w:sz w:val="20"/>
                                      <w:szCs w:val="20"/>
                                    </w:rPr>
                                    <w:t xml:space="preserve">During 2016, 2018, 2019, 2022, and 2023, a total of 3,075 participants were enrolled in cross-sectional surveys assessing </w:t>
                                  </w:r>
                                  <w:r>
                                    <w:rPr>
                                      <w:rFonts w:hint="eastAsia" w:ascii="Times New Roman" w:hAnsi="Times New Roman" w:eastAsia="Times New Roman" w:cs="Times New Roman"/>
                                      <w:i/>
                                      <w:iCs/>
                                      <w:sz w:val="20"/>
                                      <w:szCs w:val="20"/>
                                    </w:rPr>
                                    <w:t>N</w:t>
                                  </w:r>
                                  <w:r>
                                    <w:rPr>
                                      <w:rFonts w:hint="eastAsia" w:ascii="Times New Roman" w:hAnsi="Times New Roman" w:eastAsia="宋体" w:cs="Times New Roman"/>
                                      <w:i/>
                                      <w:iCs/>
                                      <w:sz w:val="20"/>
                                      <w:szCs w:val="20"/>
                                      <w:lang w:val="en-US" w:eastAsia="zh-CN"/>
                                    </w:rPr>
                                    <w:t>.</w:t>
                                  </w:r>
                                  <w:r>
                                    <w:rPr>
                                      <w:rFonts w:hint="eastAsia" w:ascii="Times New Roman" w:hAnsi="Times New Roman" w:eastAsia="Times New Roman" w:cs="Times New Roman"/>
                                      <w:i/>
                                      <w:iCs/>
                                      <w:sz w:val="20"/>
                                      <w:szCs w:val="20"/>
                                    </w:rPr>
                                    <w:t>meningitidis</w:t>
                                  </w:r>
                                  <w:r>
                                    <w:rPr>
                                      <w:rFonts w:hint="eastAsia" w:ascii="Times New Roman" w:hAnsi="Times New Roman" w:eastAsia="Times New Roman" w:cs="Times New Roman"/>
                                      <w:sz w:val="20"/>
                                      <w:szCs w:val="20"/>
                                    </w:rPr>
                                    <w:t xml:space="preserve"> carriage prevalence in Xinjiang, stratified by northern and southern regions:Southern Xinjiang (n = 1,574):</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Times New Roman" w:cs="Times New Roman"/>
                                      <w:sz w:val="20"/>
                                      <w:szCs w:val="20"/>
                                    </w:rPr>
                                    <w:t>Aksu Prefecture: 250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Hotan Prefecture: 422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Kashgar Prefecture: 702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Kizilsu Kirgiz Autonomous Prefecture (Kizilsu Prefecture): 200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Northern Xinjiang (n = 1,501):Urumqi City: 278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Karamay City: 212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Turpan City: 242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Tacheng Prefecture: 506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Ili Kazak Autonomous Prefecture (Ili Prefecture): 263 participants</w:t>
                                  </w:r>
                                </w:p>
                              </w:tc>
                              <w:tc>
                                <w:tcPr>
                                  <w:tcW w:w="490" w:type="pct"/>
                                  <w:tcBorders>
                                    <w:top w:val="single" w:color="000000" w:sz="2" w:space="0"/>
                                    <w:bottom w:val="single" w:color="000000" w:sz="2" w:space="0"/>
                                  </w:tcBorders>
                                </w:tcPr>
                                <w:p w14:paraId="57AB36EF">
                                  <w:pPr>
                                    <w:spacing w:before="35" w:line="280" w:lineRule="atLeast"/>
                                    <w:ind w:right="228"/>
                                    <w:jc w:val="both"/>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Page4，lines126-132</w:t>
                                  </w:r>
                                </w:p>
                              </w:tc>
                            </w:tr>
                            <w:tr w14:paraId="393453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324A0DB9">
                                  <w:pPr>
                                    <w:spacing w:before="98" w:line="28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Participants</w:t>
                                  </w:r>
                                </w:p>
                              </w:tc>
                              <w:tc>
                                <w:tcPr>
                                  <w:tcW w:w="243" w:type="pct"/>
                                  <w:tcBorders>
                                    <w:top w:val="single" w:color="000000" w:sz="2" w:space="0"/>
                                    <w:bottom w:val="single" w:color="000000" w:sz="2" w:space="0"/>
                                  </w:tcBorders>
                                </w:tcPr>
                                <w:p w14:paraId="5DFD36B1">
                                  <w:pPr>
                                    <w:spacing w:before="102" w:line="280" w:lineRule="atLeast"/>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584" w:type="pct"/>
                                  <w:tcBorders>
                                    <w:top w:val="single" w:color="000000" w:sz="2" w:space="0"/>
                                    <w:bottom w:val="single" w:color="000000" w:sz="2" w:space="0"/>
                                  </w:tcBorders>
                                </w:tcPr>
                                <w:p w14:paraId="5627FEE3">
                                  <w:pPr>
                                    <w:spacing w:before="36" w:line="280" w:lineRule="atLeast"/>
                                    <w:ind w:right="888"/>
                                    <w:jc w:val="both"/>
                                    <w:rPr>
                                      <w:rFonts w:hint="default" w:ascii="Times New Roman" w:hAnsi="Times New Roman" w:cs="Times New Roman"/>
                                      <w:sz w:val="20"/>
                                      <w:szCs w:val="20"/>
                                      <w:lang w:val="en-US" w:eastAsia="zh-CN"/>
                                    </w:rPr>
                                  </w:pPr>
                                  <w:r>
                                    <w:rPr>
                                      <w:rFonts w:hint="eastAsia" w:ascii="Times New Roman" w:hAnsi="Times New Roman" w:eastAsia="Times New Roman" w:cs="Times New Roman"/>
                                      <w:sz w:val="20"/>
                                      <w:szCs w:val="20"/>
                                    </w:rPr>
                                    <w:t>Using random cluster sampling, the population was divided</w:t>
                                  </w:r>
                                  <w:r>
                                    <w:rPr>
                                      <w:rFonts w:hint="eastAsia" w:ascii="Times New Roman" w:hAnsi="Times New Roman" w:eastAsia="Times New Roman" w:cs="Times New Roman"/>
                                      <w:sz w:val="20"/>
                                      <w:szCs w:val="20"/>
                                      <w:lang w:val="en-US" w:eastAsia="zh-CN"/>
                                    </w:rPr>
                                    <w:t xml:space="preserve"> </w:t>
                                  </w:r>
                                  <w:r>
                                    <w:rPr>
                                      <w:rFonts w:hint="eastAsia" w:ascii="Times New Roman" w:hAnsi="Times New Roman" w:eastAsia="Times New Roman" w:cs="Times New Roman"/>
                                      <w:sz w:val="20"/>
                                      <w:szCs w:val="20"/>
                                    </w:rPr>
                                    <w:t xml:space="preserve">into six age groups, &lt;3, 3~5, 6~10, 11~15, 16~20 and ≥21 years old, and throat swab specimens were collected. No less than 30 subjects were sampled in each age group, and 250 subjects were surveyed in each survey unit. The ratio of males to females was kept balanced. </w:t>
                                  </w:r>
                                </w:p>
                              </w:tc>
                              <w:tc>
                                <w:tcPr>
                                  <w:tcW w:w="490" w:type="pct"/>
                                  <w:tcBorders>
                                    <w:top w:val="single" w:color="000000" w:sz="2" w:space="0"/>
                                    <w:bottom w:val="single" w:color="000000" w:sz="2" w:space="0"/>
                                  </w:tcBorders>
                                </w:tcPr>
                                <w:p w14:paraId="03BF888A">
                                  <w:pPr>
                                    <w:spacing w:before="35" w:line="280" w:lineRule="atLeast"/>
                                    <w:ind w:left="117" w:right="180" w:firstLine="5"/>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Page4，lines132-135</w:t>
                                  </w:r>
                                </w:p>
                              </w:tc>
                            </w:tr>
                            <w:tr w14:paraId="05308B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0C287456">
                                  <w:pPr>
                                    <w:spacing w:before="98" w:line="280" w:lineRule="atLeast"/>
                                    <w:ind w:left="1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Variables</w:t>
                                  </w:r>
                                </w:p>
                              </w:tc>
                              <w:tc>
                                <w:tcPr>
                                  <w:tcW w:w="243" w:type="pct"/>
                                  <w:tcBorders>
                                    <w:top w:val="single" w:color="000000" w:sz="2" w:space="0"/>
                                    <w:bottom w:val="single" w:color="000000" w:sz="2" w:space="0"/>
                                  </w:tcBorders>
                                </w:tcPr>
                                <w:p w14:paraId="0703AFC8">
                                  <w:pPr>
                                    <w:spacing w:before="105" w:line="280" w:lineRule="atLeast"/>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584" w:type="pct"/>
                                  <w:tcBorders>
                                    <w:top w:val="single" w:color="000000" w:sz="2" w:space="0"/>
                                    <w:bottom w:val="single" w:color="000000" w:sz="2" w:space="0"/>
                                  </w:tcBorders>
                                </w:tcPr>
                                <w:p w14:paraId="337B4966">
                                  <w:pPr>
                                    <w:spacing w:before="35" w:line="280" w:lineRule="atLeast"/>
                                    <w:ind w:left="117" w:right="180" w:firstLine="5"/>
                                    <w:jc w:val="both"/>
                                    <w:rPr>
                                      <w:rFonts w:ascii="Times New Roman" w:hAnsi="Times New Roman" w:cs="Times New Roman"/>
                                      <w:sz w:val="20"/>
                                      <w:szCs w:val="20"/>
                                      <w:lang w:eastAsia="zh-CN"/>
                                    </w:rPr>
                                  </w:pPr>
                                  <w:r>
                                    <w:rPr>
                                      <w:rFonts w:ascii="Times New Roman" w:hAnsi="Times New Roman" w:eastAsia="Times New Roman" w:cs="Times New Roman"/>
                                      <w:sz w:val="20"/>
                                      <w:szCs w:val="20"/>
                                    </w:rPr>
                                    <w:t>Age group</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According to the national epidemic cerebrospinal meningitis</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surveillance</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Prescriptions are divided into six age groups</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Gender</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Years</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Region</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Vaccination history</w:t>
                                  </w:r>
                                </w:p>
                              </w:tc>
                              <w:tc>
                                <w:tcPr>
                                  <w:tcW w:w="490" w:type="pct"/>
                                  <w:tcBorders>
                                    <w:top w:val="single" w:color="000000" w:sz="2" w:space="0"/>
                                    <w:bottom w:val="single" w:color="000000" w:sz="2" w:space="0"/>
                                  </w:tcBorders>
                                </w:tcPr>
                                <w:p w14:paraId="1FD3F73A">
                                  <w:pPr>
                                    <w:spacing w:before="35" w:line="280" w:lineRule="atLeast"/>
                                    <w:ind w:left="117" w:right="180" w:firstLine="5"/>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Page7，lines238-259，Table 1</w:t>
                                  </w:r>
                                </w:p>
                              </w:tc>
                            </w:tr>
                            <w:tr w14:paraId="21736C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0" w:hRule="atLeast"/>
                              </w:trPr>
                              <w:tc>
                                <w:tcPr>
                                  <w:tcW w:w="681" w:type="pct"/>
                                  <w:tcBorders>
                                    <w:top w:val="single" w:color="000000" w:sz="2" w:space="0"/>
                                    <w:bottom w:val="single" w:color="auto" w:sz="4" w:space="0"/>
                                  </w:tcBorders>
                                </w:tcPr>
                                <w:p w14:paraId="05C4F30C">
                                  <w:pPr>
                                    <w:spacing w:before="35" w:line="280" w:lineRule="atLeast"/>
                                    <w:ind w:left="125"/>
                                    <w:rPr>
                                      <w:rFonts w:ascii="Times New Roman" w:hAnsi="Times New Roman" w:eastAsia="Times New Roman" w:cs="Times New Roman"/>
                                      <w:spacing w:val="-2"/>
                                      <w:position w:val="1"/>
                                      <w:sz w:val="20"/>
                                      <w:szCs w:val="20"/>
                                    </w:rPr>
                                  </w:pPr>
                                  <w:bookmarkStart w:id="0" w:name="_Hlk183431038"/>
                                  <w:r>
                                    <w:rPr>
                                      <w:rFonts w:ascii="Times New Roman" w:hAnsi="Times New Roman" w:eastAsia="Times New Roman" w:cs="Times New Roman"/>
                                      <w:spacing w:val="-2"/>
                                      <w:position w:val="1"/>
                                      <w:sz w:val="20"/>
                                      <w:szCs w:val="20"/>
                                    </w:rPr>
                                    <w:t>Data</w:t>
                                  </w:r>
                                  <w:r>
                                    <w:rPr>
                                      <w:rFonts w:ascii="Times New Roman" w:hAnsi="Times New Roman" w:eastAsia="Times New Roman" w:cs="Times New Roman"/>
                                      <w:spacing w:val="20"/>
                                      <w:w w:val="101"/>
                                      <w:position w:val="1"/>
                                      <w:sz w:val="20"/>
                                      <w:szCs w:val="20"/>
                                    </w:rPr>
                                    <w:t xml:space="preserve"> </w:t>
                                  </w:r>
                                  <w:r>
                                    <w:rPr>
                                      <w:rFonts w:ascii="Times New Roman" w:hAnsi="Times New Roman" w:eastAsia="Times New Roman" w:cs="Times New Roman"/>
                                      <w:spacing w:val="-2"/>
                                      <w:position w:val="1"/>
                                      <w:sz w:val="20"/>
                                      <w:szCs w:val="20"/>
                                    </w:rPr>
                                    <w:t>sources/</w:t>
                                  </w:r>
                                </w:p>
                                <w:p w14:paraId="6FACC901">
                                  <w:pPr>
                                    <w:spacing w:before="35" w:line="28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measurement</w:t>
                                  </w:r>
                                </w:p>
                              </w:tc>
                              <w:tc>
                                <w:tcPr>
                                  <w:tcW w:w="243" w:type="pct"/>
                                  <w:tcBorders>
                                    <w:top w:val="single" w:color="000000" w:sz="2" w:space="0"/>
                                    <w:bottom w:val="single" w:color="auto" w:sz="4" w:space="0"/>
                                  </w:tcBorders>
                                </w:tcPr>
                                <w:p w14:paraId="52A82DAA">
                                  <w:pPr>
                                    <w:spacing w:before="98" w:line="280" w:lineRule="atLeast"/>
                                    <w:ind w:left="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w:t>
                                  </w:r>
                                </w:p>
                              </w:tc>
                              <w:tc>
                                <w:tcPr>
                                  <w:tcW w:w="3584" w:type="pct"/>
                                  <w:tcBorders>
                                    <w:top w:val="single" w:color="000000" w:sz="2" w:space="0"/>
                                    <w:bottom w:val="single" w:color="auto" w:sz="4" w:space="0"/>
                                  </w:tcBorders>
                                </w:tcPr>
                                <w:p w14:paraId="18ECA7CE">
                                  <w:pPr>
                                    <w:spacing w:before="35" w:line="280" w:lineRule="atLeast"/>
                                    <w:ind w:left="168"/>
                                    <w:jc w:val="both"/>
                                    <w:rPr>
                                      <w:rFonts w:ascii="Times New Roman" w:hAnsi="Times New Roman" w:eastAsia="Times New Roman" w:cs="Times New Roman"/>
                                      <w:position w:val="3"/>
                                      <w:sz w:val="20"/>
                                      <w:szCs w:val="20"/>
                                    </w:rPr>
                                  </w:pPr>
                                  <w:r>
                                    <w:rPr>
                                      <w:rFonts w:ascii="Times New Roman" w:hAnsi="Times New Roman" w:eastAsia="Times New Roman" w:cs="Times New Roman"/>
                                      <w:position w:val="3"/>
                                      <w:sz w:val="20"/>
                                      <w:szCs w:val="20"/>
                                    </w:rPr>
                                    <w:t xml:space="preserve">Epidemiological Data Sources </w:t>
                                  </w:r>
                                  <w:r>
                                    <w:rPr>
                                      <w:rFonts w:hint="eastAsia" w:ascii="Times New Roman" w:hAnsi="Times New Roman" w:cs="Times New Roman"/>
                                      <w:position w:val="3"/>
                                      <w:sz w:val="20"/>
                                      <w:szCs w:val="20"/>
                                      <w:lang w:eastAsia="zh-CN"/>
                                    </w:rPr>
                                    <w:t>:</w:t>
                                  </w:r>
                                  <w:r>
                                    <w:rPr>
                                      <w:rFonts w:ascii="Times New Roman" w:hAnsi="Times New Roman" w:eastAsia="Times New Roman" w:cs="Times New Roman"/>
                                      <w:position w:val="3"/>
                                      <w:sz w:val="20"/>
                                      <w:szCs w:val="20"/>
                                    </w:rPr>
                                    <w:t>The incidence data of IMD in the Xinjiang region from 2004 to 2023 in the Chinese Disease Prevention and Control Information System.</w:t>
                                  </w:r>
                                </w:p>
                                <w:p w14:paraId="49EE4388">
                                  <w:pPr>
                                    <w:spacing w:before="35" w:line="280" w:lineRule="atLeast"/>
                                    <w:ind w:left="168"/>
                                    <w:jc w:val="both"/>
                                    <w:rPr>
                                      <w:rFonts w:ascii="Times New Roman" w:hAnsi="Times New Roman" w:eastAsia="Times New Roman" w:cs="Times New Roman"/>
                                      <w:b/>
                                      <w:bCs/>
                                      <w:position w:val="3"/>
                                      <w:sz w:val="20"/>
                                      <w:szCs w:val="20"/>
                                    </w:rPr>
                                  </w:pPr>
                                  <w:r>
                                    <w:rPr>
                                      <w:rFonts w:ascii="Times New Roman" w:hAnsi="Times New Roman" w:eastAsia="Times New Roman" w:cs="Times New Roman"/>
                                      <w:sz w:val="20"/>
                                      <w:szCs w:val="20"/>
                                    </w:rPr>
                                    <w:t xml:space="preserve">Data source of carrier rate: A cross-sectional survey of </w:t>
                                  </w:r>
                                  <w:r>
                                    <w:rPr>
                                      <w:rFonts w:ascii="Times New Roman" w:hAnsi="Times New Roman" w:eastAsia="Times New Roman" w:cs="Times New Roman"/>
                                      <w:i/>
                                      <w:iCs/>
                                      <w:sz w:val="20"/>
                                      <w:szCs w:val="20"/>
                                    </w:rPr>
                                    <w:t>Neisorrhea meningitidis</w:t>
                                  </w:r>
                                  <w:r>
                                    <w:rPr>
                                      <w:rFonts w:ascii="Times New Roman" w:hAnsi="Times New Roman" w:eastAsia="Times New Roman" w:cs="Times New Roman"/>
                                      <w:sz w:val="20"/>
                                      <w:szCs w:val="20"/>
                                    </w:rPr>
                                    <w:t xml:space="preserve"> carrier rates was conducted in southern and northern Xinjiang in 2016, 2018, 2019, 2022 and 2023</w:t>
                                  </w:r>
                                </w:p>
                              </w:tc>
                              <w:tc>
                                <w:tcPr>
                                  <w:tcW w:w="490" w:type="pct"/>
                                  <w:tcBorders>
                                    <w:top w:val="single" w:color="000000" w:sz="2" w:space="0"/>
                                    <w:bottom w:val="single" w:color="auto" w:sz="4" w:space="0"/>
                                  </w:tcBorders>
                                </w:tcPr>
                                <w:p w14:paraId="687C07B0">
                                  <w:pPr>
                                    <w:spacing w:before="35" w:line="280" w:lineRule="atLeast"/>
                                    <w:ind w:left="168"/>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Page4，lines109-110，lines126-128</w:t>
                                  </w:r>
                                </w:p>
                              </w:tc>
                            </w:tr>
                            <w:bookmarkEnd w:id="0"/>
                          </w:tbl>
                          <w:p w14:paraId="4268EEF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8.45pt;height:730.45pt;width:499.6pt;z-index:-251657216;mso-width-relative:page;mso-height-relative:page;" fillcolor="#FFFFFF [3201]" filled="t" stroked="t" coordsize="21600,21600" o:gfxdata="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usN&#10;BNUAAAAKAQAADwAAAAAAAAABACAAAAAiAAAAZHJzL2Rvd25yZXYueG1sUEsBAhQAFAAAAAgAh07i&#10;QPD39bZeAgAAxAQAAA4AAAAAAAAAAQAgAAAAJAEAAGRycy9lMm9Eb2MueG1sUEsFBgAAAAAGAAYA&#10;WQEAAPQFAAAAAA==&#10;">
                <v:fill on="t" focussize="0,0"/>
                <v:stroke weight="0.5pt" color="#FFFFFF [3212]" joinstyle="round"/>
                <v:imagedata o:title=""/>
                <o:lock v:ext="edit" aspectratio="f"/>
                <v:textbox>
                  <w:txbxContent>
                    <w:tbl>
                      <w:tblPr>
                        <w:tblStyle w:val="10"/>
                        <w:tblW w:w="5087"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43"/>
                        <w:gridCol w:w="480"/>
                        <w:gridCol w:w="7072"/>
                        <w:gridCol w:w="968"/>
                      </w:tblGrid>
                      <w:tr w14:paraId="4F3253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nil"/>
                            </w:tcBorders>
                          </w:tcPr>
                          <w:p w14:paraId="5FEC4F27">
                            <w:pPr>
                              <w:spacing w:before="108" w:line="280" w:lineRule="atLeast"/>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Title and</w:t>
                            </w:r>
                            <w:r>
                              <w:rPr>
                                <w:rFonts w:ascii="Times New Roman" w:hAnsi="Times New Roman" w:eastAsia="Times New Roman" w:cs="Times New Roman"/>
                                <w:b/>
                                <w:bCs/>
                                <w:spacing w:val="10"/>
                                <w:sz w:val="20"/>
                                <w:szCs w:val="20"/>
                              </w:rPr>
                              <w:t xml:space="preserve"> </w:t>
                            </w:r>
                            <w:r>
                              <w:rPr>
                                <w:rFonts w:ascii="Times New Roman" w:hAnsi="Times New Roman" w:eastAsia="Times New Roman" w:cs="Times New Roman"/>
                                <w:b/>
                                <w:bCs/>
                                <w:spacing w:val="-1"/>
                                <w:sz w:val="20"/>
                                <w:szCs w:val="20"/>
                              </w:rPr>
                              <w:t>abstract</w:t>
                            </w:r>
                          </w:p>
                        </w:tc>
                        <w:tc>
                          <w:tcPr>
                            <w:tcW w:w="243" w:type="pct"/>
                            <w:tcBorders>
                              <w:top w:val="single" w:color="000000" w:sz="2" w:space="0"/>
                              <w:bottom w:val="nil"/>
                            </w:tcBorders>
                          </w:tcPr>
                          <w:p w14:paraId="07A57352">
                            <w:pPr>
                              <w:spacing w:before="108" w:line="280" w:lineRule="atLeast"/>
                              <w:ind w:left="34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584" w:type="pct"/>
                            <w:tcBorders>
                              <w:top w:val="single" w:color="000000" w:sz="2" w:space="0"/>
                              <w:bottom w:val="single" w:color="000000" w:sz="2" w:space="0"/>
                            </w:tcBorders>
                          </w:tcPr>
                          <w:p w14:paraId="7145D6B2">
                            <w:pPr>
                              <w:spacing w:before="42" w:line="280" w:lineRule="atLeast"/>
                              <w:ind w:left="123"/>
                              <w:rPr>
                                <w:rFonts w:ascii="Times New Roman" w:hAnsi="Times New Roman" w:eastAsia="Times New Roman" w:cs="Times New Roman"/>
                                <w:sz w:val="20"/>
                                <w:szCs w:val="20"/>
                              </w:rPr>
                            </w:pPr>
                            <w:r>
                              <w:rPr>
                                <w:rFonts w:hint="eastAsia" w:ascii="Times New Roman" w:hAnsi="Times New Roman" w:eastAsia="Times New Roman" w:cs="Times New Roman"/>
                                <w:sz w:val="20"/>
                                <w:szCs w:val="20"/>
                              </w:rPr>
                              <w:t>Epidemiological Characteristics of invasive meningococcal disease and Carriage Prevalence of Neisseria meningitidis in the Xinjiang Uygur Autonomous Region, China ,2004-2023</w:t>
                            </w:r>
                            <w:r>
                              <w:rPr>
                                <w:rFonts w:hint="eastAsia" w:ascii="Times New Roman" w:hAnsi="Times New Roman" w:eastAsia="Times New Roman" w:cs="Times New Roman"/>
                                <w:sz w:val="20"/>
                                <w:szCs w:val="20"/>
                              </w:rPr>
                              <w:tab/>
                            </w:r>
                          </w:p>
                        </w:tc>
                        <w:tc>
                          <w:tcPr>
                            <w:tcW w:w="490" w:type="pct"/>
                            <w:tcBorders>
                              <w:top w:val="single" w:color="000000" w:sz="2" w:space="0"/>
                              <w:bottom w:val="single" w:color="000000" w:sz="2" w:space="0"/>
                            </w:tcBorders>
                          </w:tcPr>
                          <w:p w14:paraId="74712F3B">
                            <w:pPr>
                              <w:spacing w:before="42" w:line="280" w:lineRule="atLeast"/>
                              <w:ind w:left="123"/>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Page1，line1</w:t>
                            </w:r>
                          </w:p>
                        </w:tc>
                      </w:tr>
                      <w:tr w14:paraId="131CCD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3" w:hRule="atLeast"/>
                        </w:trPr>
                        <w:tc>
                          <w:tcPr>
                            <w:tcW w:w="4509" w:type="pct"/>
                            <w:gridSpan w:val="3"/>
                            <w:tcBorders>
                              <w:top w:val="single" w:color="000000" w:sz="2" w:space="0"/>
                              <w:bottom w:val="single" w:color="000000" w:sz="2" w:space="0"/>
                            </w:tcBorders>
                          </w:tcPr>
                          <w:p w14:paraId="2D4042CF">
                            <w:pPr>
                              <w:spacing w:before="168" w:line="280" w:lineRule="atLeast"/>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Introduction</w:t>
                            </w:r>
                          </w:p>
                        </w:tc>
                        <w:tc>
                          <w:tcPr>
                            <w:tcW w:w="490" w:type="pct"/>
                            <w:tcBorders>
                              <w:top w:val="single" w:color="000000" w:sz="2" w:space="0"/>
                              <w:bottom w:val="single" w:color="000000" w:sz="2" w:space="0"/>
                            </w:tcBorders>
                          </w:tcPr>
                          <w:p w14:paraId="6C691982">
                            <w:pPr>
                              <w:spacing w:before="168" w:line="280" w:lineRule="atLeast"/>
                              <w:rPr>
                                <w:rFonts w:ascii="Times New Roman" w:hAnsi="Times New Roman" w:eastAsia="Times New Roman" w:cs="Times New Roman"/>
                                <w:b/>
                                <w:bCs/>
                                <w:spacing w:val="-1"/>
                                <w:sz w:val="20"/>
                                <w:szCs w:val="20"/>
                              </w:rPr>
                            </w:pPr>
                          </w:p>
                        </w:tc>
                      </w:tr>
                      <w:tr w14:paraId="7A1C16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5BD1912E">
                            <w:pPr>
                              <w:spacing w:before="100" w:line="28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Background/rationale</w:t>
                            </w:r>
                          </w:p>
                        </w:tc>
                        <w:tc>
                          <w:tcPr>
                            <w:tcW w:w="243" w:type="pct"/>
                            <w:tcBorders>
                              <w:top w:val="single" w:color="000000" w:sz="2" w:space="0"/>
                              <w:bottom w:val="single" w:color="000000" w:sz="2" w:space="0"/>
                            </w:tcBorders>
                          </w:tcPr>
                          <w:p w14:paraId="11BB6A81">
                            <w:pPr>
                              <w:spacing w:before="103" w:line="280" w:lineRule="atLeast"/>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584" w:type="pct"/>
                            <w:tcBorders>
                              <w:top w:val="single" w:color="000000" w:sz="2" w:space="0"/>
                              <w:bottom w:val="single" w:color="000000" w:sz="2" w:space="0"/>
                            </w:tcBorders>
                          </w:tcPr>
                          <w:p w14:paraId="5DF193B4">
                            <w:pPr>
                              <w:spacing w:before="37" w:line="280" w:lineRule="atLeast"/>
                              <w:ind w:left="119"/>
                              <w:jc w:val="both"/>
                              <w:rPr>
                                <w:rFonts w:ascii="Times New Roman" w:hAnsi="Times New Roman" w:cs="Times New Roman"/>
                                <w:position w:val="3"/>
                                <w:sz w:val="20"/>
                                <w:szCs w:val="20"/>
                                <w:lang w:eastAsia="zh-CN"/>
                              </w:rPr>
                            </w:pPr>
                            <w:r>
                              <w:rPr>
                                <w:rFonts w:hint="eastAsia" w:ascii="Times New Roman" w:hAnsi="Times New Roman" w:eastAsia="Times New Roman" w:cs="Times New Roman"/>
                                <w:position w:val="3"/>
                                <w:sz w:val="20"/>
                                <w:szCs w:val="20"/>
                              </w:rPr>
                              <w:t>The Xinjiang Uygur Autonomous Region (Xinjiang) currently exhibits the high incidence rates of invasive meningococcal disease (IMD) in China. Current epidemiological data on meningococcal carriage rates among asymptomatic individuals remain sparse, with limited population-based studies systematically investigating the prevalence of Neisseria meningitidis colonization in the general population.</w:t>
                            </w:r>
                          </w:p>
                        </w:tc>
                        <w:tc>
                          <w:tcPr>
                            <w:tcW w:w="490" w:type="pct"/>
                            <w:tcBorders>
                              <w:top w:val="single" w:color="000000" w:sz="2" w:space="0"/>
                              <w:bottom w:val="single" w:color="000000" w:sz="2" w:space="0"/>
                            </w:tcBorders>
                          </w:tcPr>
                          <w:p w14:paraId="41CC57BA">
                            <w:pPr>
                              <w:spacing w:before="37" w:line="280" w:lineRule="atLeast"/>
                              <w:ind w:left="119"/>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Page2，lines21-24</w:t>
                            </w:r>
                          </w:p>
                        </w:tc>
                      </w:tr>
                      <w:tr w14:paraId="7E90CD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15F110A6">
                            <w:pPr>
                              <w:spacing w:before="99" w:line="280" w:lineRule="atLeast"/>
                              <w:ind w:left="1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Objectives</w:t>
                            </w:r>
                          </w:p>
                        </w:tc>
                        <w:tc>
                          <w:tcPr>
                            <w:tcW w:w="243" w:type="pct"/>
                            <w:tcBorders>
                              <w:top w:val="single" w:color="000000" w:sz="2" w:space="0"/>
                              <w:bottom w:val="single" w:color="000000" w:sz="2" w:space="0"/>
                            </w:tcBorders>
                          </w:tcPr>
                          <w:p w14:paraId="5C1869D9">
                            <w:pPr>
                              <w:spacing w:before="103" w:line="280" w:lineRule="atLeast"/>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584" w:type="pct"/>
                            <w:tcBorders>
                              <w:top w:val="single" w:color="000000" w:sz="2" w:space="0"/>
                              <w:bottom w:val="single" w:color="000000" w:sz="2" w:space="0"/>
                            </w:tcBorders>
                          </w:tcPr>
                          <w:p w14:paraId="2FA196DB">
                            <w:pPr>
                              <w:spacing w:before="36" w:line="280" w:lineRule="atLeast"/>
                              <w:ind w:left="127"/>
                              <w:jc w:val="both"/>
                              <w:rPr>
                                <w:rFonts w:ascii="Times New Roman" w:hAnsi="Times New Roman" w:cs="Times New Roman"/>
                                <w:position w:val="3"/>
                                <w:sz w:val="20"/>
                                <w:szCs w:val="20"/>
                                <w:lang w:eastAsia="zh-CN"/>
                              </w:rPr>
                            </w:pPr>
                            <w:r>
                              <w:rPr>
                                <w:rFonts w:hint="eastAsia" w:ascii="Times New Roman" w:hAnsi="Times New Roman" w:eastAsia="Times New Roman" w:cs="Times New Roman"/>
                                <w:position w:val="3"/>
                                <w:sz w:val="20"/>
                                <w:szCs w:val="20"/>
                              </w:rPr>
                              <w:t>This study employs a dual-pronged epidemiological approach to systematically characterize the clinical-epidemiological profile of IMD in Xinjiang and quantify the nasopharyngeal carriage prevalence of N. meningitidis  among asymptomatic populations, while identifying region-specific sociodemographic and behavioral determinants of carriage dynamics.</w:t>
                            </w:r>
                          </w:p>
                        </w:tc>
                        <w:tc>
                          <w:tcPr>
                            <w:tcW w:w="490" w:type="pct"/>
                            <w:tcBorders>
                              <w:top w:val="single" w:color="000000" w:sz="2" w:space="0"/>
                              <w:bottom w:val="single" w:color="000000" w:sz="2" w:space="0"/>
                            </w:tcBorders>
                          </w:tcPr>
                          <w:p w14:paraId="5D1A180D">
                            <w:pPr>
                              <w:spacing w:before="36" w:line="280" w:lineRule="atLeast"/>
                              <w:ind w:left="127"/>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Page2，lines25-28</w:t>
                            </w:r>
                          </w:p>
                        </w:tc>
                      </w:tr>
                      <w:tr w14:paraId="4FC39F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4509" w:type="pct"/>
                            <w:gridSpan w:val="3"/>
                            <w:tcBorders>
                              <w:top w:val="single" w:color="000000" w:sz="2" w:space="0"/>
                              <w:bottom w:val="single" w:color="000000" w:sz="2" w:space="0"/>
                            </w:tcBorders>
                          </w:tcPr>
                          <w:p w14:paraId="564761DE">
                            <w:pPr>
                              <w:spacing w:before="171" w:line="280" w:lineRule="atLeast"/>
                              <w:ind w:left="126"/>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Methods</w:t>
                            </w:r>
                          </w:p>
                        </w:tc>
                        <w:tc>
                          <w:tcPr>
                            <w:tcW w:w="490" w:type="pct"/>
                            <w:tcBorders>
                              <w:top w:val="single" w:color="000000" w:sz="2" w:space="0"/>
                              <w:bottom w:val="single" w:color="000000" w:sz="2" w:space="0"/>
                            </w:tcBorders>
                          </w:tcPr>
                          <w:p w14:paraId="1BADBA7E">
                            <w:pPr>
                              <w:spacing w:before="171" w:line="280" w:lineRule="atLeast"/>
                              <w:ind w:left="126"/>
                              <w:rPr>
                                <w:rFonts w:ascii="Times New Roman" w:hAnsi="Times New Roman" w:eastAsia="Times New Roman" w:cs="Times New Roman"/>
                                <w:b/>
                                <w:bCs/>
                                <w:spacing w:val="-1"/>
                                <w:sz w:val="20"/>
                                <w:szCs w:val="20"/>
                              </w:rPr>
                            </w:pPr>
                          </w:p>
                        </w:tc>
                      </w:tr>
                      <w:tr w14:paraId="0073A1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1AB0CB96">
                            <w:pPr>
                              <w:spacing w:before="36" w:line="28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Study design</w:t>
                            </w:r>
                          </w:p>
                        </w:tc>
                        <w:tc>
                          <w:tcPr>
                            <w:tcW w:w="243" w:type="pct"/>
                            <w:tcBorders>
                              <w:top w:val="single" w:color="000000" w:sz="2" w:space="0"/>
                              <w:bottom w:val="single" w:color="000000" w:sz="2" w:space="0"/>
                            </w:tcBorders>
                          </w:tcPr>
                          <w:p w14:paraId="0B7EFAD5">
                            <w:pPr>
                              <w:spacing w:before="102" w:line="280" w:lineRule="atLeast"/>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3584" w:type="pct"/>
                            <w:tcBorders>
                              <w:top w:val="single" w:color="000000" w:sz="2" w:space="0"/>
                              <w:bottom w:val="single" w:color="000000" w:sz="2" w:space="0"/>
                            </w:tcBorders>
                          </w:tcPr>
                          <w:p w14:paraId="21697FD8">
                            <w:pPr>
                              <w:spacing w:before="36" w:line="280" w:lineRule="atLeast"/>
                              <w:ind w:left="117"/>
                              <w:jc w:val="both"/>
                              <w:rPr>
                                <w:rFonts w:ascii="Times New Roman" w:hAnsi="Times New Roman" w:cs="Times New Roman"/>
                                <w:position w:val="3"/>
                                <w:sz w:val="20"/>
                                <w:szCs w:val="20"/>
                                <w:lang w:eastAsia="zh-CN"/>
                              </w:rPr>
                            </w:pPr>
                            <w:r>
                              <w:rPr>
                                <w:rFonts w:hint="eastAsia" w:ascii="Times New Roman" w:hAnsi="Times New Roman" w:eastAsia="Times New Roman" w:cs="Times New Roman"/>
                                <w:position w:val="3"/>
                                <w:sz w:val="20"/>
                                <w:szCs w:val="20"/>
                              </w:rPr>
                              <w:t>Epidemiological characteristics were analyzed using descriptive epidemiological methods. N. meningitidis strains isolated from asymptomatic carriers underwent serogroup characterization via multiplex real-time polymerase chain reaction (Real-time PCR) targeting conserved capsular biosynthesis loci (serogroups A, B, C, W, X, and Y), with reaction conditions optimized per WHO standardized protocols for meningococcal molecular typing. The χ² test was used to compare the N. meningitidis carriage rates. A multivariable logistic regression model was used to analyze the risk factors associated with the carriage of N. meningitidis.</w:t>
                            </w:r>
                          </w:p>
                        </w:tc>
                        <w:tc>
                          <w:tcPr>
                            <w:tcW w:w="490" w:type="pct"/>
                            <w:tcBorders>
                              <w:top w:val="single" w:color="000000" w:sz="2" w:space="0"/>
                              <w:bottom w:val="single" w:color="000000" w:sz="2" w:space="0"/>
                            </w:tcBorders>
                          </w:tcPr>
                          <w:p w14:paraId="4E23532F">
                            <w:pPr>
                              <w:spacing w:before="36" w:line="280" w:lineRule="atLeast"/>
                              <w:ind w:left="117"/>
                              <w:jc w:val="both"/>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Page2，lines29-36</w:t>
                            </w:r>
                          </w:p>
                        </w:tc>
                      </w:tr>
                      <w:tr w14:paraId="3CF9CE2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3987306E">
                            <w:pPr>
                              <w:spacing w:before="99" w:line="28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Setting</w:t>
                            </w:r>
                          </w:p>
                        </w:tc>
                        <w:tc>
                          <w:tcPr>
                            <w:tcW w:w="243" w:type="pct"/>
                            <w:tcBorders>
                              <w:top w:val="single" w:color="000000" w:sz="2" w:space="0"/>
                              <w:bottom w:val="single" w:color="000000" w:sz="2" w:space="0"/>
                            </w:tcBorders>
                          </w:tcPr>
                          <w:p w14:paraId="1259D04B">
                            <w:pPr>
                              <w:spacing w:before="105" w:line="280" w:lineRule="atLeast"/>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584" w:type="pct"/>
                            <w:tcBorders>
                              <w:top w:val="single" w:color="000000" w:sz="2" w:space="0"/>
                              <w:bottom w:val="single" w:color="000000" w:sz="2" w:space="0"/>
                            </w:tcBorders>
                          </w:tcPr>
                          <w:p w14:paraId="1A98890B">
                            <w:pPr>
                              <w:spacing w:before="35" w:line="280" w:lineRule="atLeast"/>
                              <w:ind w:right="228"/>
                              <w:jc w:val="both"/>
                              <w:rPr>
                                <w:rFonts w:ascii="Times New Roman" w:hAnsi="Times New Roman" w:cs="Times New Roman"/>
                                <w:sz w:val="20"/>
                                <w:szCs w:val="20"/>
                                <w:lang w:eastAsia="zh-CN"/>
                              </w:rPr>
                            </w:pPr>
                            <w:r>
                              <w:rPr>
                                <w:rFonts w:hint="eastAsia" w:ascii="Times New Roman" w:hAnsi="Times New Roman" w:eastAsia="Times New Roman" w:cs="Times New Roman"/>
                                <w:sz w:val="20"/>
                                <w:szCs w:val="20"/>
                              </w:rPr>
                              <w:t xml:space="preserve">During 2016, 2018, 2019, 2022, and 2023, a total of 3,075 participants were enrolled in cross-sectional surveys assessing </w:t>
                            </w:r>
                            <w:r>
                              <w:rPr>
                                <w:rFonts w:hint="eastAsia" w:ascii="Times New Roman" w:hAnsi="Times New Roman" w:eastAsia="Times New Roman" w:cs="Times New Roman"/>
                                <w:i/>
                                <w:iCs/>
                                <w:sz w:val="20"/>
                                <w:szCs w:val="20"/>
                              </w:rPr>
                              <w:t>N</w:t>
                            </w:r>
                            <w:r>
                              <w:rPr>
                                <w:rFonts w:hint="eastAsia" w:ascii="Times New Roman" w:hAnsi="Times New Roman" w:eastAsia="宋体" w:cs="Times New Roman"/>
                                <w:i/>
                                <w:iCs/>
                                <w:sz w:val="20"/>
                                <w:szCs w:val="20"/>
                                <w:lang w:val="en-US" w:eastAsia="zh-CN"/>
                              </w:rPr>
                              <w:t>.</w:t>
                            </w:r>
                            <w:r>
                              <w:rPr>
                                <w:rFonts w:hint="eastAsia" w:ascii="Times New Roman" w:hAnsi="Times New Roman" w:eastAsia="Times New Roman" w:cs="Times New Roman"/>
                                <w:i/>
                                <w:iCs/>
                                <w:sz w:val="20"/>
                                <w:szCs w:val="20"/>
                              </w:rPr>
                              <w:t>meningitidis</w:t>
                            </w:r>
                            <w:r>
                              <w:rPr>
                                <w:rFonts w:hint="eastAsia" w:ascii="Times New Roman" w:hAnsi="Times New Roman" w:eastAsia="Times New Roman" w:cs="Times New Roman"/>
                                <w:sz w:val="20"/>
                                <w:szCs w:val="20"/>
                              </w:rPr>
                              <w:t xml:space="preserve"> carriage prevalence in Xinjiang, stratified by northern and southern regions:Southern Xinjiang (n = 1,574):</w:t>
                            </w:r>
                            <w:r>
                              <w:rPr>
                                <w:rFonts w:hint="eastAsia" w:ascii="Times New Roman" w:hAnsi="Times New Roman" w:eastAsia="宋体" w:cs="Times New Roman"/>
                                <w:sz w:val="20"/>
                                <w:szCs w:val="20"/>
                                <w:lang w:val="en-US" w:eastAsia="zh-CN"/>
                              </w:rPr>
                              <w:t xml:space="preserve"> </w:t>
                            </w:r>
                            <w:r>
                              <w:rPr>
                                <w:rFonts w:hint="eastAsia" w:ascii="Times New Roman" w:hAnsi="Times New Roman" w:eastAsia="Times New Roman" w:cs="Times New Roman"/>
                                <w:sz w:val="20"/>
                                <w:szCs w:val="20"/>
                              </w:rPr>
                              <w:t>Aksu Prefecture: 250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Hotan Prefecture: 422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Kashgar Prefecture: 702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Kizilsu Kirgiz Autonomous Prefecture (Kizilsu Prefecture): 200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Northern Xinjiang (n = 1,501):Urumqi City: 278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Karamay City: 212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Turpan City: 242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Tacheng Prefecture: 506 participants</w:t>
                            </w:r>
                            <w:r>
                              <w:rPr>
                                <w:rFonts w:hint="eastAsia" w:ascii="Times New Roman" w:hAnsi="Times New Roman" w:eastAsia="宋体" w:cs="Times New Roman"/>
                                <w:sz w:val="20"/>
                                <w:szCs w:val="20"/>
                                <w:lang w:eastAsia="zh-CN"/>
                              </w:rPr>
                              <w:t>、</w:t>
                            </w:r>
                            <w:r>
                              <w:rPr>
                                <w:rFonts w:hint="eastAsia" w:ascii="Times New Roman" w:hAnsi="Times New Roman" w:eastAsia="Times New Roman" w:cs="Times New Roman"/>
                                <w:sz w:val="20"/>
                                <w:szCs w:val="20"/>
                              </w:rPr>
                              <w:t>Ili Kazak Autonomous Prefecture (Ili Prefecture): 263 participants</w:t>
                            </w:r>
                          </w:p>
                        </w:tc>
                        <w:tc>
                          <w:tcPr>
                            <w:tcW w:w="490" w:type="pct"/>
                            <w:tcBorders>
                              <w:top w:val="single" w:color="000000" w:sz="2" w:space="0"/>
                              <w:bottom w:val="single" w:color="000000" w:sz="2" w:space="0"/>
                            </w:tcBorders>
                          </w:tcPr>
                          <w:p w14:paraId="57AB36EF">
                            <w:pPr>
                              <w:spacing w:before="35" w:line="280" w:lineRule="atLeast"/>
                              <w:ind w:right="228"/>
                              <w:jc w:val="both"/>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Page4，lines126-132</w:t>
                            </w:r>
                          </w:p>
                        </w:tc>
                      </w:tr>
                      <w:tr w14:paraId="393453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324A0DB9">
                            <w:pPr>
                              <w:spacing w:before="98" w:line="28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Participants</w:t>
                            </w:r>
                          </w:p>
                        </w:tc>
                        <w:tc>
                          <w:tcPr>
                            <w:tcW w:w="243" w:type="pct"/>
                            <w:tcBorders>
                              <w:top w:val="single" w:color="000000" w:sz="2" w:space="0"/>
                              <w:bottom w:val="single" w:color="000000" w:sz="2" w:space="0"/>
                            </w:tcBorders>
                          </w:tcPr>
                          <w:p w14:paraId="5DFD36B1">
                            <w:pPr>
                              <w:spacing w:before="102" w:line="280" w:lineRule="atLeast"/>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584" w:type="pct"/>
                            <w:tcBorders>
                              <w:top w:val="single" w:color="000000" w:sz="2" w:space="0"/>
                              <w:bottom w:val="single" w:color="000000" w:sz="2" w:space="0"/>
                            </w:tcBorders>
                          </w:tcPr>
                          <w:p w14:paraId="5627FEE3">
                            <w:pPr>
                              <w:spacing w:before="36" w:line="280" w:lineRule="atLeast"/>
                              <w:ind w:right="888"/>
                              <w:jc w:val="both"/>
                              <w:rPr>
                                <w:rFonts w:hint="default" w:ascii="Times New Roman" w:hAnsi="Times New Roman" w:cs="Times New Roman"/>
                                <w:sz w:val="20"/>
                                <w:szCs w:val="20"/>
                                <w:lang w:val="en-US" w:eastAsia="zh-CN"/>
                              </w:rPr>
                            </w:pPr>
                            <w:r>
                              <w:rPr>
                                <w:rFonts w:hint="eastAsia" w:ascii="Times New Roman" w:hAnsi="Times New Roman" w:eastAsia="Times New Roman" w:cs="Times New Roman"/>
                                <w:sz w:val="20"/>
                                <w:szCs w:val="20"/>
                              </w:rPr>
                              <w:t>Using random cluster sampling, the population was divided</w:t>
                            </w:r>
                            <w:r>
                              <w:rPr>
                                <w:rFonts w:hint="eastAsia" w:ascii="Times New Roman" w:hAnsi="Times New Roman" w:eastAsia="Times New Roman" w:cs="Times New Roman"/>
                                <w:sz w:val="20"/>
                                <w:szCs w:val="20"/>
                                <w:lang w:val="en-US" w:eastAsia="zh-CN"/>
                              </w:rPr>
                              <w:t xml:space="preserve"> </w:t>
                            </w:r>
                            <w:r>
                              <w:rPr>
                                <w:rFonts w:hint="eastAsia" w:ascii="Times New Roman" w:hAnsi="Times New Roman" w:eastAsia="Times New Roman" w:cs="Times New Roman"/>
                                <w:sz w:val="20"/>
                                <w:szCs w:val="20"/>
                              </w:rPr>
                              <w:t xml:space="preserve">into six age groups, &lt;3, 3~5, 6~10, 11~15, 16~20 and ≥21 years old, and throat swab specimens were collected. No less than 30 subjects were sampled in each age group, and 250 subjects were surveyed in each survey unit. The ratio of males to females was kept balanced. </w:t>
                            </w:r>
                          </w:p>
                        </w:tc>
                        <w:tc>
                          <w:tcPr>
                            <w:tcW w:w="490" w:type="pct"/>
                            <w:tcBorders>
                              <w:top w:val="single" w:color="000000" w:sz="2" w:space="0"/>
                              <w:bottom w:val="single" w:color="000000" w:sz="2" w:space="0"/>
                            </w:tcBorders>
                          </w:tcPr>
                          <w:p w14:paraId="03BF888A">
                            <w:pPr>
                              <w:spacing w:before="35" w:line="280" w:lineRule="atLeast"/>
                              <w:ind w:left="117" w:right="180" w:firstLine="5"/>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Page4，lines132-135</w:t>
                            </w:r>
                          </w:p>
                        </w:tc>
                      </w:tr>
                      <w:tr w14:paraId="05308B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81" w:type="pct"/>
                            <w:tcBorders>
                              <w:top w:val="single" w:color="000000" w:sz="2" w:space="0"/>
                              <w:bottom w:val="single" w:color="000000" w:sz="2" w:space="0"/>
                            </w:tcBorders>
                          </w:tcPr>
                          <w:p w14:paraId="0C287456">
                            <w:pPr>
                              <w:spacing w:before="98" w:line="280" w:lineRule="atLeast"/>
                              <w:ind w:left="1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Variables</w:t>
                            </w:r>
                          </w:p>
                        </w:tc>
                        <w:tc>
                          <w:tcPr>
                            <w:tcW w:w="243" w:type="pct"/>
                            <w:tcBorders>
                              <w:top w:val="single" w:color="000000" w:sz="2" w:space="0"/>
                              <w:bottom w:val="single" w:color="000000" w:sz="2" w:space="0"/>
                            </w:tcBorders>
                          </w:tcPr>
                          <w:p w14:paraId="0703AFC8">
                            <w:pPr>
                              <w:spacing w:before="105" w:line="280" w:lineRule="atLeast"/>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584" w:type="pct"/>
                            <w:tcBorders>
                              <w:top w:val="single" w:color="000000" w:sz="2" w:space="0"/>
                              <w:bottom w:val="single" w:color="000000" w:sz="2" w:space="0"/>
                            </w:tcBorders>
                          </w:tcPr>
                          <w:p w14:paraId="337B4966">
                            <w:pPr>
                              <w:spacing w:before="35" w:line="280" w:lineRule="atLeast"/>
                              <w:ind w:left="117" w:right="180" w:firstLine="5"/>
                              <w:jc w:val="both"/>
                              <w:rPr>
                                <w:rFonts w:ascii="Times New Roman" w:hAnsi="Times New Roman" w:cs="Times New Roman"/>
                                <w:sz w:val="20"/>
                                <w:szCs w:val="20"/>
                                <w:lang w:eastAsia="zh-CN"/>
                              </w:rPr>
                            </w:pPr>
                            <w:r>
                              <w:rPr>
                                <w:rFonts w:ascii="Times New Roman" w:hAnsi="Times New Roman" w:eastAsia="Times New Roman" w:cs="Times New Roman"/>
                                <w:sz w:val="20"/>
                                <w:szCs w:val="20"/>
                              </w:rPr>
                              <w:t>Age group</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According to the national epidemic cerebrospinal meningitis</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surveillance</w:t>
                            </w:r>
                            <w:r>
                              <w:rPr>
                                <w:rFonts w:hint="eastAsia" w:ascii="Times New Roman" w:hAnsi="Times New Roman" w:cs="Times New Roman"/>
                                <w:sz w:val="20"/>
                                <w:szCs w:val="20"/>
                                <w:lang w:eastAsia="zh-CN"/>
                              </w:rPr>
                              <w:t xml:space="preserve"> </w:t>
                            </w:r>
                            <w:r>
                              <w:rPr>
                                <w:rFonts w:ascii="Times New Roman" w:hAnsi="Times New Roman" w:cs="Times New Roman"/>
                                <w:sz w:val="20"/>
                                <w:szCs w:val="20"/>
                                <w:lang w:eastAsia="zh-CN"/>
                              </w:rPr>
                              <w:t>Prescriptions are divided into six age groups</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Gender</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Years</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Region</w:t>
                            </w:r>
                            <w:r>
                              <w:rPr>
                                <w:rFonts w:hint="eastAsia" w:ascii="Times New Roman" w:hAnsi="Times New Roman" w:cs="Times New Roman"/>
                                <w:sz w:val="20"/>
                                <w:szCs w:val="20"/>
                                <w:lang w:eastAsia="zh-CN"/>
                              </w:rPr>
                              <w:t>,</w:t>
                            </w:r>
                            <w:r>
                              <w:rPr>
                                <w:rFonts w:ascii="Times New Roman" w:hAnsi="Times New Roman" w:eastAsia="等线" w:cs="Times New Roman"/>
                                <w:snapToGrid/>
                                <w:color w:val="auto"/>
                                <w:kern w:val="2"/>
                                <w:sz w:val="20"/>
                                <w:szCs w:val="20"/>
                                <w:lang w:eastAsia="zh-CN"/>
                              </w:rPr>
                              <w:t xml:space="preserve"> </w:t>
                            </w:r>
                            <w:r>
                              <w:rPr>
                                <w:rFonts w:ascii="Times New Roman" w:hAnsi="Times New Roman" w:eastAsia="Times New Roman" w:cs="Times New Roman"/>
                                <w:sz w:val="20"/>
                                <w:szCs w:val="20"/>
                                <w:lang w:eastAsia="zh-CN"/>
                              </w:rPr>
                              <w:t>Vaccination history</w:t>
                            </w:r>
                          </w:p>
                        </w:tc>
                        <w:tc>
                          <w:tcPr>
                            <w:tcW w:w="490" w:type="pct"/>
                            <w:tcBorders>
                              <w:top w:val="single" w:color="000000" w:sz="2" w:space="0"/>
                              <w:bottom w:val="single" w:color="000000" w:sz="2" w:space="0"/>
                            </w:tcBorders>
                          </w:tcPr>
                          <w:p w14:paraId="1FD3F73A">
                            <w:pPr>
                              <w:spacing w:before="35" w:line="280" w:lineRule="atLeast"/>
                              <w:ind w:left="117" w:right="180" w:firstLine="5"/>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Page7，lines238-259，Table 1</w:t>
                            </w:r>
                          </w:p>
                        </w:tc>
                      </w:tr>
                      <w:tr w14:paraId="21736C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0" w:hRule="atLeast"/>
                        </w:trPr>
                        <w:tc>
                          <w:tcPr>
                            <w:tcW w:w="681" w:type="pct"/>
                            <w:tcBorders>
                              <w:top w:val="single" w:color="000000" w:sz="2" w:space="0"/>
                              <w:bottom w:val="single" w:color="auto" w:sz="4" w:space="0"/>
                            </w:tcBorders>
                          </w:tcPr>
                          <w:p w14:paraId="05C4F30C">
                            <w:pPr>
                              <w:spacing w:before="35" w:line="280" w:lineRule="atLeast"/>
                              <w:ind w:left="125"/>
                              <w:rPr>
                                <w:rFonts w:ascii="Times New Roman" w:hAnsi="Times New Roman" w:eastAsia="Times New Roman" w:cs="Times New Roman"/>
                                <w:spacing w:val="-2"/>
                                <w:position w:val="1"/>
                                <w:sz w:val="20"/>
                                <w:szCs w:val="20"/>
                              </w:rPr>
                            </w:pPr>
                            <w:bookmarkStart w:id="0" w:name="_Hlk183431038"/>
                            <w:r>
                              <w:rPr>
                                <w:rFonts w:ascii="Times New Roman" w:hAnsi="Times New Roman" w:eastAsia="Times New Roman" w:cs="Times New Roman"/>
                                <w:spacing w:val="-2"/>
                                <w:position w:val="1"/>
                                <w:sz w:val="20"/>
                                <w:szCs w:val="20"/>
                              </w:rPr>
                              <w:t>Data</w:t>
                            </w:r>
                            <w:r>
                              <w:rPr>
                                <w:rFonts w:ascii="Times New Roman" w:hAnsi="Times New Roman" w:eastAsia="Times New Roman" w:cs="Times New Roman"/>
                                <w:spacing w:val="20"/>
                                <w:w w:val="101"/>
                                <w:position w:val="1"/>
                                <w:sz w:val="20"/>
                                <w:szCs w:val="20"/>
                              </w:rPr>
                              <w:t xml:space="preserve"> </w:t>
                            </w:r>
                            <w:r>
                              <w:rPr>
                                <w:rFonts w:ascii="Times New Roman" w:hAnsi="Times New Roman" w:eastAsia="Times New Roman" w:cs="Times New Roman"/>
                                <w:spacing w:val="-2"/>
                                <w:position w:val="1"/>
                                <w:sz w:val="20"/>
                                <w:szCs w:val="20"/>
                              </w:rPr>
                              <w:t>sources/</w:t>
                            </w:r>
                          </w:p>
                          <w:p w14:paraId="6FACC901">
                            <w:pPr>
                              <w:spacing w:before="35" w:line="28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measurement</w:t>
                            </w:r>
                          </w:p>
                        </w:tc>
                        <w:tc>
                          <w:tcPr>
                            <w:tcW w:w="243" w:type="pct"/>
                            <w:tcBorders>
                              <w:top w:val="single" w:color="000000" w:sz="2" w:space="0"/>
                              <w:bottom w:val="single" w:color="auto" w:sz="4" w:space="0"/>
                            </w:tcBorders>
                          </w:tcPr>
                          <w:p w14:paraId="52A82DAA">
                            <w:pPr>
                              <w:spacing w:before="98" w:line="280" w:lineRule="atLeast"/>
                              <w:ind w:left="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w:t>
                            </w:r>
                          </w:p>
                        </w:tc>
                        <w:tc>
                          <w:tcPr>
                            <w:tcW w:w="3584" w:type="pct"/>
                            <w:tcBorders>
                              <w:top w:val="single" w:color="000000" w:sz="2" w:space="0"/>
                              <w:bottom w:val="single" w:color="auto" w:sz="4" w:space="0"/>
                            </w:tcBorders>
                          </w:tcPr>
                          <w:p w14:paraId="18ECA7CE">
                            <w:pPr>
                              <w:spacing w:before="35" w:line="280" w:lineRule="atLeast"/>
                              <w:ind w:left="168"/>
                              <w:jc w:val="both"/>
                              <w:rPr>
                                <w:rFonts w:ascii="Times New Roman" w:hAnsi="Times New Roman" w:eastAsia="Times New Roman" w:cs="Times New Roman"/>
                                <w:position w:val="3"/>
                                <w:sz w:val="20"/>
                                <w:szCs w:val="20"/>
                              </w:rPr>
                            </w:pPr>
                            <w:r>
                              <w:rPr>
                                <w:rFonts w:ascii="Times New Roman" w:hAnsi="Times New Roman" w:eastAsia="Times New Roman" w:cs="Times New Roman"/>
                                <w:position w:val="3"/>
                                <w:sz w:val="20"/>
                                <w:szCs w:val="20"/>
                              </w:rPr>
                              <w:t xml:space="preserve">Epidemiological Data Sources </w:t>
                            </w:r>
                            <w:r>
                              <w:rPr>
                                <w:rFonts w:hint="eastAsia" w:ascii="Times New Roman" w:hAnsi="Times New Roman" w:cs="Times New Roman"/>
                                <w:position w:val="3"/>
                                <w:sz w:val="20"/>
                                <w:szCs w:val="20"/>
                                <w:lang w:eastAsia="zh-CN"/>
                              </w:rPr>
                              <w:t>:</w:t>
                            </w:r>
                            <w:r>
                              <w:rPr>
                                <w:rFonts w:ascii="Times New Roman" w:hAnsi="Times New Roman" w:eastAsia="Times New Roman" w:cs="Times New Roman"/>
                                <w:position w:val="3"/>
                                <w:sz w:val="20"/>
                                <w:szCs w:val="20"/>
                              </w:rPr>
                              <w:t>The incidence data of IMD in the Xinjiang region from 2004 to 2023 in the Chinese Disease Prevention and Control Information System.</w:t>
                            </w:r>
                          </w:p>
                          <w:p w14:paraId="49EE4388">
                            <w:pPr>
                              <w:spacing w:before="35" w:line="280" w:lineRule="atLeast"/>
                              <w:ind w:left="168"/>
                              <w:jc w:val="both"/>
                              <w:rPr>
                                <w:rFonts w:ascii="Times New Roman" w:hAnsi="Times New Roman" w:eastAsia="Times New Roman" w:cs="Times New Roman"/>
                                <w:b/>
                                <w:bCs/>
                                <w:position w:val="3"/>
                                <w:sz w:val="20"/>
                                <w:szCs w:val="20"/>
                              </w:rPr>
                            </w:pPr>
                            <w:r>
                              <w:rPr>
                                <w:rFonts w:ascii="Times New Roman" w:hAnsi="Times New Roman" w:eastAsia="Times New Roman" w:cs="Times New Roman"/>
                                <w:sz w:val="20"/>
                                <w:szCs w:val="20"/>
                              </w:rPr>
                              <w:t xml:space="preserve">Data source of carrier rate: A cross-sectional survey of </w:t>
                            </w:r>
                            <w:r>
                              <w:rPr>
                                <w:rFonts w:ascii="Times New Roman" w:hAnsi="Times New Roman" w:eastAsia="Times New Roman" w:cs="Times New Roman"/>
                                <w:i/>
                                <w:iCs/>
                                <w:sz w:val="20"/>
                                <w:szCs w:val="20"/>
                              </w:rPr>
                              <w:t>Neisorrhea meningitidis</w:t>
                            </w:r>
                            <w:r>
                              <w:rPr>
                                <w:rFonts w:ascii="Times New Roman" w:hAnsi="Times New Roman" w:eastAsia="Times New Roman" w:cs="Times New Roman"/>
                                <w:sz w:val="20"/>
                                <w:szCs w:val="20"/>
                              </w:rPr>
                              <w:t xml:space="preserve"> carrier rates was conducted in southern and northern Xinjiang in 2016, 2018, 2019, 2022 and 2023</w:t>
                            </w:r>
                          </w:p>
                        </w:tc>
                        <w:tc>
                          <w:tcPr>
                            <w:tcW w:w="490" w:type="pct"/>
                            <w:tcBorders>
                              <w:top w:val="single" w:color="000000" w:sz="2" w:space="0"/>
                              <w:bottom w:val="single" w:color="auto" w:sz="4" w:space="0"/>
                            </w:tcBorders>
                          </w:tcPr>
                          <w:p w14:paraId="687C07B0">
                            <w:pPr>
                              <w:spacing w:before="35" w:line="280" w:lineRule="atLeast"/>
                              <w:ind w:left="168"/>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Page4，lines109-110，lines126-128</w:t>
                            </w:r>
                          </w:p>
                        </w:tc>
                      </w:tr>
                      <w:bookmarkEnd w:id="0"/>
                    </w:tbl>
                    <w:p w14:paraId="4268EEFE"/>
                  </w:txbxContent>
                </v:textbox>
              </v:shape>
            </w:pict>
          </mc:Fallback>
        </mc:AlternateContent>
      </w:r>
      <w:r>
        <w:rPr>
          <w:rFonts w:ascii="Times New Roman" w:hAnsi="Times New Roman" w:eastAsia="Times New Roman" w:cs="Times New Roman"/>
          <w:b/>
          <w:bCs/>
          <w:sz w:val="20"/>
          <w:szCs w:val="20"/>
        </w:rPr>
        <w:t>No                   Recommenda</w:t>
      </w:r>
      <w:r>
        <w:rPr>
          <w:rFonts w:ascii="Times New Roman" w:hAnsi="Times New Roman" w:eastAsia="Times New Roman" w:cs="Times New Roman"/>
          <w:b/>
          <w:bCs/>
          <w:spacing w:val="-1"/>
          <w:sz w:val="20"/>
          <w:szCs w:val="20"/>
        </w:rPr>
        <w:t>tion</w:t>
      </w:r>
      <w:r>
        <w:rPr>
          <w:rFonts w:hint="eastAsia" w:ascii="Times New Roman" w:hAnsi="Times New Roman" w:eastAsia="宋体" w:cs="Times New Roman"/>
          <w:b/>
          <w:bCs/>
          <w:spacing w:val="-1"/>
          <w:sz w:val="20"/>
          <w:szCs w:val="20"/>
          <w:lang w:eastAsia="zh-CN"/>
        </w:rPr>
        <w:t xml:space="preserve">                            </w:t>
      </w:r>
      <w:r>
        <w:rPr>
          <w:rFonts w:hint="eastAsia" w:ascii="Times New Roman" w:hAnsi="Times New Roman" w:eastAsia="宋体" w:cs="Times New Roman"/>
          <w:b/>
          <w:bCs/>
          <w:spacing w:val="-1"/>
          <w:sz w:val="20"/>
          <w:szCs w:val="20"/>
          <w:lang w:val="en-US" w:eastAsia="zh-CN"/>
        </w:rPr>
        <w:t>Page No</w:t>
      </w:r>
    </w:p>
    <w:p w14:paraId="68F3BF30">
      <w:pPr>
        <w:pStyle w:val="11"/>
        <w:spacing w:before="97" w:line="190" w:lineRule="auto"/>
        <w:ind w:left="125"/>
        <w:rPr>
          <w:spacing w:val="-1"/>
        </w:rPr>
      </w:pPr>
    </w:p>
    <w:p w14:paraId="69FA910A">
      <w:pPr>
        <w:pStyle w:val="11"/>
        <w:spacing w:before="97" w:line="190" w:lineRule="auto"/>
        <w:ind w:left="125"/>
        <w:rPr>
          <w:spacing w:val="-1"/>
        </w:rPr>
      </w:pPr>
    </w:p>
    <w:p w14:paraId="4C9B2F75">
      <w:pPr>
        <w:pStyle w:val="11"/>
        <w:spacing w:before="97" w:line="190" w:lineRule="auto"/>
        <w:ind w:left="125"/>
        <w:rPr>
          <w:spacing w:val="-1"/>
        </w:rPr>
      </w:pPr>
    </w:p>
    <w:p w14:paraId="78787AE2">
      <w:pPr>
        <w:pStyle w:val="11"/>
        <w:spacing w:before="97" w:line="190" w:lineRule="auto"/>
        <w:ind w:left="125"/>
        <w:rPr>
          <w:spacing w:val="-1"/>
        </w:rPr>
      </w:pPr>
    </w:p>
    <w:p w14:paraId="410F3912">
      <w:pPr>
        <w:pStyle w:val="11"/>
        <w:spacing w:before="97" w:line="190" w:lineRule="auto"/>
        <w:ind w:left="125"/>
        <w:rPr>
          <w:spacing w:val="-1"/>
        </w:rPr>
      </w:pPr>
    </w:p>
    <w:p w14:paraId="000D42E2">
      <w:pPr>
        <w:pStyle w:val="11"/>
        <w:spacing w:before="97" w:line="190" w:lineRule="auto"/>
        <w:ind w:left="125"/>
        <w:rPr>
          <w:spacing w:val="-1"/>
        </w:rPr>
      </w:pPr>
    </w:p>
    <w:p w14:paraId="17CB7554">
      <w:pPr>
        <w:pStyle w:val="11"/>
        <w:spacing w:before="97" w:line="190" w:lineRule="auto"/>
        <w:ind w:left="125"/>
        <w:rPr>
          <w:spacing w:val="-1"/>
        </w:rPr>
      </w:pPr>
    </w:p>
    <w:p w14:paraId="7360C4D9">
      <w:pPr>
        <w:pStyle w:val="11"/>
        <w:spacing w:before="97" w:line="190" w:lineRule="auto"/>
        <w:ind w:left="125"/>
        <w:rPr>
          <w:spacing w:val="-1"/>
        </w:rPr>
      </w:pPr>
    </w:p>
    <w:p w14:paraId="626C9C34">
      <w:pPr>
        <w:pStyle w:val="11"/>
        <w:spacing w:before="97" w:line="190" w:lineRule="auto"/>
        <w:ind w:left="125"/>
        <w:rPr>
          <w:spacing w:val="-1"/>
        </w:rPr>
      </w:pPr>
    </w:p>
    <w:p w14:paraId="7BB169C1">
      <w:pPr>
        <w:pStyle w:val="11"/>
        <w:spacing w:before="97" w:line="190" w:lineRule="auto"/>
        <w:ind w:left="125"/>
        <w:rPr>
          <w:spacing w:val="-1"/>
        </w:rPr>
      </w:pPr>
    </w:p>
    <w:p w14:paraId="6032FC69">
      <w:pPr>
        <w:pStyle w:val="11"/>
        <w:spacing w:before="97" w:line="190" w:lineRule="auto"/>
        <w:ind w:left="125"/>
        <w:rPr>
          <w:spacing w:val="-1"/>
        </w:rPr>
      </w:pPr>
    </w:p>
    <w:p w14:paraId="1F0A262F">
      <w:pPr>
        <w:pStyle w:val="11"/>
        <w:spacing w:before="97" w:line="190" w:lineRule="auto"/>
        <w:ind w:left="125"/>
        <w:rPr>
          <w:spacing w:val="-1"/>
        </w:rPr>
      </w:pPr>
    </w:p>
    <w:p w14:paraId="63678AFA">
      <w:pPr>
        <w:pStyle w:val="11"/>
        <w:spacing w:before="97" w:line="190" w:lineRule="auto"/>
        <w:ind w:left="125"/>
        <w:rPr>
          <w:spacing w:val="-1"/>
        </w:rPr>
      </w:pPr>
    </w:p>
    <w:p w14:paraId="164B719D">
      <w:pPr>
        <w:pStyle w:val="11"/>
        <w:spacing w:before="97" w:line="190" w:lineRule="auto"/>
        <w:ind w:left="125"/>
        <w:rPr>
          <w:spacing w:val="-1"/>
        </w:rPr>
      </w:pPr>
    </w:p>
    <w:p w14:paraId="675250E0">
      <w:pPr>
        <w:pStyle w:val="11"/>
        <w:spacing w:before="97" w:line="190" w:lineRule="auto"/>
        <w:ind w:left="125"/>
        <w:rPr>
          <w:spacing w:val="-1"/>
        </w:rPr>
      </w:pPr>
    </w:p>
    <w:p w14:paraId="5BF58E18">
      <w:pPr>
        <w:pStyle w:val="11"/>
        <w:spacing w:before="97" w:line="190" w:lineRule="auto"/>
        <w:ind w:left="125"/>
        <w:rPr>
          <w:spacing w:val="-1"/>
        </w:rPr>
      </w:pPr>
    </w:p>
    <w:p w14:paraId="76591E0F">
      <w:pPr>
        <w:pStyle w:val="11"/>
        <w:spacing w:before="97" w:line="190" w:lineRule="auto"/>
        <w:ind w:left="125"/>
        <w:rPr>
          <w:spacing w:val="-1"/>
        </w:rPr>
      </w:pPr>
    </w:p>
    <w:p w14:paraId="53E32281">
      <w:pPr>
        <w:pStyle w:val="11"/>
        <w:spacing w:before="97" w:line="190" w:lineRule="auto"/>
        <w:ind w:left="125"/>
        <w:rPr>
          <w:spacing w:val="-1"/>
        </w:rPr>
      </w:pPr>
    </w:p>
    <w:p w14:paraId="4BAF8ED9">
      <w:pPr>
        <w:pStyle w:val="11"/>
        <w:spacing w:before="97" w:line="190" w:lineRule="auto"/>
        <w:ind w:left="125"/>
        <w:rPr>
          <w:spacing w:val="-1"/>
        </w:rPr>
      </w:pPr>
    </w:p>
    <w:p w14:paraId="2907E876">
      <w:pPr>
        <w:pStyle w:val="11"/>
        <w:spacing w:before="97" w:line="190" w:lineRule="auto"/>
        <w:ind w:left="125"/>
        <w:rPr>
          <w:spacing w:val="-1"/>
        </w:rPr>
      </w:pPr>
    </w:p>
    <w:p w14:paraId="2F6DB13D">
      <w:pPr>
        <w:pStyle w:val="11"/>
        <w:spacing w:before="97" w:line="190" w:lineRule="auto"/>
        <w:ind w:left="125"/>
        <w:rPr>
          <w:spacing w:val="-1"/>
        </w:rPr>
      </w:pPr>
    </w:p>
    <w:p w14:paraId="1E3537BF">
      <w:pPr>
        <w:pStyle w:val="11"/>
        <w:spacing w:before="97" w:line="190" w:lineRule="auto"/>
        <w:ind w:left="125"/>
        <w:rPr>
          <w:spacing w:val="-1"/>
        </w:rPr>
      </w:pPr>
    </w:p>
    <w:p w14:paraId="7AA851E8">
      <w:pPr>
        <w:pStyle w:val="11"/>
        <w:spacing w:before="97" w:line="190" w:lineRule="auto"/>
        <w:ind w:left="125"/>
        <w:rPr>
          <w:spacing w:val="-1"/>
        </w:rPr>
      </w:pPr>
    </w:p>
    <w:p w14:paraId="265B21FA">
      <w:pPr>
        <w:pStyle w:val="11"/>
        <w:spacing w:before="97" w:line="190" w:lineRule="auto"/>
        <w:ind w:left="125"/>
        <w:rPr>
          <w:spacing w:val="-1"/>
        </w:rPr>
      </w:pPr>
    </w:p>
    <w:p w14:paraId="11332E7E">
      <w:pPr>
        <w:pStyle w:val="11"/>
        <w:spacing w:before="97" w:line="190" w:lineRule="auto"/>
        <w:ind w:left="125"/>
        <w:rPr>
          <w:spacing w:val="-1"/>
        </w:rPr>
      </w:pPr>
    </w:p>
    <w:p w14:paraId="738B53DD">
      <w:pPr>
        <w:pStyle w:val="11"/>
        <w:spacing w:before="97" w:line="190" w:lineRule="auto"/>
        <w:ind w:left="125"/>
        <w:rPr>
          <w:spacing w:val="-1"/>
        </w:rPr>
      </w:pPr>
    </w:p>
    <w:p w14:paraId="431D390D">
      <w:pPr>
        <w:pStyle w:val="11"/>
        <w:spacing w:before="97" w:line="190" w:lineRule="auto"/>
        <w:ind w:left="125"/>
        <w:rPr>
          <w:spacing w:val="-1"/>
        </w:rPr>
      </w:pPr>
    </w:p>
    <w:p w14:paraId="532273A0">
      <w:pPr>
        <w:pStyle w:val="11"/>
        <w:spacing w:before="97" w:line="190" w:lineRule="auto"/>
        <w:ind w:left="125"/>
        <w:rPr>
          <w:spacing w:val="-1"/>
        </w:rPr>
      </w:pPr>
    </w:p>
    <w:p w14:paraId="6BBA9B09">
      <w:pPr>
        <w:pStyle w:val="11"/>
        <w:spacing w:before="97" w:line="190" w:lineRule="auto"/>
        <w:ind w:left="125"/>
        <w:rPr>
          <w:spacing w:val="-1"/>
        </w:rPr>
      </w:pPr>
    </w:p>
    <w:p w14:paraId="70DAA745">
      <w:pPr>
        <w:pStyle w:val="11"/>
        <w:spacing w:before="97" w:line="190" w:lineRule="auto"/>
        <w:ind w:left="125"/>
        <w:rPr>
          <w:spacing w:val="-1"/>
        </w:rPr>
      </w:pPr>
    </w:p>
    <w:p w14:paraId="0F4FFDC7">
      <w:pPr>
        <w:pStyle w:val="11"/>
        <w:spacing w:before="97" w:line="190" w:lineRule="auto"/>
        <w:ind w:left="125"/>
        <w:rPr>
          <w:spacing w:val="-1"/>
        </w:rPr>
      </w:pPr>
    </w:p>
    <w:p w14:paraId="0AC76A94">
      <w:pPr>
        <w:pStyle w:val="11"/>
        <w:spacing w:before="97" w:line="190" w:lineRule="auto"/>
        <w:ind w:left="125"/>
        <w:rPr>
          <w:spacing w:val="-1"/>
        </w:rPr>
      </w:pPr>
    </w:p>
    <w:p w14:paraId="1F50547C">
      <w:pPr>
        <w:pStyle w:val="11"/>
        <w:spacing w:before="97" w:line="190" w:lineRule="auto"/>
        <w:ind w:left="125"/>
        <w:rPr>
          <w:spacing w:val="-1"/>
        </w:rPr>
      </w:pPr>
    </w:p>
    <w:p w14:paraId="67C5CCAC">
      <w:pPr>
        <w:pStyle w:val="11"/>
        <w:spacing w:before="97" w:line="190" w:lineRule="auto"/>
        <w:ind w:left="125"/>
        <w:rPr>
          <w:spacing w:val="-1"/>
        </w:rPr>
      </w:pPr>
    </w:p>
    <w:p w14:paraId="2A49C218">
      <w:pPr>
        <w:pStyle w:val="11"/>
        <w:spacing w:before="97" w:line="190" w:lineRule="auto"/>
        <w:ind w:left="125"/>
        <w:rPr>
          <w:spacing w:val="-1"/>
        </w:rPr>
      </w:pPr>
    </w:p>
    <w:p w14:paraId="6AA7E3DD">
      <w:pPr>
        <w:pStyle w:val="11"/>
        <w:spacing w:before="97" w:line="190" w:lineRule="auto"/>
        <w:ind w:left="125"/>
        <w:rPr>
          <w:spacing w:val="-1"/>
        </w:rPr>
      </w:pPr>
    </w:p>
    <w:p w14:paraId="45DD8A9F">
      <w:pPr>
        <w:pStyle w:val="11"/>
        <w:spacing w:before="97" w:line="190" w:lineRule="auto"/>
        <w:ind w:left="125"/>
        <w:rPr>
          <w:spacing w:val="-1"/>
        </w:rPr>
      </w:pPr>
    </w:p>
    <w:p w14:paraId="5F1BE0D5">
      <w:pPr>
        <w:pStyle w:val="11"/>
        <w:spacing w:before="97" w:line="190" w:lineRule="auto"/>
        <w:ind w:left="125"/>
        <w:rPr>
          <w:spacing w:val="-1"/>
        </w:rPr>
      </w:pPr>
    </w:p>
    <w:p w14:paraId="4B8D3ADF">
      <w:pPr>
        <w:pStyle w:val="11"/>
        <w:spacing w:before="97" w:line="190" w:lineRule="auto"/>
        <w:ind w:left="125"/>
        <w:rPr>
          <w:spacing w:val="-1"/>
        </w:rPr>
      </w:pPr>
    </w:p>
    <w:p w14:paraId="041861A5">
      <w:pPr>
        <w:pStyle w:val="11"/>
        <w:spacing w:before="97" w:line="190" w:lineRule="auto"/>
        <w:ind w:left="125"/>
        <w:rPr>
          <w:spacing w:val="-1"/>
        </w:rPr>
      </w:pPr>
    </w:p>
    <w:p w14:paraId="3666A83F">
      <w:pPr>
        <w:pStyle w:val="11"/>
        <w:spacing w:before="97" w:line="190" w:lineRule="auto"/>
        <w:ind w:left="125"/>
        <w:rPr>
          <w:spacing w:val="-1"/>
        </w:rPr>
      </w:pPr>
    </w:p>
    <w:p w14:paraId="1B51404C">
      <w:pPr>
        <w:pStyle w:val="11"/>
        <w:spacing w:before="97" w:line="190" w:lineRule="auto"/>
        <w:ind w:left="125"/>
        <w:rPr>
          <w:spacing w:val="-1"/>
        </w:rPr>
      </w:pPr>
    </w:p>
    <w:p w14:paraId="171C5B0F">
      <w:pPr>
        <w:pStyle w:val="11"/>
        <w:spacing w:before="97" w:line="190" w:lineRule="auto"/>
        <w:ind w:left="125"/>
        <w:rPr>
          <w:spacing w:val="-1"/>
        </w:rPr>
      </w:pPr>
    </w:p>
    <w:p w14:paraId="35DE11D0">
      <w:pPr>
        <w:pStyle w:val="11"/>
        <w:spacing w:before="97" w:line="190" w:lineRule="auto"/>
        <w:ind w:left="125"/>
        <w:rPr>
          <w:spacing w:val="-1"/>
        </w:rPr>
      </w:pPr>
    </w:p>
    <w:p w14:paraId="235E175B">
      <w:pPr>
        <w:pStyle w:val="11"/>
        <w:spacing w:before="97" w:line="190" w:lineRule="auto"/>
        <w:ind w:left="125"/>
        <w:rPr>
          <w:spacing w:val="-1"/>
        </w:rPr>
      </w:pPr>
    </w:p>
    <w:p w14:paraId="6BB2B9C6">
      <w:pPr>
        <w:pStyle w:val="11"/>
        <w:spacing w:before="97" w:line="190" w:lineRule="auto"/>
        <w:ind w:left="125"/>
        <w:rPr>
          <w:spacing w:val="-1"/>
        </w:rPr>
      </w:pPr>
    </w:p>
    <w:p w14:paraId="428DD837">
      <w:pPr>
        <w:pStyle w:val="11"/>
        <w:spacing w:before="97" w:line="190" w:lineRule="auto"/>
        <w:ind w:left="125"/>
        <w:rPr>
          <w:spacing w:val="-1"/>
        </w:rPr>
      </w:pPr>
    </w:p>
    <w:p w14:paraId="56AC966A">
      <w:pPr>
        <w:pStyle w:val="11"/>
        <w:spacing w:before="97" w:line="190" w:lineRule="auto"/>
        <w:ind w:left="125"/>
        <w:rPr>
          <w:spacing w:val="-1"/>
        </w:rPr>
      </w:pPr>
    </w:p>
    <w:p w14:paraId="36133195">
      <w:pPr>
        <w:pStyle w:val="11"/>
        <w:spacing w:before="97" w:line="190" w:lineRule="auto"/>
        <w:ind w:left="125"/>
        <w:rPr>
          <w:spacing w:val="-1"/>
        </w:rPr>
      </w:pPr>
    </w:p>
    <w:p w14:paraId="5C39AC8B">
      <w:pPr>
        <w:pStyle w:val="11"/>
        <w:spacing w:before="46" w:line="263" w:lineRule="exact"/>
        <w:rPr>
          <w:rFonts w:hint="eastAsia" w:eastAsiaTheme="minorEastAsia"/>
          <w:spacing w:val="-1"/>
          <w:position w:val="3"/>
          <w:lang w:eastAsia="zh-CN"/>
        </w:rPr>
      </w:pPr>
      <w: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92710</wp:posOffset>
                </wp:positionV>
                <wp:extent cx="6184900" cy="9285605"/>
                <wp:effectExtent l="4445" t="4445" r="8255" b="6350"/>
                <wp:wrapNone/>
                <wp:docPr id="4" name="文本框 4"/>
                <wp:cNvGraphicFramePr/>
                <a:graphic xmlns:a="http://schemas.openxmlformats.org/drawingml/2006/main">
                  <a:graphicData uri="http://schemas.microsoft.com/office/word/2010/wordprocessingShape">
                    <wps:wsp>
                      <wps:cNvSpPr txBox="1"/>
                      <wps:spPr>
                        <a:xfrm>
                          <a:off x="741680" y="812800"/>
                          <a:ext cx="6184900" cy="92856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tbl>
                            <w:tblPr>
                              <w:tblStyle w:val="10"/>
                              <w:tblW w:w="4996"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1106"/>
                              <w:gridCol w:w="517"/>
                              <w:gridCol w:w="6375"/>
                              <w:gridCol w:w="1436"/>
                            </w:tblGrid>
                            <w:tr w14:paraId="10ECE0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000000" w:sz="2" w:space="0"/>
                                  </w:tcBorders>
                                </w:tcPr>
                                <w:p w14:paraId="3979294D">
                                  <w:pPr>
                                    <w:spacing w:before="97" w:line="26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Bias</w:t>
                                  </w:r>
                                </w:p>
                              </w:tc>
                              <w:tc>
                                <w:tcPr>
                                  <w:tcW w:w="273" w:type="pct"/>
                                  <w:tcBorders>
                                    <w:top w:val="single" w:color="000000" w:sz="2" w:space="0"/>
                                    <w:bottom w:val="single" w:color="000000" w:sz="2" w:space="0"/>
                                  </w:tcBorders>
                                </w:tcPr>
                                <w:p w14:paraId="783251E0">
                                  <w:pPr>
                                    <w:spacing w:before="101" w:line="260" w:lineRule="atLeast"/>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379" w:type="pct"/>
                                  <w:tcBorders>
                                    <w:top w:val="single" w:color="000000" w:sz="2" w:space="0"/>
                                    <w:bottom w:val="single" w:color="000000" w:sz="2" w:space="0"/>
                                  </w:tcBorders>
                                </w:tcPr>
                                <w:p w14:paraId="1A640D74">
                                  <w:pPr>
                                    <w:numPr>
                                      <w:numId w:val="0"/>
                                    </w:numPr>
                                    <w:spacing w:before="34" w:line="260" w:lineRule="atLeast"/>
                                    <w:ind w:left="360" w:leftChars="0"/>
                                    <w:rPr>
                                      <w:rFonts w:ascii="Times New Roman" w:hAnsi="Times New Roman" w:eastAsia="Times New Roman" w:cs="Times New Roman"/>
                                      <w:position w:val="3"/>
                                      <w:sz w:val="20"/>
                                      <w:szCs w:val="20"/>
                                    </w:rPr>
                                  </w:pPr>
                                </w:p>
                              </w:tc>
                              <w:tc>
                                <w:tcPr>
                                  <w:tcW w:w="760" w:type="pct"/>
                                  <w:tcBorders>
                                    <w:top w:val="single" w:color="000000" w:sz="2" w:space="0"/>
                                    <w:bottom w:val="single" w:color="000000" w:sz="2" w:space="0"/>
                                  </w:tcBorders>
                                </w:tcPr>
                                <w:p w14:paraId="388D8844">
                                  <w:pPr>
                                    <w:numPr>
                                      <w:numId w:val="0"/>
                                    </w:numPr>
                                    <w:spacing w:before="34" w:line="260" w:lineRule="atLeast"/>
                                    <w:rPr>
                                      <w:rFonts w:ascii="Times New Roman" w:hAnsi="Times New Roman" w:eastAsia="Times New Roman" w:cs="Times New Roman"/>
                                      <w:b/>
                                      <w:bCs/>
                                      <w:position w:val="3"/>
                                      <w:sz w:val="20"/>
                                      <w:szCs w:val="20"/>
                                    </w:rPr>
                                  </w:pPr>
                                </w:p>
                              </w:tc>
                            </w:tr>
                            <w:tr w14:paraId="696079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000000" w:sz="2" w:space="0"/>
                                  </w:tcBorders>
                                </w:tcPr>
                                <w:p w14:paraId="72676CED">
                                  <w:pPr>
                                    <w:spacing w:before="34" w:line="26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3"/>
                                      <w:position w:val="3"/>
                                      <w:sz w:val="20"/>
                                      <w:szCs w:val="20"/>
                                    </w:rPr>
                                    <w:t>Study</w:t>
                                  </w:r>
                                  <w:r>
                                    <w:rPr>
                                      <w:rFonts w:ascii="Times New Roman" w:hAnsi="Times New Roman" w:eastAsia="Times New Roman" w:cs="Times New Roman"/>
                                      <w:spacing w:val="14"/>
                                      <w:w w:val="101"/>
                                      <w:position w:val="3"/>
                                      <w:sz w:val="20"/>
                                      <w:szCs w:val="20"/>
                                    </w:rPr>
                                    <w:t xml:space="preserve"> </w:t>
                                  </w:r>
                                  <w:r>
                                    <w:rPr>
                                      <w:rFonts w:ascii="Times New Roman" w:hAnsi="Times New Roman" w:eastAsia="Times New Roman" w:cs="Times New Roman"/>
                                      <w:spacing w:val="-3"/>
                                      <w:position w:val="3"/>
                                      <w:sz w:val="20"/>
                                      <w:szCs w:val="20"/>
                                    </w:rPr>
                                    <w:t>size</w:t>
                                  </w:r>
                                </w:p>
                              </w:tc>
                              <w:tc>
                                <w:tcPr>
                                  <w:tcW w:w="273" w:type="pct"/>
                                  <w:tcBorders>
                                    <w:top w:val="single" w:color="000000" w:sz="2" w:space="0"/>
                                    <w:bottom w:val="single" w:color="000000" w:sz="2" w:space="0"/>
                                  </w:tcBorders>
                                </w:tcPr>
                                <w:p w14:paraId="04CAB4B1">
                                  <w:pPr>
                                    <w:spacing w:before="101" w:line="260" w:lineRule="atLeast"/>
                                    <w:ind w:left="2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3379" w:type="pct"/>
                                  <w:tcBorders>
                                    <w:top w:val="single" w:color="000000" w:sz="2" w:space="0"/>
                                    <w:bottom w:val="single" w:color="000000" w:sz="2" w:space="0"/>
                                  </w:tcBorders>
                                </w:tcPr>
                                <w:p w14:paraId="6F828FB0">
                                  <w:pPr>
                                    <w:numPr>
                                      <w:ilvl w:val="0"/>
                                      <w:numId w:val="1"/>
                                    </w:numPr>
                                    <w:spacing w:before="34" w:line="240" w:lineRule="atLeast"/>
                                    <w:ind w:left="726" w:hanging="363"/>
                                    <w:rPr>
                                      <w:rFonts w:ascii="Times New Roman" w:hAnsi="Times New Roman" w:eastAsia="Times New Roman" w:cs="Times New Roman"/>
                                      <w:position w:val="3"/>
                                      <w:sz w:val="20"/>
                                      <w:szCs w:val="20"/>
                                    </w:rPr>
                                  </w:pPr>
                                  <w:r>
                                    <w:rPr>
                                      <w:rFonts w:ascii="Times New Roman" w:hAnsi="Times New Roman" w:eastAsia="Times New Roman" w:cs="Times New Roman"/>
                                      <w:b/>
                                      <w:bCs/>
                                      <w:position w:val="3"/>
                                      <w:sz w:val="20"/>
                                      <w:szCs w:val="20"/>
                                    </w:rPr>
                                    <w:t>Statistical Power</w:t>
                                  </w:r>
                                  <w:r>
                                    <w:rPr>
                                      <w:rFonts w:ascii="Times New Roman" w:hAnsi="Times New Roman" w:eastAsia="Times New Roman" w:cs="Times New Roman"/>
                                      <w:position w:val="3"/>
                                      <w:sz w:val="20"/>
                                      <w:szCs w:val="20"/>
                                    </w:rPr>
                                    <w:t>: We aimed for 80% power to detect a significant effect.</w:t>
                                  </w:r>
                                </w:p>
                                <w:p w14:paraId="7ECF4546">
                                  <w:pPr>
                                    <w:numPr>
                                      <w:ilvl w:val="0"/>
                                      <w:numId w:val="1"/>
                                    </w:numPr>
                                    <w:spacing w:before="34" w:line="240" w:lineRule="atLeast"/>
                                    <w:ind w:left="726" w:hanging="363"/>
                                    <w:rPr>
                                      <w:rFonts w:ascii="Times New Roman" w:hAnsi="Times New Roman" w:eastAsia="Times New Roman" w:cs="Times New Roman"/>
                                      <w:position w:val="3"/>
                                      <w:sz w:val="20"/>
                                      <w:szCs w:val="20"/>
                                    </w:rPr>
                                  </w:pPr>
                                  <w:r>
                                    <w:rPr>
                                      <w:rFonts w:ascii="Times New Roman" w:hAnsi="Times New Roman" w:eastAsia="Times New Roman" w:cs="Times New Roman"/>
                                      <w:b/>
                                      <w:bCs/>
                                      <w:position w:val="3"/>
                                      <w:sz w:val="20"/>
                                      <w:szCs w:val="20"/>
                                    </w:rPr>
                                    <w:t>Significance Level</w:t>
                                  </w:r>
                                  <w:r>
                                    <w:rPr>
                                      <w:rFonts w:ascii="Times New Roman" w:hAnsi="Times New Roman" w:eastAsia="Times New Roman" w:cs="Times New Roman"/>
                                      <w:position w:val="3"/>
                                      <w:sz w:val="20"/>
                                      <w:szCs w:val="20"/>
                                    </w:rPr>
                                    <w:t>: A significance level of 0.05 was set to limit the chance of false positives.</w:t>
                                  </w:r>
                                </w:p>
                                <w:p w14:paraId="70A195D3">
                                  <w:pPr>
                                    <w:numPr>
                                      <w:ilvl w:val="0"/>
                                      <w:numId w:val="1"/>
                                    </w:numPr>
                                    <w:spacing w:before="34" w:line="240" w:lineRule="atLeast"/>
                                    <w:ind w:left="726" w:hanging="363"/>
                                    <w:rPr>
                                      <w:rFonts w:ascii="Times New Roman" w:hAnsi="Times New Roman" w:eastAsia="Times New Roman" w:cs="Times New Roman"/>
                                      <w:position w:val="3"/>
                                      <w:sz w:val="20"/>
                                      <w:szCs w:val="20"/>
                                    </w:rPr>
                                  </w:pPr>
                                  <w:r>
                                    <w:rPr>
                                      <w:rFonts w:ascii="Times New Roman" w:hAnsi="Times New Roman" w:eastAsia="Times New Roman" w:cs="Times New Roman"/>
                                      <w:b/>
                                      <w:bCs/>
                                      <w:position w:val="3"/>
                                      <w:sz w:val="20"/>
                                      <w:szCs w:val="20"/>
                                    </w:rPr>
                                    <w:t>Practical Considerations</w:t>
                                  </w:r>
                                  <w:r>
                                    <w:rPr>
                                      <w:rFonts w:ascii="Times New Roman" w:hAnsi="Times New Roman" w:eastAsia="Times New Roman" w:cs="Times New Roman"/>
                                      <w:position w:val="3"/>
                                      <w:sz w:val="20"/>
                                      <w:szCs w:val="20"/>
                                    </w:rPr>
                                    <w:t>: We also considered available resources and time constraints.</w:t>
                                  </w:r>
                                  <w:r>
                                    <w:rPr>
                                      <w:rFonts w:hint="eastAsia" w:ascii="Times New Roman" w:hAnsi="Times New Roman" w:cs="Times New Roman"/>
                                      <w:position w:val="3"/>
                                      <w:sz w:val="20"/>
                                      <w:szCs w:val="20"/>
                                      <w:lang w:eastAsia="zh-CN"/>
                                    </w:rPr>
                                    <w:t xml:space="preserve"> </w:t>
                                  </w:r>
                                </w:p>
                              </w:tc>
                              <w:tc>
                                <w:tcPr>
                                  <w:tcW w:w="760" w:type="pct"/>
                                  <w:tcBorders>
                                    <w:top w:val="single" w:color="000000" w:sz="2" w:space="0"/>
                                    <w:bottom w:val="single" w:color="000000" w:sz="2" w:space="0"/>
                                  </w:tcBorders>
                                </w:tcPr>
                                <w:p w14:paraId="4C63618C">
                                  <w:pPr>
                                    <w:numPr>
                                      <w:numId w:val="0"/>
                                    </w:numPr>
                                    <w:spacing w:before="34" w:line="240" w:lineRule="atLeast"/>
                                    <w:rPr>
                                      <w:rFonts w:hint="default" w:ascii="Times New Roman" w:hAnsi="Times New Roman" w:eastAsia="Times New Roman" w:cs="Times New Roman"/>
                                      <w:b/>
                                      <w:bCs/>
                                      <w:position w:val="3"/>
                                      <w:sz w:val="20"/>
                                      <w:szCs w:val="20"/>
                                      <w:lang w:val="en-US"/>
                                    </w:rPr>
                                  </w:pPr>
                                  <w:r>
                                    <w:rPr>
                                      <w:rFonts w:hint="eastAsia" w:ascii="Times New Roman" w:hAnsi="Times New Roman" w:eastAsia="宋体" w:cs="Times New Roman"/>
                                      <w:sz w:val="20"/>
                                      <w:szCs w:val="20"/>
                                      <w:lang w:val="en-US" w:eastAsia="zh-CN"/>
                                    </w:rPr>
                                    <w:t>Page5，line 178</w:t>
                                  </w:r>
                                </w:p>
                              </w:tc>
                            </w:tr>
                            <w:tr w14:paraId="424836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000000" w:sz="2" w:space="0"/>
                                  </w:tcBorders>
                                </w:tcPr>
                                <w:p w14:paraId="1330F1FF">
                                  <w:pPr>
                                    <w:spacing w:before="35" w:line="260" w:lineRule="atLeast"/>
                                    <w:ind w:left="129"/>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Quantitative variables</w:t>
                                  </w:r>
                                </w:p>
                              </w:tc>
                              <w:tc>
                                <w:tcPr>
                                  <w:tcW w:w="273" w:type="pct"/>
                                  <w:tcBorders>
                                    <w:top w:val="single" w:color="000000" w:sz="2" w:space="0"/>
                                    <w:bottom w:val="single" w:color="000000" w:sz="2" w:space="0"/>
                                  </w:tcBorders>
                                </w:tcPr>
                                <w:p w14:paraId="57C0838D">
                                  <w:pPr>
                                    <w:spacing w:before="101" w:line="260" w:lineRule="atLeast"/>
                                    <w:ind w:left="29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3379" w:type="pct"/>
                                  <w:tcBorders>
                                    <w:top w:val="single" w:color="000000" w:sz="2" w:space="0"/>
                                    <w:bottom w:val="single" w:color="000000" w:sz="2" w:space="0"/>
                                  </w:tcBorders>
                                </w:tcPr>
                                <w:p w14:paraId="0F838FBE">
                                  <w:pPr>
                                    <w:spacing w:before="35" w:line="260" w:lineRule="atLeast"/>
                                    <w:ind w:left="121" w:right="628" w:hanging="2"/>
                                    <w:jc w:val="both"/>
                                    <w:rPr>
                                      <w:rFonts w:ascii="Times New Roman" w:hAnsi="Times New Roman" w:cs="Times New Roman"/>
                                      <w:sz w:val="20"/>
                                      <w:szCs w:val="20"/>
                                      <w:lang w:eastAsia="zh-CN"/>
                                    </w:rPr>
                                  </w:pPr>
                                  <w:r>
                                    <w:rPr>
                                      <w:rFonts w:hint="eastAsia" w:ascii="Times New Roman" w:hAnsi="Times New Roman" w:eastAsia="Times New Roman" w:cs="Times New Roman"/>
                                      <w:sz w:val="20"/>
                                      <w:szCs w:val="20"/>
                                    </w:rPr>
                                    <w:t>The main type of data in this study is qualitative data.We grouped the data according to relevant surveillance protocols or demographic classifications for comparison. For example, age groups (e.g., &lt;3, 3 to 5, 6 to 10, 11 to 15, 16 to 20 and ≥21 years old) were used to compare differences in carrier rates between different age groups. These groups were chosen to ensure meaningful comparisons and to be consistent with clinical significance.</w:t>
                                  </w:r>
                                </w:p>
                              </w:tc>
                              <w:tc>
                                <w:tcPr>
                                  <w:tcW w:w="760" w:type="pct"/>
                                  <w:tcBorders>
                                    <w:top w:val="single" w:color="000000" w:sz="2" w:space="0"/>
                                    <w:bottom w:val="single" w:color="000000" w:sz="2" w:space="0"/>
                                  </w:tcBorders>
                                </w:tcPr>
                                <w:p w14:paraId="2B6B528C">
                                  <w:pPr>
                                    <w:spacing w:before="35" w:line="260" w:lineRule="atLeast"/>
                                    <w:ind w:left="121" w:right="628" w:hanging="2"/>
                                    <w:jc w:val="both"/>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Page4，line 133</w:t>
                                  </w:r>
                                </w:p>
                              </w:tc>
                            </w:tr>
                            <w:tr w14:paraId="1E3345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nil"/>
                                  </w:tcBorders>
                                </w:tcPr>
                                <w:p w14:paraId="2ACDDFA1">
                                  <w:pPr>
                                    <w:spacing w:before="34" w:line="26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Statistical methods</w:t>
                                  </w:r>
                                </w:p>
                              </w:tc>
                              <w:tc>
                                <w:tcPr>
                                  <w:tcW w:w="273" w:type="pct"/>
                                  <w:tcBorders>
                                    <w:top w:val="single" w:color="000000" w:sz="2" w:space="0"/>
                                    <w:bottom w:val="nil"/>
                                  </w:tcBorders>
                                </w:tcPr>
                                <w:p w14:paraId="3708E953">
                                  <w:pPr>
                                    <w:spacing w:before="100" w:line="260" w:lineRule="atLeast"/>
                                    <w:ind w:left="29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3379" w:type="pct"/>
                                  <w:tcBorders>
                                    <w:top w:val="single" w:color="000000" w:sz="2" w:space="0"/>
                                    <w:bottom w:val="single" w:color="000000" w:sz="2" w:space="0"/>
                                  </w:tcBorders>
                                </w:tcPr>
                                <w:p w14:paraId="6BEBD3B7">
                                  <w:pPr>
                                    <w:spacing w:line="260" w:lineRule="atLeast"/>
                                  </w:pPr>
                                  <w:r>
                                    <w:rPr>
                                      <w:rFonts w:hint="eastAsia" w:ascii="Times New Roman" w:hAnsi="Times New Roman" w:eastAsia="Times New Roman" w:cs="Times New Roman"/>
                                      <w:sz w:val="20"/>
                                      <w:szCs w:val="20"/>
                                    </w:rPr>
                                    <w:t xml:space="preserve">Qualitative data are expressed as frequencies (n) and percentages (%). Comparisons of the positivity rates of </w:t>
                                  </w:r>
                                  <w:r>
                                    <w:rPr>
                                      <w:rFonts w:hint="eastAsia" w:ascii="Times New Roman" w:hAnsi="Times New Roman" w:eastAsia="Times New Roman" w:cs="Times New Roman"/>
                                      <w:i/>
                                      <w:iCs/>
                                      <w:sz w:val="20"/>
                                      <w:szCs w:val="20"/>
                                    </w:rPr>
                                    <w:t>N. meningitidis</w:t>
                                  </w:r>
                                  <w:r>
                                    <w:rPr>
                                      <w:rFonts w:hint="eastAsia" w:ascii="Times New Roman" w:hAnsi="Times New Roman" w:eastAsia="Times New Roman" w:cs="Times New Roman"/>
                                      <w:sz w:val="20"/>
                                      <w:szCs w:val="20"/>
                                    </w:rPr>
                                    <w:t xml:space="preserve"> among different regions, sexes, age groups, years and immunization histories were performed using the χ2 test, with a p value &lt;0.05 indicating a statistically significant difference. </w:t>
                                  </w:r>
                                  <w:r>
                                    <w:rPr>
                                      <w:rFonts w:ascii="Times New Roman" w:hAnsi="Times New Roman" w:eastAsia="Times New Roman" w:cs="Times New Roman"/>
                                      <w:sz w:val="20"/>
                                      <w:szCs w:val="20"/>
                                    </w:rPr>
                                    <w:t>Regression Analysis: We conducted multiple regression analyses to examine the relationships between the dependent variable and several independent variables. This helped us identify significant predictors while controlling for potential confounders.</w:t>
                                  </w:r>
                                </w:p>
                              </w:tc>
                              <w:tc>
                                <w:tcPr>
                                  <w:tcW w:w="760" w:type="pct"/>
                                  <w:tcBorders>
                                    <w:top w:val="single" w:color="000000" w:sz="2" w:space="0"/>
                                    <w:bottom w:val="single" w:color="000000" w:sz="2" w:space="0"/>
                                  </w:tcBorders>
                                </w:tcPr>
                                <w:p w14:paraId="069BD4DD">
                                  <w:pPr>
                                    <w:spacing w:line="260" w:lineRule="atLeast"/>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Page5，lines173-180</w:t>
                                  </w:r>
                                </w:p>
                              </w:tc>
                            </w:tr>
                            <w:tr w14:paraId="4B583B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4239" w:type="pct"/>
                                  <w:gridSpan w:val="3"/>
                                  <w:tcBorders>
                                    <w:top w:val="single" w:color="000000" w:sz="2" w:space="0"/>
                                    <w:bottom w:val="single" w:color="000000" w:sz="2" w:space="0"/>
                                  </w:tcBorders>
                                </w:tcPr>
                                <w:p w14:paraId="775D0C7E">
                                  <w:pPr>
                                    <w:spacing w:line="260" w:lineRule="atLeast"/>
                                    <w:ind w:left="12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Results</w:t>
                                  </w:r>
                                </w:p>
                              </w:tc>
                              <w:tc>
                                <w:tcPr>
                                  <w:tcW w:w="760" w:type="pct"/>
                                  <w:tcBorders>
                                    <w:top w:val="single" w:color="000000" w:sz="2" w:space="0"/>
                                    <w:bottom w:val="single" w:color="000000" w:sz="2" w:space="0"/>
                                  </w:tcBorders>
                                </w:tcPr>
                                <w:p w14:paraId="4D0CE266">
                                  <w:pPr>
                                    <w:spacing w:line="260" w:lineRule="atLeast"/>
                                    <w:ind w:left="125"/>
                                    <w:rPr>
                                      <w:rFonts w:ascii="Times New Roman" w:hAnsi="Times New Roman" w:eastAsia="Times New Roman" w:cs="Times New Roman"/>
                                      <w:b/>
                                      <w:bCs/>
                                      <w:spacing w:val="-1"/>
                                      <w:sz w:val="20"/>
                                      <w:szCs w:val="20"/>
                                    </w:rPr>
                                  </w:pPr>
                                </w:p>
                              </w:tc>
                            </w:tr>
                            <w:tr w14:paraId="374F96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auto" w:sz="4" w:space="0"/>
                                  </w:tcBorders>
                                </w:tcPr>
                                <w:p w14:paraId="05C51571">
                                  <w:pPr>
                                    <w:spacing w:before="110" w:line="26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Participants</w:t>
                                  </w:r>
                                </w:p>
                              </w:tc>
                              <w:tc>
                                <w:tcPr>
                                  <w:tcW w:w="273" w:type="pct"/>
                                  <w:tcBorders>
                                    <w:top w:val="single" w:color="000000" w:sz="2" w:space="0"/>
                                    <w:bottom w:val="single" w:color="auto" w:sz="4" w:space="0"/>
                                  </w:tcBorders>
                                </w:tcPr>
                                <w:p w14:paraId="74D439EF">
                                  <w:pPr>
                                    <w:spacing w:before="110" w:line="260" w:lineRule="atLeast"/>
                                    <w:ind w:left="24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3379" w:type="pct"/>
                                  <w:tcBorders>
                                    <w:top w:val="single" w:color="000000" w:sz="2" w:space="0"/>
                                    <w:bottom w:val="single" w:color="auto" w:sz="4" w:space="0"/>
                                  </w:tcBorders>
                                </w:tcPr>
                                <w:p w14:paraId="0CBF7446">
                                  <w:pPr>
                                    <w:spacing w:before="36" w:line="240" w:lineRule="atLeast"/>
                                    <w:ind w:left="119"/>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 xml:space="preserve"> </w:t>
                                  </w:r>
                                  <w:r>
                                    <w:rPr>
                                      <w:rFonts w:hint="eastAsia" w:ascii="Times New Roman" w:hAnsi="Times New Roman" w:eastAsia="Times New Roman" w:cs="Times New Roman"/>
                                      <w:sz w:val="20"/>
                                      <w:szCs w:val="20"/>
                                    </w:rPr>
                                    <w:t>First, clearly describe the target population of the study, such as age, gender, region, occupation, etc. Ensure sample homogeneity and representativeness. It is emphasized that all participants participate voluntarily after fully understanding the purpose, methodology and potential risks of the study.Mention the informed consent signing process. If there are no personnel, analyze the possible impact of the reasons for not participating on the research results, such as sample bias and the universality of the conclusions. Suggest possible solutions or suggestions to mitigate these effects, such as expanding recruitment scope, improving recruitment strategies, etc.</w:t>
                                  </w:r>
                                </w:p>
                              </w:tc>
                              <w:tc>
                                <w:tcPr>
                                  <w:tcW w:w="760" w:type="pct"/>
                                  <w:tcBorders>
                                    <w:top w:val="single" w:color="000000" w:sz="2" w:space="0"/>
                                    <w:bottom w:val="single" w:color="auto" w:sz="4" w:space="0"/>
                                  </w:tcBorders>
                                </w:tcPr>
                                <w:p w14:paraId="4DA65299">
                                  <w:pPr>
                                    <w:spacing w:before="36" w:line="240" w:lineRule="atLeast"/>
                                    <w:ind w:left="119"/>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Page7，lines135-136，168-171.</w:t>
                                  </w:r>
                                </w:p>
                              </w:tc>
                            </w:tr>
                          </w:tbl>
                          <w:p w14:paraId="514BE57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pt;margin-top:7.3pt;height:731.15pt;width:487pt;z-index:251660288;mso-width-relative:page;mso-height-relative:page;" fillcolor="#FFFFFF [3201]" filled="t" stroked="t" coordsize="21600,21600" o:gfxdata="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YO5ptUA&#10;AAAKAQAADwAAAAAAAAABACAAAAAiAAAAZHJzL2Rvd25yZXYueG1sUEsBAhQAFAAAAAgAh07iQNW7&#10;pcFbAgAAwwQAAA4AAAAAAAAAAQAgAAAAJAEAAGRycy9lMm9Eb2MueG1sUEsFBgAAAAAGAAYAWQEA&#10;APEFAAAAAA==&#10;">
                <v:fill on="t" focussize="0,0"/>
                <v:stroke weight="0.5pt" color="#FFFFFF [3212]" joinstyle="round"/>
                <v:imagedata o:title=""/>
                <o:lock v:ext="edit" aspectratio="f"/>
                <v:textbox>
                  <w:txbxContent>
                    <w:tbl>
                      <w:tblPr>
                        <w:tblStyle w:val="10"/>
                        <w:tblW w:w="4996"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1106"/>
                        <w:gridCol w:w="517"/>
                        <w:gridCol w:w="6375"/>
                        <w:gridCol w:w="1436"/>
                      </w:tblGrid>
                      <w:tr w14:paraId="10ECE0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000000" w:sz="2" w:space="0"/>
                            </w:tcBorders>
                          </w:tcPr>
                          <w:p w14:paraId="3979294D">
                            <w:pPr>
                              <w:spacing w:before="97" w:line="26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Bias</w:t>
                            </w:r>
                          </w:p>
                        </w:tc>
                        <w:tc>
                          <w:tcPr>
                            <w:tcW w:w="273" w:type="pct"/>
                            <w:tcBorders>
                              <w:top w:val="single" w:color="000000" w:sz="2" w:space="0"/>
                              <w:bottom w:val="single" w:color="000000" w:sz="2" w:space="0"/>
                            </w:tcBorders>
                          </w:tcPr>
                          <w:p w14:paraId="783251E0">
                            <w:pPr>
                              <w:spacing w:before="101" w:line="260" w:lineRule="atLeast"/>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379" w:type="pct"/>
                            <w:tcBorders>
                              <w:top w:val="single" w:color="000000" w:sz="2" w:space="0"/>
                              <w:bottom w:val="single" w:color="000000" w:sz="2" w:space="0"/>
                            </w:tcBorders>
                          </w:tcPr>
                          <w:p w14:paraId="1A640D74">
                            <w:pPr>
                              <w:numPr>
                                <w:numId w:val="0"/>
                              </w:numPr>
                              <w:spacing w:before="34" w:line="260" w:lineRule="atLeast"/>
                              <w:ind w:left="360" w:leftChars="0"/>
                              <w:rPr>
                                <w:rFonts w:ascii="Times New Roman" w:hAnsi="Times New Roman" w:eastAsia="Times New Roman" w:cs="Times New Roman"/>
                                <w:position w:val="3"/>
                                <w:sz w:val="20"/>
                                <w:szCs w:val="20"/>
                              </w:rPr>
                            </w:pPr>
                          </w:p>
                        </w:tc>
                        <w:tc>
                          <w:tcPr>
                            <w:tcW w:w="760" w:type="pct"/>
                            <w:tcBorders>
                              <w:top w:val="single" w:color="000000" w:sz="2" w:space="0"/>
                              <w:bottom w:val="single" w:color="000000" w:sz="2" w:space="0"/>
                            </w:tcBorders>
                          </w:tcPr>
                          <w:p w14:paraId="388D8844">
                            <w:pPr>
                              <w:numPr>
                                <w:numId w:val="0"/>
                              </w:numPr>
                              <w:spacing w:before="34" w:line="260" w:lineRule="atLeast"/>
                              <w:rPr>
                                <w:rFonts w:ascii="Times New Roman" w:hAnsi="Times New Roman" w:eastAsia="Times New Roman" w:cs="Times New Roman"/>
                                <w:b/>
                                <w:bCs/>
                                <w:position w:val="3"/>
                                <w:sz w:val="20"/>
                                <w:szCs w:val="20"/>
                              </w:rPr>
                            </w:pPr>
                          </w:p>
                        </w:tc>
                      </w:tr>
                      <w:tr w14:paraId="696079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000000" w:sz="2" w:space="0"/>
                            </w:tcBorders>
                          </w:tcPr>
                          <w:p w14:paraId="72676CED">
                            <w:pPr>
                              <w:spacing w:before="34" w:line="26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3"/>
                                <w:position w:val="3"/>
                                <w:sz w:val="20"/>
                                <w:szCs w:val="20"/>
                              </w:rPr>
                              <w:t>Study</w:t>
                            </w:r>
                            <w:r>
                              <w:rPr>
                                <w:rFonts w:ascii="Times New Roman" w:hAnsi="Times New Roman" w:eastAsia="Times New Roman" w:cs="Times New Roman"/>
                                <w:spacing w:val="14"/>
                                <w:w w:val="101"/>
                                <w:position w:val="3"/>
                                <w:sz w:val="20"/>
                                <w:szCs w:val="20"/>
                              </w:rPr>
                              <w:t xml:space="preserve"> </w:t>
                            </w:r>
                            <w:r>
                              <w:rPr>
                                <w:rFonts w:ascii="Times New Roman" w:hAnsi="Times New Roman" w:eastAsia="Times New Roman" w:cs="Times New Roman"/>
                                <w:spacing w:val="-3"/>
                                <w:position w:val="3"/>
                                <w:sz w:val="20"/>
                                <w:szCs w:val="20"/>
                              </w:rPr>
                              <w:t>size</w:t>
                            </w:r>
                          </w:p>
                        </w:tc>
                        <w:tc>
                          <w:tcPr>
                            <w:tcW w:w="273" w:type="pct"/>
                            <w:tcBorders>
                              <w:top w:val="single" w:color="000000" w:sz="2" w:space="0"/>
                              <w:bottom w:val="single" w:color="000000" w:sz="2" w:space="0"/>
                            </w:tcBorders>
                          </w:tcPr>
                          <w:p w14:paraId="04CAB4B1">
                            <w:pPr>
                              <w:spacing w:before="101" w:line="260" w:lineRule="atLeast"/>
                              <w:ind w:left="2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3379" w:type="pct"/>
                            <w:tcBorders>
                              <w:top w:val="single" w:color="000000" w:sz="2" w:space="0"/>
                              <w:bottom w:val="single" w:color="000000" w:sz="2" w:space="0"/>
                            </w:tcBorders>
                          </w:tcPr>
                          <w:p w14:paraId="6F828FB0">
                            <w:pPr>
                              <w:numPr>
                                <w:ilvl w:val="0"/>
                                <w:numId w:val="1"/>
                              </w:numPr>
                              <w:spacing w:before="34" w:line="240" w:lineRule="atLeast"/>
                              <w:ind w:left="726" w:hanging="363"/>
                              <w:rPr>
                                <w:rFonts w:ascii="Times New Roman" w:hAnsi="Times New Roman" w:eastAsia="Times New Roman" w:cs="Times New Roman"/>
                                <w:position w:val="3"/>
                                <w:sz w:val="20"/>
                                <w:szCs w:val="20"/>
                              </w:rPr>
                            </w:pPr>
                            <w:r>
                              <w:rPr>
                                <w:rFonts w:ascii="Times New Roman" w:hAnsi="Times New Roman" w:eastAsia="Times New Roman" w:cs="Times New Roman"/>
                                <w:b/>
                                <w:bCs/>
                                <w:position w:val="3"/>
                                <w:sz w:val="20"/>
                                <w:szCs w:val="20"/>
                              </w:rPr>
                              <w:t>Statistical Power</w:t>
                            </w:r>
                            <w:r>
                              <w:rPr>
                                <w:rFonts w:ascii="Times New Roman" w:hAnsi="Times New Roman" w:eastAsia="Times New Roman" w:cs="Times New Roman"/>
                                <w:position w:val="3"/>
                                <w:sz w:val="20"/>
                                <w:szCs w:val="20"/>
                              </w:rPr>
                              <w:t>: We aimed for 80% power to detect a significant effect.</w:t>
                            </w:r>
                          </w:p>
                          <w:p w14:paraId="7ECF4546">
                            <w:pPr>
                              <w:numPr>
                                <w:ilvl w:val="0"/>
                                <w:numId w:val="1"/>
                              </w:numPr>
                              <w:spacing w:before="34" w:line="240" w:lineRule="atLeast"/>
                              <w:ind w:left="726" w:hanging="363"/>
                              <w:rPr>
                                <w:rFonts w:ascii="Times New Roman" w:hAnsi="Times New Roman" w:eastAsia="Times New Roman" w:cs="Times New Roman"/>
                                <w:position w:val="3"/>
                                <w:sz w:val="20"/>
                                <w:szCs w:val="20"/>
                              </w:rPr>
                            </w:pPr>
                            <w:r>
                              <w:rPr>
                                <w:rFonts w:ascii="Times New Roman" w:hAnsi="Times New Roman" w:eastAsia="Times New Roman" w:cs="Times New Roman"/>
                                <w:b/>
                                <w:bCs/>
                                <w:position w:val="3"/>
                                <w:sz w:val="20"/>
                                <w:szCs w:val="20"/>
                              </w:rPr>
                              <w:t>Significance Level</w:t>
                            </w:r>
                            <w:r>
                              <w:rPr>
                                <w:rFonts w:ascii="Times New Roman" w:hAnsi="Times New Roman" w:eastAsia="Times New Roman" w:cs="Times New Roman"/>
                                <w:position w:val="3"/>
                                <w:sz w:val="20"/>
                                <w:szCs w:val="20"/>
                              </w:rPr>
                              <w:t>: A significance level of 0.05 was set to limit the chance of false positives.</w:t>
                            </w:r>
                          </w:p>
                          <w:p w14:paraId="70A195D3">
                            <w:pPr>
                              <w:numPr>
                                <w:ilvl w:val="0"/>
                                <w:numId w:val="1"/>
                              </w:numPr>
                              <w:spacing w:before="34" w:line="240" w:lineRule="atLeast"/>
                              <w:ind w:left="726" w:hanging="363"/>
                              <w:rPr>
                                <w:rFonts w:ascii="Times New Roman" w:hAnsi="Times New Roman" w:eastAsia="Times New Roman" w:cs="Times New Roman"/>
                                <w:position w:val="3"/>
                                <w:sz w:val="20"/>
                                <w:szCs w:val="20"/>
                              </w:rPr>
                            </w:pPr>
                            <w:r>
                              <w:rPr>
                                <w:rFonts w:ascii="Times New Roman" w:hAnsi="Times New Roman" w:eastAsia="Times New Roman" w:cs="Times New Roman"/>
                                <w:b/>
                                <w:bCs/>
                                <w:position w:val="3"/>
                                <w:sz w:val="20"/>
                                <w:szCs w:val="20"/>
                              </w:rPr>
                              <w:t>Practical Considerations</w:t>
                            </w:r>
                            <w:r>
                              <w:rPr>
                                <w:rFonts w:ascii="Times New Roman" w:hAnsi="Times New Roman" w:eastAsia="Times New Roman" w:cs="Times New Roman"/>
                                <w:position w:val="3"/>
                                <w:sz w:val="20"/>
                                <w:szCs w:val="20"/>
                              </w:rPr>
                              <w:t>: We also considered available resources and time constraints.</w:t>
                            </w:r>
                            <w:r>
                              <w:rPr>
                                <w:rFonts w:hint="eastAsia" w:ascii="Times New Roman" w:hAnsi="Times New Roman" w:cs="Times New Roman"/>
                                <w:position w:val="3"/>
                                <w:sz w:val="20"/>
                                <w:szCs w:val="20"/>
                                <w:lang w:eastAsia="zh-CN"/>
                              </w:rPr>
                              <w:t xml:space="preserve"> </w:t>
                            </w:r>
                          </w:p>
                        </w:tc>
                        <w:tc>
                          <w:tcPr>
                            <w:tcW w:w="760" w:type="pct"/>
                            <w:tcBorders>
                              <w:top w:val="single" w:color="000000" w:sz="2" w:space="0"/>
                              <w:bottom w:val="single" w:color="000000" w:sz="2" w:space="0"/>
                            </w:tcBorders>
                          </w:tcPr>
                          <w:p w14:paraId="4C63618C">
                            <w:pPr>
                              <w:numPr>
                                <w:numId w:val="0"/>
                              </w:numPr>
                              <w:spacing w:before="34" w:line="240" w:lineRule="atLeast"/>
                              <w:rPr>
                                <w:rFonts w:hint="default" w:ascii="Times New Roman" w:hAnsi="Times New Roman" w:eastAsia="Times New Roman" w:cs="Times New Roman"/>
                                <w:b/>
                                <w:bCs/>
                                <w:position w:val="3"/>
                                <w:sz w:val="20"/>
                                <w:szCs w:val="20"/>
                                <w:lang w:val="en-US"/>
                              </w:rPr>
                            </w:pPr>
                            <w:r>
                              <w:rPr>
                                <w:rFonts w:hint="eastAsia" w:ascii="Times New Roman" w:hAnsi="Times New Roman" w:eastAsia="宋体" w:cs="Times New Roman"/>
                                <w:sz w:val="20"/>
                                <w:szCs w:val="20"/>
                                <w:lang w:val="en-US" w:eastAsia="zh-CN"/>
                              </w:rPr>
                              <w:t>Page5，line 178</w:t>
                            </w:r>
                          </w:p>
                        </w:tc>
                      </w:tr>
                      <w:tr w14:paraId="424836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000000" w:sz="2" w:space="0"/>
                            </w:tcBorders>
                          </w:tcPr>
                          <w:p w14:paraId="1330F1FF">
                            <w:pPr>
                              <w:spacing w:before="35" w:line="260" w:lineRule="atLeast"/>
                              <w:ind w:left="129"/>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Quantitative variables</w:t>
                            </w:r>
                          </w:p>
                        </w:tc>
                        <w:tc>
                          <w:tcPr>
                            <w:tcW w:w="273" w:type="pct"/>
                            <w:tcBorders>
                              <w:top w:val="single" w:color="000000" w:sz="2" w:space="0"/>
                              <w:bottom w:val="single" w:color="000000" w:sz="2" w:space="0"/>
                            </w:tcBorders>
                          </w:tcPr>
                          <w:p w14:paraId="57C0838D">
                            <w:pPr>
                              <w:spacing w:before="101" w:line="260" w:lineRule="atLeast"/>
                              <w:ind w:left="29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11</w:t>
                            </w:r>
                          </w:p>
                        </w:tc>
                        <w:tc>
                          <w:tcPr>
                            <w:tcW w:w="3379" w:type="pct"/>
                            <w:tcBorders>
                              <w:top w:val="single" w:color="000000" w:sz="2" w:space="0"/>
                              <w:bottom w:val="single" w:color="000000" w:sz="2" w:space="0"/>
                            </w:tcBorders>
                          </w:tcPr>
                          <w:p w14:paraId="0F838FBE">
                            <w:pPr>
                              <w:spacing w:before="35" w:line="260" w:lineRule="atLeast"/>
                              <w:ind w:left="121" w:right="628" w:hanging="2"/>
                              <w:jc w:val="both"/>
                              <w:rPr>
                                <w:rFonts w:ascii="Times New Roman" w:hAnsi="Times New Roman" w:cs="Times New Roman"/>
                                <w:sz w:val="20"/>
                                <w:szCs w:val="20"/>
                                <w:lang w:eastAsia="zh-CN"/>
                              </w:rPr>
                            </w:pPr>
                            <w:r>
                              <w:rPr>
                                <w:rFonts w:hint="eastAsia" w:ascii="Times New Roman" w:hAnsi="Times New Roman" w:eastAsia="Times New Roman" w:cs="Times New Roman"/>
                                <w:sz w:val="20"/>
                                <w:szCs w:val="20"/>
                              </w:rPr>
                              <w:t>The main type of data in this study is qualitative data.We grouped the data according to relevant surveillance protocols or demographic classifications for comparison. For example, age groups (e.g., &lt;3, 3 to 5, 6 to 10, 11 to 15, 16 to 20 and ≥21 years old) were used to compare differences in carrier rates between different age groups. These groups were chosen to ensure meaningful comparisons and to be consistent with clinical significance.</w:t>
                            </w:r>
                          </w:p>
                        </w:tc>
                        <w:tc>
                          <w:tcPr>
                            <w:tcW w:w="760" w:type="pct"/>
                            <w:tcBorders>
                              <w:top w:val="single" w:color="000000" w:sz="2" w:space="0"/>
                              <w:bottom w:val="single" w:color="000000" w:sz="2" w:space="0"/>
                            </w:tcBorders>
                          </w:tcPr>
                          <w:p w14:paraId="2B6B528C">
                            <w:pPr>
                              <w:spacing w:before="35" w:line="260" w:lineRule="atLeast"/>
                              <w:ind w:left="121" w:right="628" w:hanging="2"/>
                              <w:jc w:val="both"/>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Page4，line 133</w:t>
                            </w:r>
                          </w:p>
                        </w:tc>
                      </w:tr>
                      <w:tr w14:paraId="1E3345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nil"/>
                            </w:tcBorders>
                          </w:tcPr>
                          <w:p w14:paraId="2ACDDFA1">
                            <w:pPr>
                              <w:spacing w:before="34" w:line="260" w:lineRule="atLeast"/>
                              <w:ind w:left="13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Statistical methods</w:t>
                            </w:r>
                          </w:p>
                        </w:tc>
                        <w:tc>
                          <w:tcPr>
                            <w:tcW w:w="273" w:type="pct"/>
                            <w:tcBorders>
                              <w:top w:val="single" w:color="000000" w:sz="2" w:space="0"/>
                              <w:bottom w:val="nil"/>
                            </w:tcBorders>
                          </w:tcPr>
                          <w:p w14:paraId="3708E953">
                            <w:pPr>
                              <w:spacing w:before="100" w:line="260" w:lineRule="atLeast"/>
                              <w:ind w:left="291"/>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12</w:t>
                            </w:r>
                          </w:p>
                        </w:tc>
                        <w:tc>
                          <w:tcPr>
                            <w:tcW w:w="3379" w:type="pct"/>
                            <w:tcBorders>
                              <w:top w:val="single" w:color="000000" w:sz="2" w:space="0"/>
                              <w:bottom w:val="single" w:color="000000" w:sz="2" w:space="0"/>
                            </w:tcBorders>
                          </w:tcPr>
                          <w:p w14:paraId="6BEBD3B7">
                            <w:pPr>
                              <w:spacing w:line="260" w:lineRule="atLeast"/>
                            </w:pPr>
                            <w:r>
                              <w:rPr>
                                <w:rFonts w:hint="eastAsia" w:ascii="Times New Roman" w:hAnsi="Times New Roman" w:eastAsia="Times New Roman" w:cs="Times New Roman"/>
                                <w:sz w:val="20"/>
                                <w:szCs w:val="20"/>
                              </w:rPr>
                              <w:t xml:space="preserve">Qualitative data are expressed as frequencies (n) and percentages (%). Comparisons of the positivity rates of </w:t>
                            </w:r>
                            <w:r>
                              <w:rPr>
                                <w:rFonts w:hint="eastAsia" w:ascii="Times New Roman" w:hAnsi="Times New Roman" w:eastAsia="Times New Roman" w:cs="Times New Roman"/>
                                <w:i/>
                                <w:iCs/>
                                <w:sz w:val="20"/>
                                <w:szCs w:val="20"/>
                              </w:rPr>
                              <w:t>N. meningitidis</w:t>
                            </w:r>
                            <w:r>
                              <w:rPr>
                                <w:rFonts w:hint="eastAsia" w:ascii="Times New Roman" w:hAnsi="Times New Roman" w:eastAsia="Times New Roman" w:cs="Times New Roman"/>
                                <w:sz w:val="20"/>
                                <w:szCs w:val="20"/>
                              </w:rPr>
                              <w:t xml:space="preserve"> among different regions, sexes, age groups, years and immunization histories were performed using the χ2 test, with a p value &lt;0.05 indicating a statistically significant difference. </w:t>
                            </w:r>
                            <w:r>
                              <w:rPr>
                                <w:rFonts w:ascii="Times New Roman" w:hAnsi="Times New Roman" w:eastAsia="Times New Roman" w:cs="Times New Roman"/>
                                <w:sz w:val="20"/>
                                <w:szCs w:val="20"/>
                              </w:rPr>
                              <w:t>Regression Analysis: We conducted multiple regression analyses to examine the relationships between the dependent variable and several independent variables. This helped us identify significant predictors while controlling for potential confounders.</w:t>
                            </w:r>
                          </w:p>
                        </w:tc>
                        <w:tc>
                          <w:tcPr>
                            <w:tcW w:w="760" w:type="pct"/>
                            <w:tcBorders>
                              <w:top w:val="single" w:color="000000" w:sz="2" w:space="0"/>
                              <w:bottom w:val="single" w:color="000000" w:sz="2" w:space="0"/>
                            </w:tcBorders>
                          </w:tcPr>
                          <w:p w14:paraId="069BD4DD">
                            <w:pPr>
                              <w:spacing w:line="260" w:lineRule="atLeast"/>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Page5，lines173-180</w:t>
                            </w:r>
                          </w:p>
                        </w:tc>
                      </w:tr>
                      <w:tr w14:paraId="4B583B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4239" w:type="pct"/>
                            <w:gridSpan w:val="3"/>
                            <w:tcBorders>
                              <w:top w:val="single" w:color="000000" w:sz="2" w:space="0"/>
                              <w:bottom w:val="single" w:color="000000" w:sz="2" w:space="0"/>
                            </w:tcBorders>
                          </w:tcPr>
                          <w:p w14:paraId="775D0C7E">
                            <w:pPr>
                              <w:spacing w:line="260" w:lineRule="atLeast"/>
                              <w:ind w:left="12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Results</w:t>
                            </w:r>
                          </w:p>
                        </w:tc>
                        <w:tc>
                          <w:tcPr>
                            <w:tcW w:w="760" w:type="pct"/>
                            <w:tcBorders>
                              <w:top w:val="single" w:color="000000" w:sz="2" w:space="0"/>
                              <w:bottom w:val="single" w:color="000000" w:sz="2" w:space="0"/>
                            </w:tcBorders>
                          </w:tcPr>
                          <w:p w14:paraId="4D0CE266">
                            <w:pPr>
                              <w:spacing w:line="260" w:lineRule="atLeast"/>
                              <w:ind w:left="125"/>
                              <w:rPr>
                                <w:rFonts w:ascii="Times New Roman" w:hAnsi="Times New Roman" w:eastAsia="Times New Roman" w:cs="Times New Roman"/>
                                <w:b/>
                                <w:bCs/>
                                <w:spacing w:val="-1"/>
                                <w:sz w:val="20"/>
                                <w:szCs w:val="20"/>
                              </w:rPr>
                            </w:pPr>
                          </w:p>
                        </w:tc>
                      </w:tr>
                      <w:tr w14:paraId="374F96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586" w:type="pct"/>
                            <w:tcBorders>
                              <w:top w:val="single" w:color="000000" w:sz="2" w:space="0"/>
                              <w:bottom w:val="single" w:color="auto" w:sz="4" w:space="0"/>
                            </w:tcBorders>
                          </w:tcPr>
                          <w:p w14:paraId="05C51571">
                            <w:pPr>
                              <w:spacing w:before="110" w:line="260" w:lineRule="atLeast"/>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Participants</w:t>
                            </w:r>
                          </w:p>
                        </w:tc>
                        <w:tc>
                          <w:tcPr>
                            <w:tcW w:w="273" w:type="pct"/>
                            <w:tcBorders>
                              <w:top w:val="single" w:color="000000" w:sz="2" w:space="0"/>
                              <w:bottom w:val="single" w:color="auto" w:sz="4" w:space="0"/>
                            </w:tcBorders>
                          </w:tcPr>
                          <w:p w14:paraId="74D439EF">
                            <w:pPr>
                              <w:spacing w:before="110" w:line="260" w:lineRule="atLeast"/>
                              <w:ind w:left="24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3379" w:type="pct"/>
                            <w:tcBorders>
                              <w:top w:val="single" w:color="000000" w:sz="2" w:space="0"/>
                              <w:bottom w:val="single" w:color="auto" w:sz="4" w:space="0"/>
                            </w:tcBorders>
                          </w:tcPr>
                          <w:p w14:paraId="0CBF7446">
                            <w:pPr>
                              <w:spacing w:before="36" w:line="240" w:lineRule="atLeast"/>
                              <w:ind w:left="119"/>
                              <w:jc w:val="both"/>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 xml:space="preserve"> </w:t>
                            </w:r>
                            <w:r>
                              <w:rPr>
                                <w:rFonts w:hint="eastAsia" w:ascii="Times New Roman" w:hAnsi="Times New Roman" w:eastAsia="Times New Roman" w:cs="Times New Roman"/>
                                <w:sz w:val="20"/>
                                <w:szCs w:val="20"/>
                              </w:rPr>
                              <w:t>First, clearly describe the target population of the study, such as age, gender, region, occupation, etc. Ensure sample homogeneity and representativeness. It is emphasized that all participants participate voluntarily after fully understanding the purpose, methodology and potential risks of the study.Mention the informed consent signing process. If there are no personnel, analyze the possible impact of the reasons for not participating on the research results, such as sample bias and the universality of the conclusions. Suggest possible solutions or suggestions to mitigate these effects, such as expanding recruitment scope, improving recruitment strategies, etc.</w:t>
                            </w:r>
                          </w:p>
                        </w:tc>
                        <w:tc>
                          <w:tcPr>
                            <w:tcW w:w="760" w:type="pct"/>
                            <w:tcBorders>
                              <w:top w:val="single" w:color="000000" w:sz="2" w:space="0"/>
                              <w:bottom w:val="single" w:color="auto" w:sz="4" w:space="0"/>
                            </w:tcBorders>
                          </w:tcPr>
                          <w:p w14:paraId="4DA65299">
                            <w:pPr>
                              <w:spacing w:before="36" w:line="240" w:lineRule="atLeast"/>
                              <w:ind w:left="119"/>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Page7，lines135-136，168-171.</w:t>
                            </w:r>
                          </w:p>
                        </w:tc>
                      </w:tr>
                    </w:tbl>
                    <w:p w14:paraId="514BE576"/>
                  </w:txbxContent>
                </v:textbox>
              </v:shape>
            </w:pict>
          </mc:Fallback>
        </mc:AlternateContent>
      </w:r>
    </w:p>
    <w:p w14:paraId="2B9D3F9E">
      <w:pPr>
        <w:pStyle w:val="11"/>
        <w:spacing w:before="46" w:line="263" w:lineRule="exact"/>
        <w:ind w:left="125"/>
        <w:rPr>
          <w:spacing w:val="-1"/>
          <w:position w:val="3"/>
        </w:rPr>
      </w:pPr>
    </w:p>
    <w:p w14:paraId="4A9E522F">
      <w:pPr>
        <w:pStyle w:val="11"/>
        <w:spacing w:before="46" w:line="263" w:lineRule="exact"/>
        <w:ind w:left="125"/>
        <w:rPr>
          <w:spacing w:val="-1"/>
          <w:position w:val="3"/>
        </w:rPr>
      </w:pPr>
    </w:p>
    <w:p w14:paraId="36C3C159">
      <w:pPr>
        <w:pStyle w:val="11"/>
        <w:spacing w:before="46" w:line="263" w:lineRule="exact"/>
        <w:ind w:left="125"/>
        <w:rPr>
          <w:spacing w:val="-1"/>
          <w:position w:val="3"/>
        </w:rPr>
      </w:pPr>
    </w:p>
    <w:p w14:paraId="0EDD38DE">
      <w:pPr>
        <w:pStyle w:val="11"/>
        <w:spacing w:before="46" w:line="263" w:lineRule="exact"/>
        <w:ind w:left="125"/>
        <w:rPr>
          <w:spacing w:val="-1"/>
          <w:position w:val="3"/>
        </w:rPr>
      </w:pPr>
    </w:p>
    <w:p w14:paraId="57DB65B4">
      <w:pPr>
        <w:pStyle w:val="11"/>
        <w:spacing w:before="46" w:line="263" w:lineRule="exact"/>
        <w:ind w:left="125"/>
        <w:rPr>
          <w:spacing w:val="-1"/>
          <w:position w:val="3"/>
        </w:rPr>
      </w:pPr>
    </w:p>
    <w:p w14:paraId="16D9880E">
      <w:pPr>
        <w:pStyle w:val="11"/>
        <w:spacing w:before="46" w:line="263" w:lineRule="exact"/>
        <w:ind w:left="125"/>
        <w:rPr>
          <w:spacing w:val="-1"/>
          <w:position w:val="3"/>
        </w:rPr>
      </w:pPr>
    </w:p>
    <w:p w14:paraId="32453683">
      <w:pPr>
        <w:pStyle w:val="11"/>
        <w:spacing w:before="46" w:line="263" w:lineRule="exact"/>
        <w:ind w:left="125"/>
        <w:rPr>
          <w:spacing w:val="-1"/>
          <w:position w:val="3"/>
        </w:rPr>
      </w:pPr>
    </w:p>
    <w:p w14:paraId="244906A0">
      <w:pPr>
        <w:pStyle w:val="11"/>
        <w:spacing w:before="46" w:line="263" w:lineRule="exact"/>
        <w:ind w:left="125"/>
        <w:rPr>
          <w:spacing w:val="-1"/>
          <w:position w:val="3"/>
        </w:rPr>
      </w:pPr>
    </w:p>
    <w:p w14:paraId="208FE319">
      <w:pPr>
        <w:pStyle w:val="11"/>
        <w:spacing w:before="46" w:line="263" w:lineRule="exact"/>
        <w:ind w:left="125"/>
        <w:rPr>
          <w:spacing w:val="-1"/>
          <w:position w:val="3"/>
        </w:rPr>
      </w:pPr>
    </w:p>
    <w:p w14:paraId="4B07E7AF">
      <w:pPr>
        <w:pStyle w:val="11"/>
        <w:spacing w:before="46" w:line="263" w:lineRule="exact"/>
        <w:ind w:left="125"/>
        <w:rPr>
          <w:spacing w:val="-1"/>
          <w:position w:val="3"/>
        </w:rPr>
      </w:pPr>
    </w:p>
    <w:p w14:paraId="095007DC">
      <w:pPr>
        <w:pStyle w:val="11"/>
        <w:spacing w:before="46" w:line="263" w:lineRule="exact"/>
        <w:ind w:left="125"/>
        <w:rPr>
          <w:spacing w:val="-1"/>
          <w:position w:val="3"/>
        </w:rPr>
      </w:pPr>
    </w:p>
    <w:p w14:paraId="5E4A29E2">
      <w:pPr>
        <w:pStyle w:val="11"/>
        <w:spacing w:before="46" w:line="263" w:lineRule="exact"/>
        <w:ind w:left="125"/>
        <w:rPr>
          <w:spacing w:val="-1"/>
          <w:position w:val="3"/>
        </w:rPr>
      </w:pPr>
    </w:p>
    <w:p w14:paraId="5E35AE53">
      <w:pPr>
        <w:pStyle w:val="11"/>
        <w:spacing w:before="46" w:line="263" w:lineRule="exact"/>
        <w:ind w:left="125"/>
        <w:rPr>
          <w:spacing w:val="-1"/>
          <w:position w:val="3"/>
        </w:rPr>
      </w:pPr>
    </w:p>
    <w:p w14:paraId="4C6D7D38">
      <w:pPr>
        <w:pStyle w:val="11"/>
        <w:spacing w:before="46" w:line="263" w:lineRule="exact"/>
        <w:ind w:left="125"/>
        <w:rPr>
          <w:spacing w:val="-1"/>
          <w:position w:val="3"/>
        </w:rPr>
      </w:pPr>
    </w:p>
    <w:p w14:paraId="1F69A9BC">
      <w:pPr>
        <w:pStyle w:val="11"/>
        <w:spacing w:before="46" w:line="263" w:lineRule="exact"/>
        <w:ind w:left="125"/>
        <w:rPr>
          <w:spacing w:val="-1"/>
          <w:position w:val="3"/>
        </w:rPr>
      </w:pPr>
    </w:p>
    <w:p w14:paraId="33A1435A">
      <w:pPr>
        <w:pStyle w:val="11"/>
        <w:spacing w:before="46" w:line="263" w:lineRule="exact"/>
        <w:ind w:left="125"/>
        <w:rPr>
          <w:spacing w:val="-1"/>
          <w:position w:val="3"/>
        </w:rPr>
      </w:pPr>
    </w:p>
    <w:p w14:paraId="4CA1940F">
      <w:pPr>
        <w:pStyle w:val="11"/>
        <w:spacing w:before="46" w:line="263" w:lineRule="exact"/>
        <w:ind w:left="125"/>
        <w:rPr>
          <w:spacing w:val="-1"/>
          <w:position w:val="3"/>
        </w:rPr>
      </w:pPr>
    </w:p>
    <w:p w14:paraId="6DB9DE69">
      <w:pPr>
        <w:pStyle w:val="11"/>
        <w:spacing w:before="46" w:line="263" w:lineRule="exact"/>
        <w:ind w:left="125"/>
        <w:rPr>
          <w:spacing w:val="-1"/>
          <w:position w:val="3"/>
        </w:rPr>
      </w:pPr>
    </w:p>
    <w:p w14:paraId="0E964F9E">
      <w:pPr>
        <w:pStyle w:val="11"/>
        <w:spacing w:before="46" w:line="263" w:lineRule="exact"/>
        <w:ind w:left="125"/>
        <w:rPr>
          <w:spacing w:val="-1"/>
          <w:position w:val="3"/>
        </w:rPr>
      </w:pPr>
    </w:p>
    <w:p w14:paraId="37792269">
      <w:pPr>
        <w:pStyle w:val="11"/>
        <w:spacing w:before="46" w:line="263" w:lineRule="exact"/>
        <w:ind w:left="125"/>
        <w:rPr>
          <w:spacing w:val="-1"/>
          <w:position w:val="3"/>
        </w:rPr>
      </w:pPr>
    </w:p>
    <w:p w14:paraId="3D29F0F5">
      <w:pPr>
        <w:pStyle w:val="11"/>
        <w:spacing w:before="46" w:line="263" w:lineRule="exact"/>
        <w:ind w:left="125"/>
        <w:rPr>
          <w:spacing w:val="-1"/>
          <w:position w:val="3"/>
        </w:rPr>
      </w:pPr>
    </w:p>
    <w:p w14:paraId="0D0DC68A">
      <w:pPr>
        <w:pStyle w:val="11"/>
        <w:spacing w:before="46" w:line="263" w:lineRule="exact"/>
        <w:ind w:left="125"/>
        <w:rPr>
          <w:spacing w:val="-1"/>
          <w:position w:val="3"/>
        </w:rPr>
      </w:pPr>
    </w:p>
    <w:p w14:paraId="6486664F">
      <w:pPr>
        <w:pStyle w:val="11"/>
        <w:spacing w:before="46" w:line="263" w:lineRule="exact"/>
        <w:ind w:left="125"/>
        <w:rPr>
          <w:spacing w:val="-1"/>
          <w:position w:val="3"/>
        </w:rPr>
      </w:pPr>
    </w:p>
    <w:p w14:paraId="130FDE29">
      <w:pPr>
        <w:pStyle w:val="11"/>
        <w:spacing w:before="46" w:line="263" w:lineRule="exact"/>
        <w:ind w:left="125"/>
        <w:rPr>
          <w:spacing w:val="-1"/>
          <w:position w:val="3"/>
        </w:rPr>
      </w:pPr>
    </w:p>
    <w:p w14:paraId="62CA8F3A">
      <w:pPr>
        <w:pStyle w:val="11"/>
        <w:spacing w:before="46" w:line="263" w:lineRule="exact"/>
        <w:ind w:left="125"/>
        <w:rPr>
          <w:spacing w:val="-1"/>
          <w:position w:val="3"/>
        </w:rPr>
      </w:pPr>
    </w:p>
    <w:p w14:paraId="0FE59717">
      <w:pPr>
        <w:pStyle w:val="11"/>
        <w:spacing w:before="46" w:line="263" w:lineRule="exact"/>
        <w:ind w:left="125"/>
        <w:rPr>
          <w:spacing w:val="-1"/>
          <w:position w:val="3"/>
        </w:rPr>
      </w:pPr>
    </w:p>
    <w:p w14:paraId="75E1F9DC">
      <w:pPr>
        <w:pStyle w:val="11"/>
        <w:spacing w:before="46" w:line="263" w:lineRule="exact"/>
        <w:ind w:left="125"/>
        <w:rPr>
          <w:spacing w:val="-1"/>
          <w:position w:val="3"/>
        </w:rPr>
      </w:pPr>
    </w:p>
    <w:p w14:paraId="793B6913">
      <w:pPr>
        <w:pStyle w:val="11"/>
        <w:spacing w:before="46" w:line="263" w:lineRule="exact"/>
        <w:ind w:left="125"/>
        <w:rPr>
          <w:spacing w:val="-1"/>
          <w:position w:val="3"/>
        </w:rPr>
      </w:pPr>
    </w:p>
    <w:p w14:paraId="773AFD5A">
      <w:pPr>
        <w:pStyle w:val="11"/>
        <w:spacing w:before="46" w:line="263" w:lineRule="exact"/>
        <w:ind w:left="125"/>
        <w:rPr>
          <w:spacing w:val="-1"/>
          <w:position w:val="3"/>
        </w:rPr>
      </w:pPr>
    </w:p>
    <w:p w14:paraId="2D1664DA">
      <w:pPr>
        <w:pStyle w:val="11"/>
        <w:spacing w:before="46" w:line="263" w:lineRule="exact"/>
        <w:ind w:left="125"/>
        <w:rPr>
          <w:spacing w:val="-1"/>
          <w:position w:val="3"/>
        </w:rPr>
      </w:pPr>
    </w:p>
    <w:p w14:paraId="4F27BC1D">
      <w:pPr>
        <w:pStyle w:val="11"/>
        <w:spacing w:before="46" w:line="263" w:lineRule="exact"/>
        <w:ind w:left="125"/>
        <w:rPr>
          <w:spacing w:val="-1"/>
          <w:position w:val="3"/>
        </w:rPr>
      </w:pPr>
    </w:p>
    <w:p w14:paraId="426871DD">
      <w:pPr>
        <w:pStyle w:val="11"/>
        <w:spacing w:before="46" w:line="263" w:lineRule="exact"/>
        <w:ind w:left="125"/>
        <w:rPr>
          <w:spacing w:val="-1"/>
          <w:position w:val="3"/>
        </w:rPr>
      </w:pPr>
    </w:p>
    <w:p w14:paraId="3BE4F025">
      <w:pPr>
        <w:pStyle w:val="11"/>
        <w:spacing w:before="46" w:line="263" w:lineRule="exact"/>
        <w:ind w:left="125"/>
        <w:rPr>
          <w:spacing w:val="-1"/>
          <w:position w:val="3"/>
        </w:rPr>
      </w:pPr>
    </w:p>
    <w:p w14:paraId="58DD9282">
      <w:pPr>
        <w:pStyle w:val="11"/>
        <w:spacing w:before="46" w:line="263" w:lineRule="exact"/>
        <w:ind w:left="125"/>
        <w:rPr>
          <w:spacing w:val="-1"/>
          <w:position w:val="3"/>
        </w:rPr>
      </w:pPr>
    </w:p>
    <w:p w14:paraId="474A619D">
      <w:pPr>
        <w:pStyle w:val="11"/>
        <w:spacing w:before="46" w:line="263" w:lineRule="exact"/>
        <w:ind w:left="125"/>
        <w:rPr>
          <w:spacing w:val="-1"/>
          <w:position w:val="3"/>
        </w:rPr>
      </w:pPr>
    </w:p>
    <w:p w14:paraId="0B8F9C74">
      <w:pPr>
        <w:pStyle w:val="11"/>
        <w:spacing w:before="46" w:line="263" w:lineRule="exact"/>
        <w:ind w:left="125"/>
        <w:rPr>
          <w:spacing w:val="-1"/>
          <w:position w:val="3"/>
        </w:rPr>
      </w:pPr>
    </w:p>
    <w:p w14:paraId="1F71CE82">
      <w:pPr>
        <w:pStyle w:val="11"/>
        <w:spacing w:before="46" w:line="263" w:lineRule="exact"/>
        <w:ind w:left="125"/>
        <w:rPr>
          <w:spacing w:val="-1"/>
          <w:position w:val="3"/>
        </w:rPr>
      </w:pPr>
    </w:p>
    <w:p w14:paraId="6C0C05D3">
      <w:pPr>
        <w:pStyle w:val="11"/>
        <w:spacing w:before="46" w:line="263" w:lineRule="exact"/>
        <w:ind w:left="125"/>
        <w:rPr>
          <w:spacing w:val="-1"/>
          <w:position w:val="3"/>
        </w:rPr>
      </w:pPr>
    </w:p>
    <w:p w14:paraId="24485D20">
      <w:pPr>
        <w:pStyle w:val="11"/>
        <w:spacing w:before="46" w:line="263" w:lineRule="exact"/>
        <w:ind w:left="125"/>
        <w:rPr>
          <w:spacing w:val="-1"/>
          <w:position w:val="3"/>
        </w:rPr>
      </w:pPr>
    </w:p>
    <w:p w14:paraId="072956A4">
      <w:pPr>
        <w:pStyle w:val="11"/>
        <w:spacing w:before="46" w:line="263" w:lineRule="exact"/>
        <w:ind w:left="125"/>
        <w:rPr>
          <w:spacing w:val="-1"/>
          <w:position w:val="3"/>
        </w:rPr>
      </w:pPr>
    </w:p>
    <w:p w14:paraId="57ED8607">
      <w:pPr>
        <w:pStyle w:val="11"/>
        <w:spacing w:before="46" w:line="263" w:lineRule="exact"/>
        <w:ind w:left="125"/>
        <w:rPr>
          <w:spacing w:val="-1"/>
          <w:position w:val="3"/>
        </w:rPr>
      </w:pPr>
    </w:p>
    <w:p w14:paraId="4E3B9A13">
      <w:pPr>
        <w:pStyle w:val="11"/>
        <w:spacing w:before="46" w:line="263" w:lineRule="exact"/>
        <w:ind w:left="125"/>
        <w:rPr>
          <w:spacing w:val="-1"/>
          <w:position w:val="3"/>
        </w:rPr>
      </w:pPr>
    </w:p>
    <w:p w14:paraId="5F92BB71">
      <w:pPr>
        <w:pStyle w:val="11"/>
        <w:spacing w:before="46" w:line="263" w:lineRule="exact"/>
        <w:ind w:left="125"/>
        <w:rPr>
          <w:spacing w:val="-1"/>
          <w:position w:val="3"/>
        </w:rPr>
      </w:pPr>
    </w:p>
    <w:p w14:paraId="1B2DD783">
      <w:pPr>
        <w:pStyle w:val="11"/>
        <w:spacing w:before="46" w:line="263" w:lineRule="exact"/>
        <w:ind w:left="125"/>
        <w:rPr>
          <w:spacing w:val="-1"/>
          <w:position w:val="3"/>
        </w:rPr>
      </w:pPr>
    </w:p>
    <w:p w14:paraId="48B180ED">
      <w:pPr>
        <w:pStyle w:val="11"/>
        <w:spacing w:before="46" w:line="263" w:lineRule="exact"/>
        <w:ind w:left="125"/>
        <w:rPr>
          <w:spacing w:val="-1"/>
          <w:position w:val="3"/>
        </w:rPr>
      </w:pPr>
    </w:p>
    <w:p w14:paraId="5CABD0BF">
      <w:pPr>
        <w:pStyle w:val="11"/>
        <w:spacing w:before="46" w:line="263" w:lineRule="exact"/>
        <w:ind w:left="125"/>
        <w:rPr>
          <w:spacing w:val="-1"/>
          <w:position w:val="3"/>
        </w:rPr>
      </w:pPr>
    </w:p>
    <w:p w14:paraId="4674289F">
      <w:pPr>
        <w:pStyle w:val="11"/>
        <w:spacing w:before="46" w:line="263" w:lineRule="exact"/>
        <w:ind w:left="125"/>
        <w:rPr>
          <w:spacing w:val="-1"/>
          <w:position w:val="3"/>
        </w:rPr>
      </w:pPr>
    </w:p>
    <w:p w14:paraId="5344ED9A">
      <w:pPr>
        <w:pStyle w:val="2"/>
        <w:spacing w:before="58" w:line="263" w:lineRule="exact"/>
        <w:ind w:left="136"/>
        <w:rPr>
          <w:position w:val="3"/>
        </w:rPr>
      </w:pPr>
      <w:bookmarkStart w:id="2" w:name="_GoBack"/>
      <w:bookmarkEnd w:id="2"/>
      <w: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74930</wp:posOffset>
                </wp:positionV>
                <wp:extent cx="6134100" cy="9479280"/>
                <wp:effectExtent l="4445" t="4445" r="18415" b="10795"/>
                <wp:wrapNone/>
                <wp:docPr id="5" name="文本框 5"/>
                <wp:cNvGraphicFramePr/>
                <a:graphic xmlns:a="http://schemas.openxmlformats.org/drawingml/2006/main">
                  <a:graphicData uri="http://schemas.microsoft.com/office/word/2010/wordprocessingShape">
                    <wps:wsp>
                      <wps:cNvSpPr txBox="1"/>
                      <wps:spPr>
                        <a:xfrm>
                          <a:off x="697230" y="795020"/>
                          <a:ext cx="6134100" cy="94792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tbl>
                            <w:tblPr>
                              <w:tblStyle w:val="10"/>
                              <w:tblW w:w="5050"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1180"/>
                              <w:gridCol w:w="216"/>
                              <w:gridCol w:w="303"/>
                              <w:gridCol w:w="6880"/>
                              <w:gridCol w:w="877"/>
                            </w:tblGrid>
                            <w:tr w14:paraId="2DCB63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nil"/>
                                  </w:tcBorders>
                                </w:tcPr>
                                <w:p w14:paraId="376FEB66">
                                  <w:pPr>
                                    <w:spacing w:before="46" w:line="263"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Descriptive data</w:t>
                                  </w:r>
                                </w:p>
                              </w:tc>
                              <w:tc>
                                <w:tcPr>
                                  <w:tcW w:w="274" w:type="pct"/>
                                  <w:gridSpan w:val="2"/>
                                  <w:tcBorders>
                                    <w:top w:val="single" w:color="000000" w:sz="2" w:space="0"/>
                                    <w:bottom w:val="nil"/>
                                  </w:tcBorders>
                                </w:tcPr>
                                <w:p w14:paraId="5BA67022">
                                  <w:pPr>
                                    <w:spacing w:before="109" w:line="190"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3662" w:type="pct"/>
                                  <w:tcBorders>
                                    <w:top w:val="single" w:color="000000" w:sz="2" w:space="0"/>
                                    <w:bottom w:val="single" w:color="000000" w:sz="2" w:space="0"/>
                                  </w:tcBorders>
                                </w:tcPr>
                                <w:p w14:paraId="1B28BE84">
                                  <w:pPr>
                                    <w:spacing w:beforeAutospacing="1" w:afterAutospacing="1"/>
                                    <w:ind w:firstLine="200" w:firstLineChars="100"/>
                                  </w:pPr>
                                  <w:r>
                                    <w:rPr>
                                      <w:rFonts w:hint="eastAsia" w:ascii="Times New Roman" w:hAnsi="Times New Roman" w:eastAsia="Times New Roman" w:cs="Times New Roman"/>
                                      <w:sz w:val="20"/>
                                      <w:szCs w:val="20"/>
                                    </w:rPr>
                                    <w:t>Age group</w:t>
                                  </w:r>
                                  <w:r>
                                    <w:rPr>
                                      <w:rFonts w:hint="eastAsia" w:ascii="Times New Roman" w:hAnsi="Times New Roman" w:eastAsia="Times New Roman" w:cs="Times New Roman"/>
                                      <w:sz w:val="20"/>
                                      <w:szCs w:val="20"/>
                                      <w:lang w:eastAsia="zh-CN"/>
                                    </w:rPr>
                                    <w:t>, Gender, Years, Region, Vaccination history</w:t>
                                  </w:r>
                                </w:p>
                              </w:tc>
                              <w:tc>
                                <w:tcPr>
                                  <w:tcW w:w="422" w:type="pct"/>
                                  <w:tcBorders>
                                    <w:top w:val="single" w:color="000000" w:sz="2" w:space="0"/>
                                    <w:bottom w:val="single" w:color="000000" w:sz="2" w:space="0"/>
                                  </w:tcBorders>
                                </w:tcPr>
                                <w:p w14:paraId="13A9F9DC">
                                  <w:pPr>
                                    <w:spacing w:beforeAutospacing="1" w:afterAutospacing="1"/>
                                    <w:ind w:firstLine="200" w:firstLineChars="10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Table 1</w:t>
                                  </w:r>
                                </w:p>
                              </w:tc>
                            </w:tr>
                            <w:tr w14:paraId="74F5A4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single" w:color="000000" w:sz="2" w:space="0"/>
                                  </w:tcBorders>
                                </w:tcPr>
                                <w:p w14:paraId="75C01B33">
                                  <w:pPr>
                                    <w:spacing w:before="45" w:line="250"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Outcome data</w:t>
                                  </w:r>
                                </w:p>
                              </w:tc>
                              <w:tc>
                                <w:tcPr>
                                  <w:tcW w:w="274" w:type="pct"/>
                                  <w:gridSpan w:val="2"/>
                                  <w:tcBorders>
                                    <w:top w:val="single" w:color="000000" w:sz="2" w:space="0"/>
                                    <w:bottom w:val="single" w:color="000000" w:sz="2" w:space="0"/>
                                  </w:tcBorders>
                                </w:tcPr>
                                <w:p w14:paraId="65E07154">
                                  <w:pPr>
                                    <w:spacing w:before="108" w:line="190"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3662" w:type="pct"/>
                                  <w:tcBorders>
                                    <w:top w:val="single" w:color="000000" w:sz="2" w:space="0"/>
                                    <w:bottom w:val="single" w:color="000000" w:sz="2" w:space="0"/>
                                  </w:tcBorders>
                                </w:tcPr>
                                <w:p w14:paraId="6E68A2D1">
                                  <w:pPr>
                                    <w:spacing w:before="45" w:line="230" w:lineRule="exact"/>
                                    <w:ind w:left="118"/>
                                    <w:jc w:val="both"/>
                                    <w:rPr>
                                      <w:rFonts w:ascii="Times New Roman" w:hAnsi="Times New Roman" w:eastAsia="Times New Roman" w:cs="Times New Roman"/>
                                      <w:sz w:val="20"/>
                                      <w:szCs w:val="20"/>
                                    </w:rPr>
                                  </w:pPr>
                                  <w:r>
                                    <w:rPr>
                                      <w:rFonts w:hint="eastAsia" w:ascii="Times New Roman" w:hAnsi="Times New Roman" w:eastAsia="Times New Roman" w:cs="Times New Roman"/>
                                      <w:position w:val="3"/>
                                      <w:sz w:val="20"/>
                                      <w:szCs w:val="20"/>
                                    </w:rPr>
                                    <w:t>A total of 3075 people were investigated, including 402 under 3 years old, 366 between 3 and 5 years old, 509 between 6 and 10 years old, 659 between 11 and 15 years old, 544 aged 16.20 years old and 595 aged ≥21 years old. There were 144 men and 1,609 women. 513 people were surveyed in 2016, 664 in 2018, 702 in 2019, 506 in 2022 and 690 in 2023. A total of 1,574 people were surveyed in southern Xinjiang and 1,501 in northern Xinjiang.</w:t>
                                  </w:r>
                                  <w:r>
                                    <w:rPr>
                                      <w:rFonts w:ascii="Times New Roman" w:hAnsi="Times New Roman" w:eastAsia="Times New Roman" w:cs="Times New Roman"/>
                                      <w:position w:val="3"/>
                                      <w:sz w:val="20"/>
                                      <w:szCs w:val="20"/>
                                      <w:lang w:eastAsia="zh-CN"/>
                                    </w:rPr>
                                    <w:t>A total of 3,075 throat swab specimens were collected from healthy people, and 411 N. meningitidis strains were detected, for an overall carriage rate of 13.37%. The most numerous group was group B, with 168 strains, more than one-third of the total number of strains. This was followed by 158 strains from the nongenogroup and 44 strains from group C, with proportions of 38.44% and 10.71%, respectively.</w:t>
                                  </w:r>
                                </w:p>
                              </w:tc>
                              <w:tc>
                                <w:tcPr>
                                  <w:tcW w:w="422" w:type="pct"/>
                                  <w:tcBorders>
                                    <w:top w:val="single" w:color="000000" w:sz="2" w:space="0"/>
                                    <w:bottom w:val="single" w:color="000000" w:sz="2" w:space="0"/>
                                  </w:tcBorders>
                                </w:tcPr>
                                <w:p w14:paraId="7F9F8C88">
                                  <w:pPr>
                                    <w:spacing w:before="45" w:line="230" w:lineRule="exact"/>
                                    <w:ind w:left="118"/>
                                    <w:rPr>
                                      <w:rFonts w:hint="eastAsia" w:ascii="Times New Roman" w:hAnsi="Times New Roman" w:eastAsia="Times New Roman" w:cs="Times New Roman"/>
                                      <w:position w:val="3"/>
                                      <w:sz w:val="20"/>
                                      <w:szCs w:val="20"/>
                                    </w:rPr>
                                  </w:pPr>
                                  <w:r>
                                    <w:rPr>
                                      <w:rFonts w:hint="eastAsia" w:ascii="Times New Roman" w:hAnsi="Times New Roman" w:eastAsia="宋体" w:cs="Times New Roman"/>
                                      <w:sz w:val="20"/>
                                      <w:szCs w:val="20"/>
                                      <w:lang w:val="en-US" w:eastAsia="zh-CN"/>
                                    </w:rPr>
                                    <w:t>Page7，lines234-259</w:t>
                                  </w:r>
                                </w:p>
                              </w:tc>
                            </w:tr>
                            <w:tr w14:paraId="2AA9F8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nil"/>
                                  </w:tcBorders>
                                </w:tcPr>
                                <w:p w14:paraId="273A2B81">
                                  <w:pPr>
                                    <w:spacing w:before="45" w:line="263"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Main results</w:t>
                                  </w:r>
                                </w:p>
                              </w:tc>
                              <w:tc>
                                <w:tcPr>
                                  <w:tcW w:w="274" w:type="pct"/>
                                  <w:gridSpan w:val="2"/>
                                  <w:tcBorders>
                                    <w:top w:val="single" w:color="000000" w:sz="2" w:space="0"/>
                                    <w:bottom w:val="nil"/>
                                  </w:tcBorders>
                                </w:tcPr>
                                <w:p w14:paraId="7DA3BB44">
                                  <w:pPr>
                                    <w:spacing w:before="111" w:line="186"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3662" w:type="pct"/>
                                  <w:tcBorders>
                                    <w:top w:val="single" w:color="000000" w:sz="2" w:space="0"/>
                                    <w:bottom w:val="single" w:color="000000" w:sz="2" w:space="0"/>
                                  </w:tcBorders>
                                </w:tcPr>
                                <w:p w14:paraId="0D5423E1">
                                  <w:pPr>
                                    <w:spacing w:line="230" w:lineRule="exact"/>
                                    <w:jc w:val="both"/>
                                  </w:pPr>
                                  <w:r>
                                    <w:rPr>
                                      <w:rFonts w:hint="eastAsia" w:ascii="Times New Roman" w:hAnsi="Times New Roman" w:eastAsia="Times New Roman" w:cs="Times New Roman"/>
                                      <w:position w:val="3"/>
                                      <w:sz w:val="20"/>
                                      <w:szCs w:val="20"/>
                                    </w:rPr>
                                    <w:t xml:space="preserve">From 2004 to 2023, 1,100 cases of invasive meningococcal disease (IMD) were reported in Xinjiang, with the annual incidence rate fluctuating between 0.00/100,000 and 1.15/100,000 per year. The peak incidence occurred from February to May. The incidence was primarily concentrated in individuals under 20 years old (80.36%). A total of 3,075 pharyngeal swabs were investigated, of which 411 (13.37%) contained </w:t>
                                  </w:r>
                                  <w:r>
                                    <w:rPr>
                                      <w:rFonts w:hint="eastAsia" w:ascii="Times New Roman" w:hAnsi="Times New Roman" w:eastAsia="Times New Roman" w:cs="Times New Roman"/>
                                      <w:i/>
                                      <w:iCs/>
                                      <w:position w:val="3"/>
                                      <w:sz w:val="20"/>
                                      <w:szCs w:val="20"/>
                                    </w:rPr>
                                    <w:t>N. meningitidis</w:t>
                                  </w:r>
                                  <w:r>
                                    <w:rPr>
                                      <w:rFonts w:hint="eastAsia" w:ascii="Times New Roman" w:hAnsi="Times New Roman" w:eastAsia="Times New Roman" w:cs="Times New Roman"/>
                                      <w:position w:val="3"/>
                                      <w:sz w:val="20"/>
                                      <w:szCs w:val="20"/>
                                    </w:rPr>
                                    <w:t xml:space="preserve"> strains. Among these, 168 (40.88%) strains belonged to group B, which was the most abundant group. Binomial multivariate logistic regression analyses revealed that age, sex, year, region, and vaccination history were risk factors affecting the </w:t>
                                  </w:r>
                                  <w:r>
                                    <w:rPr>
                                      <w:rFonts w:hint="eastAsia" w:ascii="Times New Roman" w:hAnsi="Times New Roman" w:eastAsia="Times New Roman" w:cs="Times New Roman"/>
                                      <w:i/>
                                      <w:iCs/>
                                      <w:position w:val="3"/>
                                      <w:sz w:val="20"/>
                                      <w:szCs w:val="20"/>
                                    </w:rPr>
                                    <w:t>N. meningitidis</w:t>
                                  </w:r>
                                  <w:r>
                                    <w:rPr>
                                      <w:rFonts w:hint="eastAsia" w:ascii="Times New Roman" w:hAnsi="Times New Roman" w:eastAsia="Times New Roman" w:cs="Times New Roman"/>
                                      <w:position w:val="3"/>
                                      <w:sz w:val="20"/>
                                      <w:szCs w:val="20"/>
                                    </w:rPr>
                                    <w:t xml:space="preserve"> carriage rate (P &lt; 0.05).</w:t>
                                  </w:r>
                                </w:p>
                              </w:tc>
                              <w:tc>
                                <w:tcPr>
                                  <w:tcW w:w="422" w:type="pct"/>
                                  <w:tcBorders>
                                    <w:top w:val="single" w:color="000000" w:sz="2" w:space="0"/>
                                    <w:bottom w:val="single" w:color="000000" w:sz="2" w:space="0"/>
                                  </w:tcBorders>
                                </w:tcPr>
                                <w:p w14:paraId="09DDA7D7">
                                  <w:pPr>
                                    <w:spacing w:line="230" w:lineRule="exact"/>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Page2，lines37-35</w:t>
                                  </w:r>
                                </w:p>
                              </w:tc>
                            </w:tr>
                            <w:tr w14:paraId="023D09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single" w:color="000000" w:sz="2" w:space="0"/>
                                  </w:tcBorders>
                                </w:tcPr>
                                <w:p w14:paraId="6B2B0966">
                                  <w:pPr>
                                    <w:spacing w:before="44" w:line="263"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Other analyses</w:t>
                                  </w:r>
                                </w:p>
                              </w:tc>
                              <w:tc>
                                <w:tcPr>
                                  <w:tcW w:w="274" w:type="pct"/>
                                  <w:gridSpan w:val="2"/>
                                  <w:tcBorders>
                                    <w:top w:val="single" w:color="000000" w:sz="2" w:space="0"/>
                                    <w:bottom w:val="single" w:color="000000" w:sz="2" w:space="0"/>
                                  </w:tcBorders>
                                </w:tcPr>
                                <w:p w14:paraId="6D148C9B">
                                  <w:pPr>
                                    <w:spacing w:before="110" w:line="186"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3662" w:type="pct"/>
                                  <w:tcBorders>
                                    <w:top w:val="single" w:color="000000" w:sz="2" w:space="0"/>
                                    <w:bottom w:val="single" w:color="000000" w:sz="2" w:space="0"/>
                                  </w:tcBorders>
                                </w:tcPr>
                                <w:p w14:paraId="48630E91">
                                  <w:pPr>
                                    <w:spacing w:before="43" w:line="230" w:lineRule="exact"/>
                                    <w:ind w:left="124" w:right="828" w:hanging="6"/>
                                    <w:rPr>
                                      <w:rFonts w:ascii="Times New Roman" w:hAnsi="Times New Roman" w:eastAsia="Times New Roman" w:cs="Times New Roman"/>
                                      <w:sz w:val="20"/>
                                      <w:szCs w:val="20"/>
                                    </w:rPr>
                                  </w:pPr>
                                </w:p>
                              </w:tc>
                              <w:tc>
                                <w:tcPr>
                                  <w:tcW w:w="422" w:type="pct"/>
                                  <w:tcBorders>
                                    <w:top w:val="single" w:color="000000" w:sz="2" w:space="0"/>
                                    <w:bottom w:val="single" w:color="000000" w:sz="2" w:space="0"/>
                                  </w:tcBorders>
                                </w:tcPr>
                                <w:p w14:paraId="4BCB34D3">
                                  <w:pPr>
                                    <w:spacing w:before="43" w:line="230" w:lineRule="exact"/>
                                    <w:ind w:left="124" w:right="828" w:hanging="6"/>
                                    <w:rPr>
                                      <w:rFonts w:ascii="Times New Roman" w:hAnsi="Times New Roman" w:eastAsia="Times New Roman" w:cs="Times New Roman"/>
                                      <w:sz w:val="20"/>
                                      <w:szCs w:val="20"/>
                                    </w:rPr>
                                  </w:pPr>
                                </w:p>
                              </w:tc>
                            </w:tr>
                            <w:tr w14:paraId="36B331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4577" w:type="pct"/>
                                  <w:gridSpan w:val="4"/>
                                  <w:tcBorders>
                                    <w:top w:val="single" w:color="000000" w:sz="2" w:space="0"/>
                                    <w:bottom w:val="single" w:color="000000" w:sz="2" w:space="0"/>
                                  </w:tcBorders>
                                </w:tcPr>
                                <w:p w14:paraId="6C59388E">
                                  <w:pPr>
                                    <w:spacing w:before="174" w:line="230" w:lineRule="exact"/>
                                    <w:ind w:left="12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Discussion</w:t>
                                  </w:r>
                                </w:p>
                              </w:tc>
                              <w:tc>
                                <w:tcPr>
                                  <w:tcW w:w="422" w:type="pct"/>
                                  <w:tcBorders>
                                    <w:top w:val="single" w:color="000000" w:sz="2" w:space="0"/>
                                    <w:bottom w:val="single" w:color="000000" w:sz="2" w:space="0"/>
                                  </w:tcBorders>
                                </w:tcPr>
                                <w:p w14:paraId="68154121">
                                  <w:pPr>
                                    <w:spacing w:before="174" w:line="230" w:lineRule="exact"/>
                                    <w:ind w:left="125"/>
                                    <w:rPr>
                                      <w:rFonts w:ascii="Times New Roman" w:hAnsi="Times New Roman" w:eastAsia="Times New Roman" w:cs="Times New Roman"/>
                                      <w:b/>
                                      <w:bCs/>
                                      <w:spacing w:val="-1"/>
                                      <w:sz w:val="20"/>
                                      <w:szCs w:val="20"/>
                                    </w:rPr>
                                  </w:pPr>
                                </w:p>
                              </w:tc>
                            </w:tr>
                            <w:tr w14:paraId="587B7BD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4" w:hRule="atLeast"/>
                              </w:trPr>
                              <w:tc>
                                <w:tcPr>
                                  <w:tcW w:w="753" w:type="pct"/>
                                  <w:gridSpan w:val="2"/>
                                  <w:tcBorders>
                                    <w:top w:val="single" w:color="000000" w:sz="2" w:space="0"/>
                                    <w:bottom w:val="single" w:color="000000" w:sz="2" w:space="0"/>
                                  </w:tcBorders>
                                </w:tcPr>
                                <w:p w14:paraId="27AE1D51">
                                  <w:pPr>
                                    <w:spacing w:before="38" w:line="256"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Key results</w:t>
                                  </w:r>
                                </w:p>
                              </w:tc>
                              <w:tc>
                                <w:tcPr>
                                  <w:tcW w:w="160" w:type="pct"/>
                                  <w:tcBorders>
                                    <w:top w:val="single" w:color="000000" w:sz="2" w:space="0"/>
                                    <w:bottom w:val="single" w:color="000000" w:sz="2" w:space="0"/>
                                  </w:tcBorders>
                                </w:tcPr>
                                <w:p w14:paraId="5DA76D3D">
                                  <w:pPr>
                                    <w:spacing w:before="105" w:line="186" w:lineRule="auto"/>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3662" w:type="pct"/>
                                  <w:tcBorders>
                                    <w:top w:val="single" w:color="000000" w:sz="2" w:space="0"/>
                                    <w:bottom w:val="single" w:color="000000" w:sz="2" w:space="0"/>
                                  </w:tcBorders>
                                </w:tcPr>
                                <w:p w14:paraId="7B169B91">
                                  <w:pPr>
                                    <w:spacing w:line="230" w:lineRule="exact"/>
                                    <w:jc w:val="both"/>
                                  </w:pPr>
                                  <w:r>
                                    <w:rPr>
                                      <w:rFonts w:hint="eastAsia" w:ascii="Times New Roman" w:hAnsi="Times New Roman" w:eastAsia="Times New Roman" w:cs="Times New Roman"/>
                                      <w:sz w:val="20"/>
                                      <w:szCs w:val="20"/>
                                    </w:rPr>
                                    <w:t>Longitudinal surveillance (2004-2023) revealed a significant decline in IMD incidence across Xinjiang, transitioning from cyclical epidemic patterns to sustained hypoendemic transmission. Notwithstanding declining IMD incidence, N. meningitidis carriage persisted at elevated levels, with multilevel logistic regression identifying key determinants of regional heterogeneity. We recommend expanding the surveillance network for IMD and conducting annual population-based surveys of N. meningitidis carriage during early IMD outbreaks. This dual approach will enhance predictive capability for regional IMD trends, enabling timely adjustments to prevention and control strategies—ultimately strengthening evidence-based IMD management in Xinjiang.</w:t>
                                  </w:r>
                                </w:p>
                              </w:tc>
                              <w:tc>
                                <w:tcPr>
                                  <w:tcW w:w="422" w:type="pct"/>
                                  <w:tcBorders>
                                    <w:top w:val="single" w:color="000000" w:sz="2" w:space="0"/>
                                    <w:bottom w:val="single" w:color="000000" w:sz="2" w:space="0"/>
                                  </w:tcBorders>
                                </w:tcPr>
                                <w:p w14:paraId="5DAFEDB3">
                                  <w:pPr>
                                    <w:spacing w:line="230" w:lineRule="exact"/>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Page11，lines424-432</w:t>
                                  </w:r>
                                </w:p>
                              </w:tc>
                            </w:tr>
                            <w:tr w14:paraId="5FBF92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5" w:hRule="atLeast"/>
                              </w:trPr>
                              <w:tc>
                                <w:tcPr>
                                  <w:tcW w:w="753" w:type="pct"/>
                                  <w:gridSpan w:val="2"/>
                                  <w:tcBorders>
                                    <w:top w:val="single" w:color="000000" w:sz="2" w:space="0"/>
                                    <w:bottom w:val="single" w:color="000000" w:sz="2" w:space="0"/>
                                  </w:tcBorders>
                                </w:tcPr>
                                <w:p w14:paraId="21C82AD7">
                                  <w:pPr>
                                    <w:spacing w:before="102" w:line="190"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Limitations</w:t>
                                  </w:r>
                                </w:p>
                              </w:tc>
                              <w:tc>
                                <w:tcPr>
                                  <w:tcW w:w="160" w:type="pct"/>
                                  <w:tcBorders>
                                    <w:top w:val="single" w:color="000000" w:sz="2" w:space="0"/>
                                    <w:bottom w:val="single" w:color="000000" w:sz="2" w:space="0"/>
                                  </w:tcBorders>
                                </w:tcPr>
                                <w:p w14:paraId="1720511A">
                                  <w:pPr>
                                    <w:spacing w:before="106" w:line="186" w:lineRule="auto"/>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3662" w:type="pct"/>
                                  <w:tcBorders>
                                    <w:top w:val="single" w:color="000000" w:sz="2" w:space="0"/>
                                    <w:bottom w:val="single" w:color="000000" w:sz="2" w:space="0"/>
                                  </w:tcBorders>
                                </w:tcPr>
                                <w:p w14:paraId="4DD40180">
                                  <w:pPr>
                                    <w:spacing w:line="230" w:lineRule="exact"/>
                                    <w:jc w:val="both"/>
                                  </w:pPr>
                                  <w:r>
                                    <w:rPr>
                                      <w:rFonts w:hint="eastAsia" w:ascii="Times New Roman" w:hAnsi="Times New Roman" w:eastAsia="Times New Roman" w:cs="Times New Roman"/>
                                      <w:sz w:val="20"/>
                                      <w:szCs w:val="20"/>
                                    </w:rPr>
                                    <w:t>This study analyzed 20-year incidence data (2004–2023) of IMD cases in Xinjiang, derived from the China Disease Prevention and Control Information System. Data were aggregated from prefecture- and city-level CDCs and medical institutions across Xinjiang. A key limitation was that serogroup distribution data were not systematically collected by the reporting system, as case strains were not submitted to our laboratory for testing, and the system lacked predefined fields for serogroup information. Consequently, complete serogroup-specific data were unavailable, hampering a comprehensive analysis of the 20-year dataset and precluding a detailed assessment of serogroup trends over time.</w:t>
                                  </w:r>
                                </w:p>
                              </w:tc>
                              <w:tc>
                                <w:tcPr>
                                  <w:tcW w:w="422" w:type="pct"/>
                                  <w:tcBorders>
                                    <w:top w:val="single" w:color="000000" w:sz="2" w:space="0"/>
                                    <w:bottom w:val="single" w:color="000000" w:sz="2" w:space="0"/>
                                  </w:tcBorders>
                                </w:tcPr>
                                <w:p w14:paraId="02D6AE05">
                                  <w:pPr>
                                    <w:spacing w:line="230" w:lineRule="exact"/>
                                    <w:jc w:val="both"/>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Page10-11，lines409-421</w:t>
                                  </w:r>
                                </w:p>
                              </w:tc>
                            </w:tr>
                            <w:tr w14:paraId="06582E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753" w:type="pct"/>
                                  <w:gridSpan w:val="2"/>
                                  <w:tcBorders>
                                    <w:top w:val="single" w:color="000000" w:sz="2" w:space="0"/>
                                    <w:bottom w:val="single" w:color="000000" w:sz="2" w:space="0"/>
                                  </w:tcBorders>
                                </w:tcPr>
                                <w:p w14:paraId="2EDF3D3F">
                                  <w:pPr>
                                    <w:spacing w:before="40" w:line="263" w:lineRule="exact"/>
                                    <w:ind w:left="127"/>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Interpretation</w:t>
                                  </w:r>
                                </w:p>
                              </w:tc>
                              <w:tc>
                                <w:tcPr>
                                  <w:tcW w:w="160" w:type="pct"/>
                                  <w:tcBorders>
                                    <w:top w:val="single" w:color="000000" w:sz="2" w:space="0"/>
                                    <w:bottom w:val="single" w:color="000000" w:sz="2" w:space="0"/>
                                  </w:tcBorders>
                                </w:tcPr>
                                <w:p w14:paraId="453D7599">
                                  <w:pPr>
                                    <w:spacing w:before="106" w:line="186" w:lineRule="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3662" w:type="pct"/>
                                  <w:tcBorders>
                                    <w:top w:val="single" w:color="000000" w:sz="2" w:space="0"/>
                                    <w:bottom w:val="single" w:color="000000" w:sz="2" w:space="0"/>
                                  </w:tcBorders>
                                </w:tcPr>
                                <w:p w14:paraId="61D55502">
                                  <w:pPr>
                                    <w:spacing w:before="40" w:line="230" w:lineRule="exact"/>
                                    <w:ind w:left="187" w:right="298" w:firstLine="5"/>
                                    <w:rPr>
                                      <w:rFonts w:ascii="Times New Roman" w:hAnsi="Times New Roman" w:eastAsia="Times New Roman" w:cs="Times New Roman"/>
                                      <w:sz w:val="20"/>
                                      <w:szCs w:val="20"/>
                                    </w:rPr>
                                  </w:pPr>
                                </w:p>
                              </w:tc>
                              <w:tc>
                                <w:tcPr>
                                  <w:tcW w:w="422" w:type="pct"/>
                                  <w:tcBorders>
                                    <w:top w:val="single" w:color="000000" w:sz="2" w:space="0"/>
                                    <w:bottom w:val="single" w:color="000000" w:sz="2" w:space="0"/>
                                  </w:tcBorders>
                                </w:tcPr>
                                <w:p w14:paraId="7764EA8B">
                                  <w:pPr>
                                    <w:spacing w:before="40" w:line="230" w:lineRule="exact"/>
                                    <w:ind w:left="187" w:right="298" w:firstLine="5"/>
                                    <w:rPr>
                                      <w:rFonts w:ascii="Times New Roman" w:hAnsi="Times New Roman" w:eastAsia="Times New Roman" w:cs="Times New Roman"/>
                                      <w:sz w:val="20"/>
                                      <w:szCs w:val="20"/>
                                    </w:rPr>
                                  </w:pPr>
                                </w:p>
                              </w:tc>
                            </w:tr>
                            <w:tr w14:paraId="343822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4" w:hRule="atLeast"/>
                              </w:trPr>
                              <w:tc>
                                <w:tcPr>
                                  <w:tcW w:w="753" w:type="pct"/>
                                  <w:gridSpan w:val="2"/>
                                  <w:tcBorders>
                                    <w:top w:val="single" w:color="000000" w:sz="2" w:space="0"/>
                                    <w:bottom w:val="single" w:color="000000" w:sz="2" w:space="0"/>
                                  </w:tcBorders>
                                </w:tcPr>
                                <w:p w14:paraId="4B04A7C6">
                                  <w:pPr>
                                    <w:spacing w:before="103" w:line="190"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Generalisability</w:t>
                                  </w:r>
                                </w:p>
                              </w:tc>
                              <w:tc>
                                <w:tcPr>
                                  <w:tcW w:w="160" w:type="pct"/>
                                  <w:tcBorders>
                                    <w:top w:val="single" w:color="000000" w:sz="2" w:space="0"/>
                                    <w:bottom w:val="single" w:color="000000" w:sz="2" w:space="0"/>
                                  </w:tcBorders>
                                </w:tcPr>
                                <w:p w14:paraId="0CA538DD">
                                  <w:pPr>
                                    <w:spacing w:before="106" w:line="187" w:lineRule="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3662" w:type="pct"/>
                                  <w:tcBorders>
                                    <w:top w:val="single" w:color="000000" w:sz="2" w:space="0"/>
                                    <w:bottom w:val="single" w:color="000000" w:sz="2" w:space="0"/>
                                  </w:tcBorders>
                                </w:tcPr>
                                <w:p w14:paraId="39833946">
                                  <w:pPr>
                                    <w:spacing w:before="40" w:line="230" w:lineRule="exact"/>
                                    <w:ind w:left="188"/>
                                    <w:jc w:val="both"/>
                                    <w:rPr>
                                      <w:rFonts w:ascii="Times New Roman" w:hAnsi="Times New Roman" w:eastAsia="Times New Roman" w:cs="Times New Roman"/>
                                      <w:sz w:val="20"/>
                                      <w:szCs w:val="20"/>
                                    </w:rPr>
                                  </w:pPr>
                                  <w:r>
                                    <w:rPr>
                                      <w:rFonts w:hint="eastAsia" w:ascii="Times New Roman" w:hAnsi="Times New Roman" w:eastAsia="Times New Roman" w:cs="Times New Roman"/>
                                      <w:position w:val="3"/>
                                      <w:sz w:val="20"/>
                                      <w:szCs w:val="20"/>
                                    </w:rPr>
                                    <w:t>Currently, there are many studies on N. meningitidis carriage status around the world,  and the carriage rate in healthy populations has changed considerably.  In China,  several provinces and cities have carried out surveys on N. meningitidis carriage rates.  Therefore, this study studied the epidemic characteristics and the carrying status of the N. meningitidis in high-incidence areas of Invasive meningococcal disease, which could provide scientific basis for the prevention and control of Invasive meningococcal disease in our country.</w:t>
                                  </w:r>
                                </w:p>
                              </w:tc>
                              <w:tc>
                                <w:tcPr>
                                  <w:tcW w:w="422" w:type="pct"/>
                                  <w:tcBorders>
                                    <w:top w:val="single" w:color="000000" w:sz="2" w:space="0"/>
                                    <w:bottom w:val="single" w:color="000000" w:sz="2" w:space="0"/>
                                  </w:tcBorders>
                                </w:tcPr>
                                <w:p w14:paraId="63EC0835">
                                  <w:pPr>
                                    <w:spacing w:before="40" w:line="230" w:lineRule="exact"/>
                                    <w:ind w:left="188"/>
                                    <w:jc w:val="both"/>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Page3，lines91-97</w:t>
                                  </w:r>
                                </w:p>
                              </w:tc>
                            </w:tr>
                            <w:tr w14:paraId="475FBE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4577" w:type="pct"/>
                                  <w:gridSpan w:val="4"/>
                                  <w:tcBorders>
                                    <w:top w:val="single" w:color="000000" w:sz="2" w:space="0"/>
                                    <w:bottom w:val="single" w:color="000000" w:sz="2" w:space="0"/>
                                  </w:tcBorders>
                                </w:tcPr>
                                <w:p w14:paraId="28CB3E62">
                                  <w:pPr>
                                    <w:spacing w:before="173" w:line="230" w:lineRule="exact"/>
                                    <w:ind w:left="13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Other information</w:t>
                                  </w:r>
                                </w:p>
                              </w:tc>
                              <w:tc>
                                <w:tcPr>
                                  <w:tcW w:w="422" w:type="pct"/>
                                  <w:tcBorders>
                                    <w:top w:val="single" w:color="000000" w:sz="2" w:space="0"/>
                                    <w:bottom w:val="single" w:color="000000" w:sz="2" w:space="0"/>
                                  </w:tcBorders>
                                </w:tcPr>
                                <w:p w14:paraId="61AC1C67">
                                  <w:pPr>
                                    <w:spacing w:before="173" w:line="230" w:lineRule="exact"/>
                                    <w:ind w:left="130"/>
                                    <w:rPr>
                                      <w:rFonts w:ascii="Times New Roman" w:hAnsi="Times New Roman" w:eastAsia="Times New Roman" w:cs="Times New Roman"/>
                                      <w:b/>
                                      <w:bCs/>
                                      <w:spacing w:val="-1"/>
                                      <w:sz w:val="20"/>
                                      <w:szCs w:val="20"/>
                                    </w:rPr>
                                  </w:pPr>
                                </w:p>
                              </w:tc>
                            </w:tr>
                            <w:tr w14:paraId="0F7AE6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10" w:hRule="atLeast"/>
                              </w:trPr>
                              <w:tc>
                                <w:tcPr>
                                  <w:tcW w:w="753" w:type="pct"/>
                                  <w:gridSpan w:val="2"/>
                                  <w:tcBorders>
                                    <w:top w:val="single" w:color="000000" w:sz="2" w:space="0"/>
                                    <w:bottom w:val="single" w:color="000000" w:sz="2" w:space="0"/>
                                  </w:tcBorders>
                                </w:tcPr>
                                <w:p w14:paraId="65ED5626">
                                  <w:pPr>
                                    <w:spacing w:before="105" w:line="190" w:lineRule="auto"/>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Funding</w:t>
                                  </w:r>
                                </w:p>
                              </w:tc>
                              <w:tc>
                                <w:tcPr>
                                  <w:tcW w:w="160" w:type="pct"/>
                                  <w:tcBorders>
                                    <w:top w:val="single" w:color="000000" w:sz="2" w:space="0"/>
                                    <w:bottom w:val="single" w:color="000000" w:sz="2" w:space="0"/>
                                  </w:tcBorders>
                                </w:tcPr>
                                <w:p w14:paraId="5D0EEAB0">
                                  <w:pPr>
                                    <w:spacing w:before="108" w:line="187" w:lineRule="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22</w:t>
                                  </w:r>
                                </w:p>
                              </w:tc>
                              <w:tc>
                                <w:tcPr>
                                  <w:tcW w:w="3662" w:type="pct"/>
                                  <w:tcBorders>
                                    <w:top w:val="single" w:color="000000" w:sz="2" w:space="0"/>
                                    <w:bottom w:val="single" w:color="000000" w:sz="2" w:space="0"/>
                                  </w:tcBorders>
                                </w:tcPr>
                                <w:p w14:paraId="204E3795">
                                  <w:pPr>
                                    <w:spacing w:line="230" w:lineRule="exact"/>
                                    <w:jc w:val="both"/>
                                  </w:pPr>
                                  <w:r>
                                    <w:rPr>
                                      <w:rFonts w:hint="eastAsia" w:ascii="Times New Roman" w:hAnsi="Times New Roman" w:eastAsia="Times New Roman" w:cs="Times New Roman"/>
                                      <w:position w:val="3"/>
                                      <w:sz w:val="20"/>
                                      <w:szCs w:val="20"/>
                                    </w:rPr>
                                    <w:t xml:space="preserve">This work received a grant from the </w:t>
                                  </w:r>
                                  <w:bookmarkStart w:id="1" w:name="OLE_LINK50"/>
                                  <w:r>
                                    <w:rPr>
                                      <w:rFonts w:hint="eastAsia" w:ascii="Times New Roman" w:hAnsi="Times New Roman" w:eastAsia="Times New Roman" w:cs="Times New Roman"/>
                                      <w:position w:val="3"/>
                                      <w:sz w:val="20"/>
                                      <w:szCs w:val="20"/>
                                    </w:rPr>
                                    <w:t xml:space="preserve">Tianshan Yingcai Medical and Health Talent Cultivation Program (NO. TSYC202301B097) and Xinjiang Natural Population Cohort Construction and Active Health Innovation Team, China (NO. 2022TSYCTD0013). </w:t>
                                  </w:r>
                                  <w:bookmarkEnd w:id="1"/>
                                  <w:r>
                                    <w:rPr>
                                      <w:rFonts w:hint="eastAsia" w:ascii="Times New Roman" w:hAnsi="Times New Roman" w:eastAsia="Times New Roman" w:cs="Times New Roman"/>
                                      <w:position w:val="3"/>
                                      <w:sz w:val="20"/>
                                      <w:szCs w:val="20"/>
                                    </w:rPr>
                                    <w:t>The funders had no role in study design, data collection and analysis, decision to publish, or preparation of the manuscript.</w:t>
                                  </w:r>
                                </w:p>
                              </w:tc>
                              <w:tc>
                                <w:tcPr>
                                  <w:tcW w:w="422" w:type="pct"/>
                                  <w:tcBorders>
                                    <w:top w:val="single" w:color="000000" w:sz="2" w:space="0"/>
                                    <w:bottom w:val="single" w:color="000000" w:sz="2" w:space="0"/>
                                  </w:tcBorders>
                                </w:tcPr>
                                <w:p w14:paraId="15F69FE6">
                                  <w:pPr>
                                    <w:spacing w:line="230" w:lineRule="exact"/>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Page11，lines436-440</w:t>
                                  </w:r>
                                </w:p>
                              </w:tc>
                            </w:tr>
                          </w:tbl>
                          <w:p w14:paraId="76BB533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5.9pt;height:746.4pt;width:483pt;z-index:251661312;mso-width-relative:page;mso-height-relative:page;" fillcolor="#FFFFFF [3201]" filled="t" stroked="t" coordsize="21600,21600" o:gfxdata="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A&#10;tdRz1wAAAAkBAAAPAAAAAAAAAAEAIAAAACIAAABkcnMvZG93bnJldi54bWxQSwECFAAUAAAACACH&#10;TuJAl0mXA14CAADDBAAADgAAAAAAAAABACAAAAAmAQAAZHJzL2Uyb0RvYy54bWxQSwUGAAAAAAYA&#10;BgBZAQAA9gUAAAAA&#10;">
                <v:fill on="t" focussize="0,0"/>
                <v:stroke weight="0.5pt" color="#FFFFFF [3212]" joinstyle="round"/>
                <v:imagedata o:title=""/>
                <o:lock v:ext="edit" aspectratio="f"/>
                <v:textbox>
                  <w:txbxContent>
                    <w:tbl>
                      <w:tblPr>
                        <w:tblStyle w:val="10"/>
                        <w:tblW w:w="5050"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1180"/>
                        <w:gridCol w:w="216"/>
                        <w:gridCol w:w="303"/>
                        <w:gridCol w:w="6880"/>
                        <w:gridCol w:w="877"/>
                      </w:tblGrid>
                      <w:tr w14:paraId="2DCB63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nil"/>
                            </w:tcBorders>
                          </w:tcPr>
                          <w:p w14:paraId="376FEB66">
                            <w:pPr>
                              <w:spacing w:before="46" w:line="263"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Descriptive data</w:t>
                            </w:r>
                          </w:p>
                        </w:tc>
                        <w:tc>
                          <w:tcPr>
                            <w:tcW w:w="274" w:type="pct"/>
                            <w:gridSpan w:val="2"/>
                            <w:tcBorders>
                              <w:top w:val="single" w:color="000000" w:sz="2" w:space="0"/>
                              <w:bottom w:val="nil"/>
                            </w:tcBorders>
                          </w:tcPr>
                          <w:p w14:paraId="5BA67022">
                            <w:pPr>
                              <w:spacing w:before="109" w:line="190"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3662" w:type="pct"/>
                            <w:tcBorders>
                              <w:top w:val="single" w:color="000000" w:sz="2" w:space="0"/>
                              <w:bottom w:val="single" w:color="000000" w:sz="2" w:space="0"/>
                            </w:tcBorders>
                          </w:tcPr>
                          <w:p w14:paraId="1B28BE84">
                            <w:pPr>
                              <w:spacing w:beforeAutospacing="1" w:afterAutospacing="1"/>
                              <w:ind w:firstLine="200" w:firstLineChars="100"/>
                            </w:pPr>
                            <w:r>
                              <w:rPr>
                                <w:rFonts w:hint="eastAsia" w:ascii="Times New Roman" w:hAnsi="Times New Roman" w:eastAsia="Times New Roman" w:cs="Times New Roman"/>
                                <w:sz w:val="20"/>
                                <w:szCs w:val="20"/>
                              </w:rPr>
                              <w:t>Age group</w:t>
                            </w:r>
                            <w:r>
                              <w:rPr>
                                <w:rFonts w:hint="eastAsia" w:ascii="Times New Roman" w:hAnsi="Times New Roman" w:eastAsia="Times New Roman" w:cs="Times New Roman"/>
                                <w:sz w:val="20"/>
                                <w:szCs w:val="20"/>
                                <w:lang w:eastAsia="zh-CN"/>
                              </w:rPr>
                              <w:t>, Gender, Years, Region, Vaccination history</w:t>
                            </w:r>
                          </w:p>
                        </w:tc>
                        <w:tc>
                          <w:tcPr>
                            <w:tcW w:w="422" w:type="pct"/>
                            <w:tcBorders>
                              <w:top w:val="single" w:color="000000" w:sz="2" w:space="0"/>
                              <w:bottom w:val="single" w:color="000000" w:sz="2" w:space="0"/>
                            </w:tcBorders>
                          </w:tcPr>
                          <w:p w14:paraId="13A9F9DC">
                            <w:pPr>
                              <w:spacing w:beforeAutospacing="1" w:afterAutospacing="1"/>
                              <w:ind w:firstLine="200" w:firstLineChars="10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Table 1</w:t>
                            </w:r>
                          </w:p>
                        </w:tc>
                      </w:tr>
                      <w:tr w14:paraId="74F5A4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single" w:color="000000" w:sz="2" w:space="0"/>
                            </w:tcBorders>
                          </w:tcPr>
                          <w:p w14:paraId="75C01B33">
                            <w:pPr>
                              <w:spacing w:before="45" w:line="250"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Outcome data</w:t>
                            </w:r>
                          </w:p>
                        </w:tc>
                        <w:tc>
                          <w:tcPr>
                            <w:tcW w:w="274" w:type="pct"/>
                            <w:gridSpan w:val="2"/>
                            <w:tcBorders>
                              <w:top w:val="single" w:color="000000" w:sz="2" w:space="0"/>
                              <w:bottom w:val="single" w:color="000000" w:sz="2" w:space="0"/>
                            </w:tcBorders>
                          </w:tcPr>
                          <w:p w14:paraId="65E07154">
                            <w:pPr>
                              <w:spacing w:before="108" w:line="190"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3662" w:type="pct"/>
                            <w:tcBorders>
                              <w:top w:val="single" w:color="000000" w:sz="2" w:space="0"/>
                              <w:bottom w:val="single" w:color="000000" w:sz="2" w:space="0"/>
                            </w:tcBorders>
                          </w:tcPr>
                          <w:p w14:paraId="6E68A2D1">
                            <w:pPr>
                              <w:spacing w:before="45" w:line="230" w:lineRule="exact"/>
                              <w:ind w:left="118"/>
                              <w:jc w:val="both"/>
                              <w:rPr>
                                <w:rFonts w:ascii="Times New Roman" w:hAnsi="Times New Roman" w:eastAsia="Times New Roman" w:cs="Times New Roman"/>
                                <w:sz w:val="20"/>
                                <w:szCs w:val="20"/>
                              </w:rPr>
                            </w:pPr>
                            <w:r>
                              <w:rPr>
                                <w:rFonts w:hint="eastAsia" w:ascii="Times New Roman" w:hAnsi="Times New Roman" w:eastAsia="Times New Roman" w:cs="Times New Roman"/>
                                <w:position w:val="3"/>
                                <w:sz w:val="20"/>
                                <w:szCs w:val="20"/>
                              </w:rPr>
                              <w:t>A total of 3075 people were investigated, including 402 under 3 years old, 366 between 3 and 5 years old, 509 between 6 and 10 years old, 659 between 11 and 15 years old, 544 aged 16.20 years old and 595 aged ≥21 years old. There were 144 men and 1,609 women. 513 people were surveyed in 2016, 664 in 2018, 702 in 2019, 506 in 2022 and 690 in 2023. A total of 1,574 people were surveyed in southern Xinjiang and 1,501 in northern Xinjiang.</w:t>
                            </w:r>
                            <w:r>
                              <w:rPr>
                                <w:rFonts w:ascii="Times New Roman" w:hAnsi="Times New Roman" w:eastAsia="Times New Roman" w:cs="Times New Roman"/>
                                <w:position w:val="3"/>
                                <w:sz w:val="20"/>
                                <w:szCs w:val="20"/>
                                <w:lang w:eastAsia="zh-CN"/>
                              </w:rPr>
                              <w:t>A total of 3,075 throat swab specimens were collected from healthy people, and 411 N. meningitidis strains were detected, for an overall carriage rate of 13.37%. The most numerous group was group B, with 168 strains, more than one-third of the total number of strains. This was followed by 158 strains from the nongenogroup and 44 strains from group C, with proportions of 38.44% and 10.71%, respectively.</w:t>
                            </w:r>
                          </w:p>
                        </w:tc>
                        <w:tc>
                          <w:tcPr>
                            <w:tcW w:w="422" w:type="pct"/>
                            <w:tcBorders>
                              <w:top w:val="single" w:color="000000" w:sz="2" w:space="0"/>
                              <w:bottom w:val="single" w:color="000000" w:sz="2" w:space="0"/>
                            </w:tcBorders>
                          </w:tcPr>
                          <w:p w14:paraId="7F9F8C88">
                            <w:pPr>
                              <w:spacing w:before="45" w:line="230" w:lineRule="exact"/>
                              <w:ind w:left="118"/>
                              <w:rPr>
                                <w:rFonts w:hint="eastAsia" w:ascii="Times New Roman" w:hAnsi="Times New Roman" w:eastAsia="Times New Roman" w:cs="Times New Roman"/>
                                <w:position w:val="3"/>
                                <w:sz w:val="20"/>
                                <w:szCs w:val="20"/>
                              </w:rPr>
                            </w:pPr>
                            <w:r>
                              <w:rPr>
                                <w:rFonts w:hint="eastAsia" w:ascii="Times New Roman" w:hAnsi="Times New Roman" w:eastAsia="宋体" w:cs="Times New Roman"/>
                                <w:sz w:val="20"/>
                                <w:szCs w:val="20"/>
                                <w:lang w:val="en-US" w:eastAsia="zh-CN"/>
                              </w:rPr>
                              <w:t>Page7，lines234-259</w:t>
                            </w:r>
                          </w:p>
                        </w:tc>
                      </w:tr>
                      <w:tr w14:paraId="2AA9F8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nil"/>
                            </w:tcBorders>
                          </w:tcPr>
                          <w:p w14:paraId="273A2B81">
                            <w:pPr>
                              <w:spacing w:before="45" w:line="263"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Main results</w:t>
                            </w:r>
                          </w:p>
                        </w:tc>
                        <w:tc>
                          <w:tcPr>
                            <w:tcW w:w="274" w:type="pct"/>
                            <w:gridSpan w:val="2"/>
                            <w:tcBorders>
                              <w:top w:val="single" w:color="000000" w:sz="2" w:space="0"/>
                              <w:bottom w:val="nil"/>
                            </w:tcBorders>
                          </w:tcPr>
                          <w:p w14:paraId="7DA3BB44">
                            <w:pPr>
                              <w:spacing w:before="111" w:line="186"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16</w:t>
                            </w:r>
                          </w:p>
                        </w:tc>
                        <w:tc>
                          <w:tcPr>
                            <w:tcW w:w="3662" w:type="pct"/>
                            <w:tcBorders>
                              <w:top w:val="single" w:color="000000" w:sz="2" w:space="0"/>
                              <w:bottom w:val="single" w:color="000000" w:sz="2" w:space="0"/>
                            </w:tcBorders>
                          </w:tcPr>
                          <w:p w14:paraId="0D5423E1">
                            <w:pPr>
                              <w:spacing w:line="230" w:lineRule="exact"/>
                              <w:jc w:val="both"/>
                            </w:pPr>
                            <w:r>
                              <w:rPr>
                                <w:rFonts w:hint="eastAsia" w:ascii="Times New Roman" w:hAnsi="Times New Roman" w:eastAsia="Times New Roman" w:cs="Times New Roman"/>
                                <w:position w:val="3"/>
                                <w:sz w:val="20"/>
                                <w:szCs w:val="20"/>
                              </w:rPr>
                              <w:t xml:space="preserve">From 2004 to 2023, 1,100 cases of invasive meningococcal disease (IMD) were reported in Xinjiang, with the annual incidence rate fluctuating between 0.00/100,000 and 1.15/100,000 per year. The peak incidence occurred from February to May. The incidence was primarily concentrated in individuals under 20 years old (80.36%). A total of 3,075 pharyngeal swabs were investigated, of which 411 (13.37%) contained </w:t>
                            </w:r>
                            <w:r>
                              <w:rPr>
                                <w:rFonts w:hint="eastAsia" w:ascii="Times New Roman" w:hAnsi="Times New Roman" w:eastAsia="Times New Roman" w:cs="Times New Roman"/>
                                <w:i/>
                                <w:iCs/>
                                <w:position w:val="3"/>
                                <w:sz w:val="20"/>
                                <w:szCs w:val="20"/>
                              </w:rPr>
                              <w:t>N. meningitidis</w:t>
                            </w:r>
                            <w:r>
                              <w:rPr>
                                <w:rFonts w:hint="eastAsia" w:ascii="Times New Roman" w:hAnsi="Times New Roman" w:eastAsia="Times New Roman" w:cs="Times New Roman"/>
                                <w:position w:val="3"/>
                                <w:sz w:val="20"/>
                                <w:szCs w:val="20"/>
                              </w:rPr>
                              <w:t xml:space="preserve"> strains. Among these, 168 (40.88%) strains belonged to group B, which was the most abundant group. Binomial multivariate logistic regression analyses revealed that age, sex, year, region, and vaccination history were risk factors affecting the </w:t>
                            </w:r>
                            <w:r>
                              <w:rPr>
                                <w:rFonts w:hint="eastAsia" w:ascii="Times New Roman" w:hAnsi="Times New Roman" w:eastAsia="Times New Roman" w:cs="Times New Roman"/>
                                <w:i/>
                                <w:iCs/>
                                <w:position w:val="3"/>
                                <w:sz w:val="20"/>
                                <w:szCs w:val="20"/>
                              </w:rPr>
                              <w:t>N. meningitidis</w:t>
                            </w:r>
                            <w:r>
                              <w:rPr>
                                <w:rFonts w:hint="eastAsia" w:ascii="Times New Roman" w:hAnsi="Times New Roman" w:eastAsia="Times New Roman" w:cs="Times New Roman"/>
                                <w:position w:val="3"/>
                                <w:sz w:val="20"/>
                                <w:szCs w:val="20"/>
                              </w:rPr>
                              <w:t xml:space="preserve"> carriage rate (P &lt; 0.05).</w:t>
                            </w:r>
                          </w:p>
                        </w:tc>
                        <w:tc>
                          <w:tcPr>
                            <w:tcW w:w="422" w:type="pct"/>
                            <w:tcBorders>
                              <w:top w:val="single" w:color="000000" w:sz="2" w:space="0"/>
                              <w:bottom w:val="single" w:color="000000" w:sz="2" w:space="0"/>
                            </w:tcBorders>
                          </w:tcPr>
                          <w:p w14:paraId="09DDA7D7">
                            <w:pPr>
                              <w:spacing w:line="230" w:lineRule="exact"/>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Page2，lines37-35</w:t>
                            </w:r>
                          </w:p>
                        </w:tc>
                      </w:tr>
                      <w:tr w14:paraId="023D09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 w:hRule="atLeast"/>
                        </w:trPr>
                        <w:tc>
                          <w:tcPr>
                            <w:tcW w:w="639" w:type="pct"/>
                            <w:tcBorders>
                              <w:top w:val="single" w:color="000000" w:sz="2" w:space="0"/>
                              <w:bottom w:val="single" w:color="000000" w:sz="2" w:space="0"/>
                            </w:tcBorders>
                          </w:tcPr>
                          <w:p w14:paraId="6B2B0966">
                            <w:pPr>
                              <w:spacing w:before="44" w:line="263" w:lineRule="exact"/>
                              <w:ind w:left="129"/>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Other analyses</w:t>
                            </w:r>
                          </w:p>
                        </w:tc>
                        <w:tc>
                          <w:tcPr>
                            <w:tcW w:w="274" w:type="pct"/>
                            <w:gridSpan w:val="2"/>
                            <w:tcBorders>
                              <w:top w:val="single" w:color="000000" w:sz="2" w:space="0"/>
                              <w:bottom w:val="single" w:color="000000" w:sz="2" w:space="0"/>
                            </w:tcBorders>
                          </w:tcPr>
                          <w:p w14:paraId="6D148C9B">
                            <w:pPr>
                              <w:spacing w:before="110" w:line="186"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17</w:t>
                            </w:r>
                          </w:p>
                        </w:tc>
                        <w:tc>
                          <w:tcPr>
                            <w:tcW w:w="3662" w:type="pct"/>
                            <w:tcBorders>
                              <w:top w:val="single" w:color="000000" w:sz="2" w:space="0"/>
                              <w:bottom w:val="single" w:color="000000" w:sz="2" w:space="0"/>
                            </w:tcBorders>
                          </w:tcPr>
                          <w:p w14:paraId="48630E91">
                            <w:pPr>
                              <w:spacing w:before="43" w:line="230" w:lineRule="exact"/>
                              <w:ind w:left="124" w:right="828" w:hanging="6"/>
                              <w:rPr>
                                <w:rFonts w:ascii="Times New Roman" w:hAnsi="Times New Roman" w:eastAsia="Times New Roman" w:cs="Times New Roman"/>
                                <w:sz w:val="20"/>
                                <w:szCs w:val="20"/>
                              </w:rPr>
                            </w:pPr>
                          </w:p>
                        </w:tc>
                        <w:tc>
                          <w:tcPr>
                            <w:tcW w:w="422" w:type="pct"/>
                            <w:tcBorders>
                              <w:top w:val="single" w:color="000000" w:sz="2" w:space="0"/>
                              <w:bottom w:val="single" w:color="000000" w:sz="2" w:space="0"/>
                            </w:tcBorders>
                          </w:tcPr>
                          <w:p w14:paraId="4BCB34D3">
                            <w:pPr>
                              <w:spacing w:before="43" w:line="230" w:lineRule="exact"/>
                              <w:ind w:left="124" w:right="828" w:hanging="6"/>
                              <w:rPr>
                                <w:rFonts w:ascii="Times New Roman" w:hAnsi="Times New Roman" w:eastAsia="Times New Roman" w:cs="Times New Roman"/>
                                <w:sz w:val="20"/>
                                <w:szCs w:val="20"/>
                              </w:rPr>
                            </w:pPr>
                          </w:p>
                        </w:tc>
                      </w:tr>
                      <w:tr w14:paraId="36B331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4577" w:type="pct"/>
                            <w:gridSpan w:val="4"/>
                            <w:tcBorders>
                              <w:top w:val="single" w:color="000000" w:sz="2" w:space="0"/>
                              <w:bottom w:val="single" w:color="000000" w:sz="2" w:space="0"/>
                            </w:tcBorders>
                          </w:tcPr>
                          <w:p w14:paraId="6C59388E">
                            <w:pPr>
                              <w:spacing w:before="174" w:line="230" w:lineRule="exact"/>
                              <w:ind w:left="125"/>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Discussion</w:t>
                            </w:r>
                          </w:p>
                        </w:tc>
                        <w:tc>
                          <w:tcPr>
                            <w:tcW w:w="422" w:type="pct"/>
                            <w:tcBorders>
                              <w:top w:val="single" w:color="000000" w:sz="2" w:space="0"/>
                              <w:bottom w:val="single" w:color="000000" w:sz="2" w:space="0"/>
                            </w:tcBorders>
                          </w:tcPr>
                          <w:p w14:paraId="68154121">
                            <w:pPr>
                              <w:spacing w:before="174" w:line="230" w:lineRule="exact"/>
                              <w:ind w:left="125"/>
                              <w:rPr>
                                <w:rFonts w:ascii="Times New Roman" w:hAnsi="Times New Roman" w:eastAsia="Times New Roman" w:cs="Times New Roman"/>
                                <w:b/>
                                <w:bCs/>
                                <w:spacing w:val="-1"/>
                                <w:sz w:val="20"/>
                                <w:szCs w:val="20"/>
                              </w:rPr>
                            </w:pPr>
                          </w:p>
                        </w:tc>
                      </w:tr>
                      <w:tr w14:paraId="587B7BD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4" w:hRule="atLeast"/>
                        </w:trPr>
                        <w:tc>
                          <w:tcPr>
                            <w:tcW w:w="753" w:type="pct"/>
                            <w:gridSpan w:val="2"/>
                            <w:tcBorders>
                              <w:top w:val="single" w:color="000000" w:sz="2" w:space="0"/>
                              <w:bottom w:val="single" w:color="000000" w:sz="2" w:space="0"/>
                            </w:tcBorders>
                          </w:tcPr>
                          <w:p w14:paraId="27AE1D51">
                            <w:pPr>
                              <w:spacing w:before="38" w:line="256"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Key results</w:t>
                            </w:r>
                          </w:p>
                        </w:tc>
                        <w:tc>
                          <w:tcPr>
                            <w:tcW w:w="160" w:type="pct"/>
                            <w:tcBorders>
                              <w:top w:val="single" w:color="000000" w:sz="2" w:space="0"/>
                              <w:bottom w:val="single" w:color="000000" w:sz="2" w:space="0"/>
                            </w:tcBorders>
                          </w:tcPr>
                          <w:p w14:paraId="5DA76D3D">
                            <w:pPr>
                              <w:spacing w:before="105" w:line="186" w:lineRule="auto"/>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18</w:t>
                            </w:r>
                          </w:p>
                        </w:tc>
                        <w:tc>
                          <w:tcPr>
                            <w:tcW w:w="3662" w:type="pct"/>
                            <w:tcBorders>
                              <w:top w:val="single" w:color="000000" w:sz="2" w:space="0"/>
                              <w:bottom w:val="single" w:color="000000" w:sz="2" w:space="0"/>
                            </w:tcBorders>
                          </w:tcPr>
                          <w:p w14:paraId="7B169B91">
                            <w:pPr>
                              <w:spacing w:line="230" w:lineRule="exact"/>
                              <w:jc w:val="both"/>
                            </w:pPr>
                            <w:r>
                              <w:rPr>
                                <w:rFonts w:hint="eastAsia" w:ascii="Times New Roman" w:hAnsi="Times New Roman" w:eastAsia="Times New Roman" w:cs="Times New Roman"/>
                                <w:sz w:val="20"/>
                                <w:szCs w:val="20"/>
                              </w:rPr>
                              <w:t>Longitudinal surveillance (2004-2023) revealed a significant decline in IMD incidence across Xinjiang, transitioning from cyclical epidemic patterns to sustained hypoendemic transmission. Notwithstanding declining IMD incidence, N. meningitidis carriage persisted at elevated levels, with multilevel logistic regression identifying key determinants of regional heterogeneity. We recommend expanding the surveillance network for IMD and conducting annual population-based surveys of N. meningitidis carriage during early IMD outbreaks. This dual approach will enhance predictive capability for regional IMD trends, enabling timely adjustments to prevention and control strategies—ultimately strengthening evidence-based IMD management in Xinjiang.</w:t>
                            </w:r>
                          </w:p>
                        </w:tc>
                        <w:tc>
                          <w:tcPr>
                            <w:tcW w:w="422" w:type="pct"/>
                            <w:tcBorders>
                              <w:top w:val="single" w:color="000000" w:sz="2" w:space="0"/>
                              <w:bottom w:val="single" w:color="000000" w:sz="2" w:space="0"/>
                            </w:tcBorders>
                          </w:tcPr>
                          <w:p w14:paraId="5DAFEDB3">
                            <w:pPr>
                              <w:spacing w:line="230" w:lineRule="exact"/>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Page11，lines424-432</w:t>
                            </w:r>
                          </w:p>
                        </w:tc>
                      </w:tr>
                      <w:tr w14:paraId="5FBF92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5" w:hRule="atLeast"/>
                        </w:trPr>
                        <w:tc>
                          <w:tcPr>
                            <w:tcW w:w="753" w:type="pct"/>
                            <w:gridSpan w:val="2"/>
                            <w:tcBorders>
                              <w:top w:val="single" w:color="000000" w:sz="2" w:space="0"/>
                              <w:bottom w:val="single" w:color="000000" w:sz="2" w:space="0"/>
                            </w:tcBorders>
                          </w:tcPr>
                          <w:p w14:paraId="21C82AD7">
                            <w:pPr>
                              <w:spacing w:before="102" w:line="190"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Limitations</w:t>
                            </w:r>
                          </w:p>
                        </w:tc>
                        <w:tc>
                          <w:tcPr>
                            <w:tcW w:w="160" w:type="pct"/>
                            <w:tcBorders>
                              <w:top w:val="single" w:color="000000" w:sz="2" w:space="0"/>
                              <w:bottom w:val="single" w:color="000000" w:sz="2" w:space="0"/>
                            </w:tcBorders>
                          </w:tcPr>
                          <w:p w14:paraId="1720511A">
                            <w:pPr>
                              <w:spacing w:before="106" w:line="186" w:lineRule="auto"/>
                              <w:rPr>
                                <w:rFonts w:ascii="Times New Roman" w:hAnsi="Times New Roman" w:eastAsia="Times New Roman" w:cs="Times New Roman"/>
                                <w:sz w:val="20"/>
                                <w:szCs w:val="20"/>
                              </w:rPr>
                            </w:pPr>
                            <w:r>
                              <w:rPr>
                                <w:rFonts w:ascii="Times New Roman" w:hAnsi="Times New Roman" w:eastAsia="Times New Roman" w:cs="Times New Roman"/>
                                <w:spacing w:val="-12"/>
                                <w:sz w:val="20"/>
                                <w:szCs w:val="20"/>
                              </w:rPr>
                              <w:t>19</w:t>
                            </w:r>
                          </w:p>
                        </w:tc>
                        <w:tc>
                          <w:tcPr>
                            <w:tcW w:w="3662" w:type="pct"/>
                            <w:tcBorders>
                              <w:top w:val="single" w:color="000000" w:sz="2" w:space="0"/>
                              <w:bottom w:val="single" w:color="000000" w:sz="2" w:space="0"/>
                            </w:tcBorders>
                          </w:tcPr>
                          <w:p w14:paraId="4DD40180">
                            <w:pPr>
                              <w:spacing w:line="230" w:lineRule="exact"/>
                              <w:jc w:val="both"/>
                            </w:pPr>
                            <w:r>
                              <w:rPr>
                                <w:rFonts w:hint="eastAsia" w:ascii="Times New Roman" w:hAnsi="Times New Roman" w:eastAsia="Times New Roman" w:cs="Times New Roman"/>
                                <w:sz w:val="20"/>
                                <w:szCs w:val="20"/>
                              </w:rPr>
                              <w:t>This study analyzed 20-year incidence data (2004–2023) of IMD cases in Xinjiang, derived from the China Disease Prevention and Control Information System. Data were aggregated from prefecture- and city-level CDCs and medical institutions across Xinjiang. A key limitation was that serogroup distribution data were not systematically collected by the reporting system, as case strains were not submitted to our laboratory for testing, and the system lacked predefined fields for serogroup information. Consequently, complete serogroup-specific data were unavailable, hampering a comprehensive analysis of the 20-year dataset and precluding a detailed assessment of serogroup trends over time.</w:t>
                            </w:r>
                          </w:p>
                        </w:tc>
                        <w:tc>
                          <w:tcPr>
                            <w:tcW w:w="422" w:type="pct"/>
                            <w:tcBorders>
                              <w:top w:val="single" w:color="000000" w:sz="2" w:space="0"/>
                              <w:bottom w:val="single" w:color="000000" w:sz="2" w:space="0"/>
                            </w:tcBorders>
                          </w:tcPr>
                          <w:p w14:paraId="02D6AE05">
                            <w:pPr>
                              <w:spacing w:line="230" w:lineRule="exact"/>
                              <w:jc w:val="both"/>
                              <w:rPr>
                                <w:rFonts w:hint="default" w:ascii="Times New Roman" w:hAnsi="Times New Roman" w:eastAsia="Times New Roman" w:cs="Times New Roman"/>
                                <w:sz w:val="20"/>
                                <w:szCs w:val="20"/>
                                <w:lang w:val="en-US"/>
                              </w:rPr>
                            </w:pPr>
                            <w:r>
                              <w:rPr>
                                <w:rFonts w:hint="eastAsia" w:ascii="Times New Roman" w:hAnsi="Times New Roman" w:eastAsia="宋体" w:cs="Times New Roman"/>
                                <w:sz w:val="20"/>
                                <w:szCs w:val="20"/>
                                <w:lang w:val="en-US" w:eastAsia="zh-CN"/>
                              </w:rPr>
                              <w:t>Page10-11，lines409-421</w:t>
                            </w:r>
                          </w:p>
                        </w:tc>
                      </w:tr>
                      <w:tr w14:paraId="06582E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753" w:type="pct"/>
                            <w:gridSpan w:val="2"/>
                            <w:tcBorders>
                              <w:top w:val="single" w:color="000000" w:sz="2" w:space="0"/>
                              <w:bottom w:val="single" w:color="000000" w:sz="2" w:space="0"/>
                            </w:tcBorders>
                          </w:tcPr>
                          <w:p w14:paraId="2EDF3D3F">
                            <w:pPr>
                              <w:spacing w:before="40" w:line="263" w:lineRule="exact"/>
                              <w:ind w:left="127"/>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Interpretation</w:t>
                            </w:r>
                          </w:p>
                        </w:tc>
                        <w:tc>
                          <w:tcPr>
                            <w:tcW w:w="160" w:type="pct"/>
                            <w:tcBorders>
                              <w:top w:val="single" w:color="000000" w:sz="2" w:space="0"/>
                              <w:bottom w:val="single" w:color="000000" w:sz="2" w:space="0"/>
                            </w:tcBorders>
                          </w:tcPr>
                          <w:p w14:paraId="453D7599">
                            <w:pPr>
                              <w:spacing w:before="106" w:line="186" w:lineRule="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3662" w:type="pct"/>
                            <w:tcBorders>
                              <w:top w:val="single" w:color="000000" w:sz="2" w:space="0"/>
                              <w:bottom w:val="single" w:color="000000" w:sz="2" w:space="0"/>
                            </w:tcBorders>
                          </w:tcPr>
                          <w:p w14:paraId="61D55502">
                            <w:pPr>
                              <w:spacing w:before="40" w:line="230" w:lineRule="exact"/>
                              <w:ind w:left="187" w:right="298" w:firstLine="5"/>
                              <w:rPr>
                                <w:rFonts w:ascii="Times New Roman" w:hAnsi="Times New Roman" w:eastAsia="Times New Roman" w:cs="Times New Roman"/>
                                <w:sz w:val="20"/>
                                <w:szCs w:val="20"/>
                              </w:rPr>
                            </w:pPr>
                          </w:p>
                        </w:tc>
                        <w:tc>
                          <w:tcPr>
                            <w:tcW w:w="422" w:type="pct"/>
                            <w:tcBorders>
                              <w:top w:val="single" w:color="000000" w:sz="2" w:space="0"/>
                              <w:bottom w:val="single" w:color="000000" w:sz="2" w:space="0"/>
                            </w:tcBorders>
                          </w:tcPr>
                          <w:p w14:paraId="7764EA8B">
                            <w:pPr>
                              <w:spacing w:before="40" w:line="230" w:lineRule="exact"/>
                              <w:ind w:left="187" w:right="298" w:firstLine="5"/>
                              <w:rPr>
                                <w:rFonts w:ascii="Times New Roman" w:hAnsi="Times New Roman" w:eastAsia="Times New Roman" w:cs="Times New Roman"/>
                                <w:sz w:val="20"/>
                                <w:szCs w:val="20"/>
                              </w:rPr>
                            </w:pPr>
                          </w:p>
                        </w:tc>
                      </w:tr>
                      <w:tr w14:paraId="343822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4" w:hRule="atLeast"/>
                        </w:trPr>
                        <w:tc>
                          <w:tcPr>
                            <w:tcW w:w="753" w:type="pct"/>
                            <w:gridSpan w:val="2"/>
                            <w:tcBorders>
                              <w:top w:val="single" w:color="000000" w:sz="2" w:space="0"/>
                              <w:bottom w:val="single" w:color="000000" w:sz="2" w:space="0"/>
                            </w:tcBorders>
                          </w:tcPr>
                          <w:p w14:paraId="4B04A7C6">
                            <w:pPr>
                              <w:spacing w:before="103" w:line="190"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Generalisability</w:t>
                            </w:r>
                          </w:p>
                        </w:tc>
                        <w:tc>
                          <w:tcPr>
                            <w:tcW w:w="160" w:type="pct"/>
                            <w:tcBorders>
                              <w:top w:val="single" w:color="000000" w:sz="2" w:space="0"/>
                              <w:bottom w:val="single" w:color="000000" w:sz="2" w:space="0"/>
                            </w:tcBorders>
                          </w:tcPr>
                          <w:p w14:paraId="0CA538DD">
                            <w:pPr>
                              <w:spacing w:before="106" w:line="187" w:lineRule="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3662" w:type="pct"/>
                            <w:tcBorders>
                              <w:top w:val="single" w:color="000000" w:sz="2" w:space="0"/>
                              <w:bottom w:val="single" w:color="000000" w:sz="2" w:space="0"/>
                            </w:tcBorders>
                          </w:tcPr>
                          <w:p w14:paraId="39833946">
                            <w:pPr>
                              <w:spacing w:before="40" w:line="230" w:lineRule="exact"/>
                              <w:ind w:left="188"/>
                              <w:jc w:val="both"/>
                              <w:rPr>
                                <w:rFonts w:ascii="Times New Roman" w:hAnsi="Times New Roman" w:eastAsia="Times New Roman" w:cs="Times New Roman"/>
                                <w:sz w:val="20"/>
                                <w:szCs w:val="20"/>
                              </w:rPr>
                            </w:pPr>
                            <w:r>
                              <w:rPr>
                                <w:rFonts w:hint="eastAsia" w:ascii="Times New Roman" w:hAnsi="Times New Roman" w:eastAsia="Times New Roman" w:cs="Times New Roman"/>
                                <w:position w:val="3"/>
                                <w:sz w:val="20"/>
                                <w:szCs w:val="20"/>
                              </w:rPr>
                              <w:t>Currently, there are many studies on N. meningitidis carriage status around the world,  and the carriage rate in healthy populations has changed considerably.  In China,  several provinces and cities have carried out surveys on N. meningitidis carriage rates.  Therefore, this study studied the epidemic characteristics and the carrying status of the N. meningitidis in high-incidence areas of Invasive meningococcal disease, which could provide scientific basis for the prevention and control of Invasive meningococcal disease in our country.</w:t>
                            </w:r>
                          </w:p>
                        </w:tc>
                        <w:tc>
                          <w:tcPr>
                            <w:tcW w:w="422" w:type="pct"/>
                            <w:tcBorders>
                              <w:top w:val="single" w:color="000000" w:sz="2" w:space="0"/>
                              <w:bottom w:val="single" w:color="000000" w:sz="2" w:space="0"/>
                            </w:tcBorders>
                          </w:tcPr>
                          <w:p w14:paraId="63EC0835">
                            <w:pPr>
                              <w:spacing w:before="40" w:line="230" w:lineRule="exact"/>
                              <w:ind w:left="188"/>
                              <w:jc w:val="both"/>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Page3，lines91-97</w:t>
                            </w:r>
                          </w:p>
                        </w:tc>
                      </w:tr>
                      <w:tr w14:paraId="475FBE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4577" w:type="pct"/>
                            <w:gridSpan w:val="4"/>
                            <w:tcBorders>
                              <w:top w:val="single" w:color="000000" w:sz="2" w:space="0"/>
                              <w:bottom w:val="single" w:color="000000" w:sz="2" w:space="0"/>
                            </w:tcBorders>
                          </w:tcPr>
                          <w:p w14:paraId="28CB3E62">
                            <w:pPr>
                              <w:spacing w:before="173" w:line="230" w:lineRule="exact"/>
                              <w:ind w:left="13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Other information</w:t>
                            </w:r>
                          </w:p>
                        </w:tc>
                        <w:tc>
                          <w:tcPr>
                            <w:tcW w:w="422" w:type="pct"/>
                            <w:tcBorders>
                              <w:top w:val="single" w:color="000000" w:sz="2" w:space="0"/>
                              <w:bottom w:val="single" w:color="000000" w:sz="2" w:space="0"/>
                            </w:tcBorders>
                          </w:tcPr>
                          <w:p w14:paraId="61AC1C67">
                            <w:pPr>
                              <w:spacing w:before="173" w:line="230" w:lineRule="exact"/>
                              <w:ind w:left="130"/>
                              <w:rPr>
                                <w:rFonts w:ascii="Times New Roman" w:hAnsi="Times New Roman" w:eastAsia="Times New Roman" w:cs="Times New Roman"/>
                                <w:b/>
                                <w:bCs/>
                                <w:spacing w:val="-1"/>
                                <w:sz w:val="20"/>
                                <w:szCs w:val="20"/>
                              </w:rPr>
                            </w:pPr>
                          </w:p>
                        </w:tc>
                      </w:tr>
                      <w:tr w14:paraId="0F7AE6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10" w:hRule="atLeast"/>
                        </w:trPr>
                        <w:tc>
                          <w:tcPr>
                            <w:tcW w:w="753" w:type="pct"/>
                            <w:gridSpan w:val="2"/>
                            <w:tcBorders>
                              <w:top w:val="single" w:color="000000" w:sz="2" w:space="0"/>
                              <w:bottom w:val="single" w:color="000000" w:sz="2" w:space="0"/>
                            </w:tcBorders>
                          </w:tcPr>
                          <w:p w14:paraId="65ED5626">
                            <w:pPr>
                              <w:spacing w:before="105" w:line="190" w:lineRule="auto"/>
                              <w:ind w:left="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Funding</w:t>
                            </w:r>
                          </w:p>
                        </w:tc>
                        <w:tc>
                          <w:tcPr>
                            <w:tcW w:w="160" w:type="pct"/>
                            <w:tcBorders>
                              <w:top w:val="single" w:color="000000" w:sz="2" w:space="0"/>
                              <w:bottom w:val="single" w:color="000000" w:sz="2" w:space="0"/>
                            </w:tcBorders>
                          </w:tcPr>
                          <w:p w14:paraId="5D0EEAB0">
                            <w:pPr>
                              <w:spacing w:before="108" w:line="187" w:lineRule="auto"/>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22</w:t>
                            </w:r>
                          </w:p>
                        </w:tc>
                        <w:tc>
                          <w:tcPr>
                            <w:tcW w:w="3662" w:type="pct"/>
                            <w:tcBorders>
                              <w:top w:val="single" w:color="000000" w:sz="2" w:space="0"/>
                              <w:bottom w:val="single" w:color="000000" w:sz="2" w:space="0"/>
                            </w:tcBorders>
                          </w:tcPr>
                          <w:p w14:paraId="204E3795">
                            <w:pPr>
                              <w:spacing w:line="230" w:lineRule="exact"/>
                              <w:jc w:val="both"/>
                            </w:pPr>
                            <w:r>
                              <w:rPr>
                                <w:rFonts w:hint="eastAsia" w:ascii="Times New Roman" w:hAnsi="Times New Roman" w:eastAsia="Times New Roman" w:cs="Times New Roman"/>
                                <w:position w:val="3"/>
                                <w:sz w:val="20"/>
                                <w:szCs w:val="20"/>
                              </w:rPr>
                              <w:t xml:space="preserve">This work received a grant from the </w:t>
                            </w:r>
                            <w:bookmarkStart w:id="1" w:name="OLE_LINK50"/>
                            <w:r>
                              <w:rPr>
                                <w:rFonts w:hint="eastAsia" w:ascii="Times New Roman" w:hAnsi="Times New Roman" w:eastAsia="Times New Roman" w:cs="Times New Roman"/>
                                <w:position w:val="3"/>
                                <w:sz w:val="20"/>
                                <w:szCs w:val="20"/>
                              </w:rPr>
                              <w:t xml:space="preserve">Tianshan Yingcai Medical and Health Talent Cultivation Program (NO. TSYC202301B097) and Xinjiang Natural Population Cohort Construction and Active Health Innovation Team, China (NO. 2022TSYCTD0013). </w:t>
                            </w:r>
                            <w:bookmarkEnd w:id="1"/>
                            <w:r>
                              <w:rPr>
                                <w:rFonts w:hint="eastAsia" w:ascii="Times New Roman" w:hAnsi="Times New Roman" w:eastAsia="Times New Roman" w:cs="Times New Roman"/>
                                <w:position w:val="3"/>
                                <w:sz w:val="20"/>
                                <w:szCs w:val="20"/>
                              </w:rPr>
                              <w:t>The funders had no role in study design, data collection and analysis, decision to publish, or preparation of the manuscript.</w:t>
                            </w:r>
                          </w:p>
                        </w:tc>
                        <w:tc>
                          <w:tcPr>
                            <w:tcW w:w="422" w:type="pct"/>
                            <w:tcBorders>
                              <w:top w:val="single" w:color="000000" w:sz="2" w:space="0"/>
                              <w:bottom w:val="single" w:color="000000" w:sz="2" w:space="0"/>
                            </w:tcBorders>
                          </w:tcPr>
                          <w:p w14:paraId="15F69FE6">
                            <w:pPr>
                              <w:spacing w:line="230" w:lineRule="exact"/>
                              <w:rPr>
                                <w:rFonts w:hint="default" w:ascii="Times New Roman" w:hAnsi="Times New Roman" w:eastAsia="Times New Roman" w:cs="Times New Roman"/>
                                <w:position w:val="3"/>
                                <w:sz w:val="20"/>
                                <w:szCs w:val="20"/>
                                <w:lang w:val="en-US"/>
                              </w:rPr>
                            </w:pPr>
                            <w:r>
                              <w:rPr>
                                <w:rFonts w:hint="eastAsia" w:ascii="Times New Roman" w:hAnsi="Times New Roman" w:eastAsia="宋体" w:cs="Times New Roman"/>
                                <w:sz w:val="20"/>
                                <w:szCs w:val="20"/>
                                <w:lang w:val="en-US" w:eastAsia="zh-CN"/>
                              </w:rPr>
                              <w:t>Page11，lines436-440</w:t>
                            </w:r>
                          </w:p>
                        </w:tc>
                      </w:tr>
                    </w:tbl>
                    <w:p w14:paraId="76BB5334"/>
                  </w:txbxContent>
                </v:textbox>
              </v:shape>
            </w:pict>
          </mc:Fallback>
        </mc:AlternateContent>
      </w:r>
    </w:p>
    <w:p w14:paraId="165BFEB2">
      <w:pPr>
        <w:pStyle w:val="2"/>
        <w:spacing w:before="58" w:line="263" w:lineRule="exact"/>
        <w:ind w:left="136"/>
        <w:rPr>
          <w:position w:val="3"/>
        </w:rPr>
      </w:pPr>
    </w:p>
    <w:p w14:paraId="6246ACA8">
      <w:pPr>
        <w:pStyle w:val="2"/>
        <w:spacing w:before="58" w:line="263" w:lineRule="exact"/>
        <w:ind w:left="136"/>
        <w:rPr>
          <w:position w:val="3"/>
        </w:rPr>
      </w:pPr>
    </w:p>
    <w:p w14:paraId="4C5A9980">
      <w:pPr>
        <w:pStyle w:val="2"/>
        <w:spacing w:before="58" w:line="263" w:lineRule="exact"/>
        <w:ind w:left="136"/>
        <w:rPr>
          <w:position w:val="3"/>
        </w:rPr>
      </w:pPr>
    </w:p>
    <w:p w14:paraId="4ABF8FA0">
      <w:pPr>
        <w:pStyle w:val="2"/>
        <w:spacing w:before="58" w:line="263" w:lineRule="exact"/>
        <w:ind w:left="136"/>
        <w:rPr>
          <w:position w:val="3"/>
        </w:rPr>
      </w:pPr>
    </w:p>
    <w:p w14:paraId="31F5DBF2">
      <w:pPr>
        <w:pStyle w:val="2"/>
        <w:spacing w:before="58" w:line="263" w:lineRule="exact"/>
        <w:ind w:left="136"/>
        <w:rPr>
          <w:position w:val="3"/>
        </w:rPr>
      </w:pPr>
    </w:p>
    <w:p w14:paraId="40039F31">
      <w:pPr>
        <w:pStyle w:val="2"/>
        <w:spacing w:before="58" w:line="263" w:lineRule="exact"/>
        <w:ind w:left="136"/>
        <w:rPr>
          <w:position w:val="3"/>
        </w:rPr>
      </w:pPr>
    </w:p>
    <w:p w14:paraId="65FEF131">
      <w:pPr>
        <w:pStyle w:val="2"/>
        <w:spacing w:before="58" w:line="263" w:lineRule="exact"/>
        <w:ind w:left="136"/>
        <w:rPr>
          <w:position w:val="3"/>
        </w:rPr>
      </w:pPr>
    </w:p>
    <w:p w14:paraId="0077CF34">
      <w:pPr>
        <w:pStyle w:val="2"/>
        <w:spacing w:before="58" w:line="263" w:lineRule="exact"/>
        <w:ind w:left="136"/>
        <w:rPr>
          <w:position w:val="3"/>
        </w:rPr>
      </w:pPr>
    </w:p>
    <w:p w14:paraId="0F54AEAC">
      <w:pPr>
        <w:pStyle w:val="2"/>
        <w:spacing w:before="58" w:line="263" w:lineRule="exact"/>
        <w:ind w:left="136"/>
        <w:rPr>
          <w:position w:val="3"/>
        </w:rPr>
      </w:pPr>
    </w:p>
    <w:p w14:paraId="3EBDB97A">
      <w:pPr>
        <w:pStyle w:val="2"/>
        <w:spacing w:before="58" w:line="263" w:lineRule="exact"/>
        <w:ind w:left="136"/>
        <w:rPr>
          <w:position w:val="3"/>
        </w:rPr>
      </w:pPr>
    </w:p>
    <w:p w14:paraId="0F815D1F">
      <w:pPr>
        <w:pStyle w:val="2"/>
        <w:spacing w:before="58" w:line="263" w:lineRule="exact"/>
        <w:ind w:left="136"/>
        <w:rPr>
          <w:position w:val="3"/>
        </w:rPr>
      </w:pPr>
    </w:p>
    <w:p w14:paraId="70DE1752">
      <w:pPr>
        <w:pStyle w:val="2"/>
        <w:spacing w:before="58" w:line="263" w:lineRule="exact"/>
        <w:ind w:left="136"/>
        <w:rPr>
          <w:position w:val="3"/>
        </w:rPr>
      </w:pPr>
    </w:p>
    <w:p w14:paraId="13319350">
      <w:pPr>
        <w:pStyle w:val="2"/>
        <w:spacing w:before="58" w:line="263" w:lineRule="exact"/>
        <w:ind w:left="136"/>
        <w:rPr>
          <w:position w:val="3"/>
        </w:rPr>
      </w:pPr>
    </w:p>
    <w:p w14:paraId="6FED148A">
      <w:pPr>
        <w:pStyle w:val="2"/>
        <w:spacing w:before="58" w:line="263" w:lineRule="exact"/>
        <w:ind w:left="136"/>
        <w:rPr>
          <w:position w:val="3"/>
        </w:rPr>
      </w:pPr>
    </w:p>
    <w:p w14:paraId="7539DFFA">
      <w:pPr>
        <w:pStyle w:val="2"/>
        <w:spacing w:before="58" w:line="263" w:lineRule="exact"/>
        <w:ind w:left="136"/>
        <w:rPr>
          <w:position w:val="3"/>
        </w:rPr>
      </w:pPr>
    </w:p>
    <w:p w14:paraId="48525EC0">
      <w:pPr>
        <w:pStyle w:val="2"/>
        <w:spacing w:before="58" w:line="263" w:lineRule="exact"/>
        <w:ind w:left="136"/>
        <w:rPr>
          <w:position w:val="3"/>
        </w:rPr>
      </w:pPr>
    </w:p>
    <w:p w14:paraId="1B09B901">
      <w:pPr>
        <w:pStyle w:val="2"/>
        <w:spacing w:before="58" w:line="263" w:lineRule="exact"/>
        <w:ind w:left="136"/>
        <w:rPr>
          <w:position w:val="3"/>
        </w:rPr>
      </w:pPr>
    </w:p>
    <w:p w14:paraId="5F0B1941">
      <w:pPr>
        <w:pStyle w:val="2"/>
        <w:spacing w:before="58" w:line="263" w:lineRule="exact"/>
        <w:ind w:left="136"/>
        <w:rPr>
          <w:position w:val="3"/>
        </w:rPr>
      </w:pPr>
    </w:p>
    <w:p w14:paraId="47D4ADCD">
      <w:pPr>
        <w:pStyle w:val="2"/>
        <w:spacing w:before="58" w:line="263" w:lineRule="exact"/>
        <w:ind w:left="136"/>
        <w:rPr>
          <w:position w:val="3"/>
        </w:rPr>
      </w:pPr>
    </w:p>
    <w:p w14:paraId="451C6D7C">
      <w:pPr>
        <w:pStyle w:val="2"/>
        <w:spacing w:before="58" w:line="263" w:lineRule="exact"/>
        <w:ind w:left="136"/>
        <w:rPr>
          <w:position w:val="3"/>
        </w:rPr>
      </w:pPr>
    </w:p>
    <w:p w14:paraId="6EA109FB">
      <w:pPr>
        <w:pStyle w:val="2"/>
        <w:spacing w:before="58" w:line="263" w:lineRule="exact"/>
        <w:ind w:left="136"/>
        <w:rPr>
          <w:position w:val="3"/>
        </w:rPr>
      </w:pPr>
    </w:p>
    <w:p w14:paraId="3308DD84">
      <w:pPr>
        <w:pStyle w:val="2"/>
        <w:spacing w:before="58" w:line="263" w:lineRule="exact"/>
        <w:ind w:left="136"/>
        <w:rPr>
          <w:position w:val="3"/>
        </w:rPr>
      </w:pPr>
    </w:p>
    <w:p w14:paraId="7626EA31">
      <w:pPr>
        <w:pStyle w:val="2"/>
        <w:spacing w:before="58" w:line="263" w:lineRule="exact"/>
        <w:ind w:left="136"/>
        <w:rPr>
          <w:position w:val="3"/>
        </w:rPr>
      </w:pPr>
    </w:p>
    <w:p w14:paraId="4DF34074">
      <w:pPr>
        <w:pStyle w:val="2"/>
        <w:spacing w:before="58" w:line="263" w:lineRule="exact"/>
        <w:ind w:left="136"/>
        <w:rPr>
          <w:position w:val="3"/>
        </w:rPr>
      </w:pPr>
    </w:p>
    <w:p w14:paraId="07FC764A">
      <w:pPr>
        <w:pStyle w:val="2"/>
        <w:spacing w:before="58" w:line="263" w:lineRule="exact"/>
        <w:ind w:left="136"/>
        <w:rPr>
          <w:position w:val="3"/>
        </w:rPr>
      </w:pPr>
    </w:p>
    <w:p w14:paraId="7B52A7AE">
      <w:pPr>
        <w:pStyle w:val="2"/>
        <w:spacing w:before="58" w:line="263" w:lineRule="exact"/>
        <w:ind w:left="136"/>
        <w:rPr>
          <w:position w:val="3"/>
        </w:rPr>
      </w:pPr>
    </w:p>
    <w:p w14:paraId="2CF7C442">
      <w:pPr>
        <w:pStyle w:val="2"/>
        <w:spacing w:before="58" w:line="263" w:lineRule="exact"/>
        <w:ind w:left="136"/>
        <w:rPr>
          <w:position w:val="3"/>
        </w:rPr>
      </w:pPr>
    </w:p>
    <w:p w14:paraId="3830F02B">
      <w:pPr>
        <w:pStyle w:val="2"/>
        <w:spacing w:before="58" w:line="263" w:lineRule="exact"/>
        <w:ind w:left="136"/>
        <w:rPr>
          <w:position w:val="3"/>
        </w:rPr>
      </w:pPr>
    </w:p>
    <w:p w14:paraId="487A7371">
      <w:pPr>
        <w:pStyle w:val="2"/>
        <w:spacing w:before="58" w:line="263" w:lineRule="exact"/>
        <w:ind w:left="136"/>
        <w:rPr>
          <w:position w:val="3"/>
        </w:rPr>
      </w:pPr>
    </w:p>
    <w:p w14:paraId="1CAB9D61">
      <w:pPr>
        <w:pStyle w:val="2"/>
        <w:spacing w:before="58" w:line="263" w:lineRule="exact"/>
        <w:ind w:left="136"/>
        <w:rPr>
          <w:position w:val="3"/>
        </w:rPr>
      </w:pPr>
    </w:p>
    <w:p w14:paraId="7EC15838">
      <w:pPr>
        <w:pStyle w:val="2"/>
        <w:spacing w:before="58" w:line="263" w:lineRule="exact"/>
        <w:ind w:left="136"/>
        <w:rPr>
          <w:position w:val="3"/>
        </w:rPr>
      </w:pPr>
    </w:p>
    <w:p w14:paraId="5A624F35">
      <w:pPr>
        <w:pStyle w:val="2"/>
        <w:spacing w:before="58" w:line="263" w:lineRule="exact"/>
        <w:ind w:left="136"/>
        <w:rPr>
          <w:position w:val="3"/>
        </w:rPr>
      </w:pPr>
    </w:p>
    <w:p w14:paraId="08858FA1">
      <w:pPr>
        <w:pStyle w:val="2"/>
        <w:spacing w:before="58" w:line="263" w:lineRule="exact"/>
        <w:ind w:left="136"/>
        <w:rPr>
          <w:position w:val="3"/>
        </w:rPr>
      </w:pPr>
    </w:p>
    <w:p w14:paraId="06E3D222">
      <w:pPr>
        <w:pStyle w:val="2"/>
        <w:spacing w:before="58" w:line="263" w:lineRule="exact"/>
        <w:ind w:left="136"/>
        <w:rPr>
          <w:position w:val="3"/>
        </w:rPr>
      </w:pPr>
    </w:p>
    <w:p w14:paraId="6D011021">
      <w:pPr>
        <w:pStyle w:val="2"/>
        <w:spacing w:before="58" w:line="263" w:lineRule="exact"/>
        <w:ind w:left="136"/>
        <w:rPr>
          <w:position w:val="3"/>
        </w:rPr>
      </w:pPr>
    </w:p>
    <w:p w14:paraId="5CD4C184">
      <w:pPr>
        <w:pStyle w:val="2"/>
        <w:spacing w:before="58" w:line="263" w:lineRule="exact"/>
        <w:ind w:left="136"/>
        <w:rPr>
          <w:position w:val="3"/>
        </w:rPr>
      </w:pPr>
    </w:p>
    <w:p w14:paraId="6910C4C9">
      <w:pPr>
        <w:pStyle w:val="2"/>
        <w:spacing w:before="58" w:line="263" w:lineRule="exact"/>
        <w:ind w:left="136"/>
        <w:rPr>
          <w:position w:val="3"/>
        </w:rPr>
      </w:pPr>
    </w:p>
    <w:p w14:paraId="435A3912">
      <w:pPr>
        <w:pStyle w:val="2"/>
        <w:spacing w:before="58" w:line="263" w:lineRule="exact"/>
        <w:ind w:left="136"/>
        <w:rPr>
          <w:position w:val="3"/>
        </w:rPr>
      </w:pPr>
    </w:p>
    <w:p w14:paraId="31B1A10E">
      <w:pPr>
        <w:pStyle w:val="2"/>
        <w:spacing w:before="58" w:line="263" w:lineRule="exact"/>
        <w:ind w:left="136"/>
        <w:rPr>
          <w:position w:val="3"/>
        </w:rPr>
      </w:pPr>
    </w:p>
    <w:p w14:paraId="3899CBDE">
      <w:pPr>
        <w:pStyle w:val="2"/>
        <w:spacing w:before="58" w:line="263" w:lineRule="exact"/>
        <w:ind w:left="136"/>
        <w:rPr>
          <w:position w:val="3"/>
        </w:rPr>
      </w:pPr>
    </w:p>
    <w:p w14:paraId="61BBFB7D">
      <w:pPr>
        <w:pStyle w:val="2"/>
        <w:spacing w:before="58" w:line="263" w:lineRule="exact"/>
        <w:ind w:left="136"/>
        <w:rPr>
          <w:position w:val="3"/>
        </w:rPr>
      </w:pPr>
    </w:p>
    <w:p w14:paraId="38EFF800">
      <w:pPr>
        <w:pStyle w:val="2"/>
        <w:spacing w:before="58" w:line="263" w:lineRule="exact"/>
        <w:ind w:left="136"/>
        <w:rPr>
          <w:position w:val="3"/>
        </w:rPr>
      </w:pPr>
    </w:p>
    <w:p w14:paraId="3E590B5A">
      <w:pPr>
        <w:pStyle w:val="2"/>
        <w:spacing w:before="58" w:line="263" w:lineRule="exact"/>
        <w:ind w:left="136"/>
        <w:rPr>
          <w:position w:val="3"/>
        </w:rPr>
      </w:pPr>
    </w:p>
    <w:p w14:paraId="7CC137CD">
      <w:pPr>
        <w:pStyle w:val="2"/>
        <w:spacing w:before="58" w:line="263" w:lineRule="exact"/>
        <w:ind w:left="136"/>
        <w:rPr>
          <w:position w:val="3"/>
        </w:rPr>
      </w:pPr>
    </w:p>
    <w:p w14:paraId="0423F374">
      <w:pPr>
        <w:pStyle w:val="2"/>
        <w:spacing w:before="58" w:line="263" w:lineRule="exact"/>
        <w:ind w:left="136"/>
        <w:rPr>
          <w:position w:val="3"/>
        </w:rPr>
      </w:pPr>
    </w:p>
    <w:p w14:paraId="45B99DC9">
      <w:pPr>
        <w:pStyle w:val="2"/>
        <w:spacing w:before="58" w:line="263" w:lineRule="exact"/>
        <w:ind w:left="136"/>
      </w:pPr>
      <w:r>
        <w:rPr>
          <w:position w:val="3"/>
        </w:rPr>
        <w:t>*Give information separately for exposed and une</w:t>
      </w:r>
      <w:r>
        <w:rPr>
          <w:spacing w:val="-1"/>
          <w:position w:val="3"/>
        </w:rPr>
        <w:t>xposed groups.</w:t>
      </w:r>
    </w:p>
    <w:p w14:paraId="7CE70CF2">
      <w:pPr>
        <w:pStyle w:val="2"/>
        <w:spacing w:before="57" w:line="300" w:lineRule="auto"/>
        <w:ind w:left="121" w:right="186" w:firstLine="3"/>
      </w:pPr>
      <w:r>
        <w:rPr>
          <w:b/>
          <w:bCs/>
        </w:rPr>
        <w:t xml:space="preserve">Note: </w:t>
      </w:r>
      <w:r>
        <w:t>An Explanation and Elaboration article discusses each checklist</w:t>
      </w:r>
      <w:r>
        <w:rPr>
          <w:spacing w:val="6"/>
        </w:rPr>
        <w:t xml:space="preserve"> </w:t>
      </w:r>
      <w:r>
        <w:t>item</w:t>
      </w:r>
      <w:r>
        <w:rPr>
          <w:spacing w:val="5"/>
        </w:rPr>
        <w:t xml:space="preserve"> </w:t>
      </w:r>
      <w:r>
        <w:t>and</w:t>
      </w:r>
      <w:r>
        <w:rPr>
          <w:spacing w:val="6"/>
        </w:rPr>
        <w:t xml:space="preserve"> </w:t>
      </w:r>
      <w:r>
        <w:t>gives</w:t>
      </w:r>
      <w:r>
        <w:rPr>
          <w:spacing w:val="3"/>
        </w:rPr>
        <w:t xml:space="preserve"> </w:t>
      </w:r>
      <w:r>
        <w:t>me</w:t>
      </w:r>
      <w:r>
        <w:rPr>
          <w:spacing w:val="-1"/>
        </w:rPr>
        <w:t>thodological background</w:t>
      </w:r>
      <w:r>
        <w:rPr>
          <w:spacing w:val="6"/>
        </w:rPr>
        <w:t xml:space="preserve"> </w:t>
      </w:r>
      <w:r>
        <w:rPr>
          <w:spacing w:val="-1"/>
        </w:rPr>
        <w:t>and</w:t>
      </w:r>
      <w:r>
        <w:t xml:space="preserve">   published examples of</w:t>
      </w:r>
      <w:r>
        <w:rPr>
          <w:spacing w:val="-18"/>
        </w:rPr>
        <w:t xml:space="preserve"> </w:t>
      </w:r>
      <w:r>
        <w:t>transparent reporting. The STROBE checklist is best used</w:t>
      </w:r>
      <w:r>
        <w:rPr>
          <w:spacing w:val="7"/>
        </w:rPr>
        <w:t xml:space="preserve"> </w:t>
      </w:r>
      <w:r>
        <w:t>in</w:t>
      </w:r>
      <w:r>
        <w:rPr>
          <w:spacing w:val="7"/>
        </w:rPr>
        <w:t xml:space="preserve"> </w:t>
      </w:r>
      <w:r>
        <w:t>conjunction</w:t>
      </w:r>
      <w:r>
        <w:rPr>
          <w:spacing w:val="1"/>
        </w:rPr>
        <w:t xml:space="preserve"> </w:t>
      </w:r>
      <w:r>
        <w:t>with</w:t>
      </w:r>
      <w:r>
        <w:rPr>
          <w:spacing w:val="3"/>
        </w:rPr>
        <w:t xml:space="preserve"> </w:t>
      </w:r>
      <w:r>
        <w:t>this</w:t>
      </w:r>
      <w:r>
        <w:rPr>
          <w:spacing w:val="7"/>
        </w:rPr>
        <w:t xml:space="preserve"> </w:t>
      </w:r>
      <w:r>
        <w:t>a</w:t>
      </w:r>
      <w:r>
        <w:rPr>
          <w:spacing w:val="-1"/>
        </w:rPr>
        <w:t>rticle</w:t>
      </w:r>
      <w:r>
        <w:rPr>
          <w:spacing w:val="8"/>
        </w:rPr>
        <w:t xml:space="preserve"> </w:t>
      </w:r>
      <w:r>
        <w:rPr>
          <w:spacing w:val="-1"/>
        </w:rPr>
        <w:t>(freely</w:t>
      </w:r>
      <w:r>
        <w:t xml:space="preserve"> available</w:t>
      </w:r>
      <w:r>
        <w:rPr>
          <w:spacing w:val="4"/>
        </w:rPr>
        <w:t xml:space="preserve"> </w:t>
      </w:r>
      <w:r>
        <w:t>on</w:t>
      </w:r>
      <w:r>
        <w:rPr>
          <w:spacing w:val="4"/>
        </w:rPr>
        <w:t xml:space="preserve"> </w:t>
      </w:r>
      <w:r>
        <w:t>the</w:t>
      </w:r>
      <w:r>
        <w:rPr>
          <w:spacing w:val="4"/>
        </w:rPr>
        <w:t xml:space="preserve"> </w:t>
      </w:r>
      <w:r>
        <w:t>Websites</w:t>
      </w:r>
      <w:r>
        <w:rPr>
          <w:spacing w:val="4"/>
        </w:rPr>
        <w:t xml:space="preserve"> </w:t>
      </w:r>
      <w:r>
        <w:t>of</w:t>
      </w:r>
      <w:r>
        <w:rPr>
          <w:spacing w:val="-3"/>
        </w:rPr>
        <w:t xml:space="preserve"> </w:t>
      </w:r>
      <w:r>
        <w:t>PLoS</w:t>
      </w:r>
      <w:r>
        <w:rPr>
          <w:spacing w:val="4"/>
        </w:rPr>
        <w:t xml:space="preserve"> </w:t>
      </w:r>
      <w:r>
        <w:t>Medicine</w:t>
      </w:r>
      <w:r>
        <w:rPr>
          <w:spacing w:val="4"/>
        </w:rPr>
        <w:t xml:space="preserve"> </w:t>
      </w:r>
      <w:r>
        <w:t>at</w:t>
      </w:r>
      <w:r>
        <w:rPr>
          <w:spacing w:val="4"/>
        </w:rPr>
        <w:t xml:space="preserve"> </w:t>
      </w:r>
      <w:r>
        <w:fldChar w:fldCharType="begin"/>
      </w:r>
      <w:r>
        <w:instrText xml:space="preserve"> HYPERLINK "http://www.plosmedicine.org/" </w:instrText>
      </w:r>
      <w:r>
        <w:fldChar w:fldCharType="separate"/>
      </w:r>
      <w:r>
        <w:t>http</w:t>
      </w:r>
      <w:r>
        <w:rPr>
          <w:spacing w:val="4"/>
        </w:rPr>
        <w:t>://</w:t>
      </w:r>
      <w:r>
        <w:t>www</w:t>
      </w:r>
      <w:r>
        <w:rPr>
          <w:spacing w:val="4"/>
        </w:rPr>
        <w:t>.</w:t>
      </w:r>
      <w:r>
        <w:t>plosmedicine</w:t>
      </w:r>
      <w:r>
        <w:rPr>
          <w:spacing w:val="4"/>
        </w:rPr>
        <w:t>.</w:t>
      </w:r>
      <w:r>
        <w:t>org</w:t>
      </w:r>
      <w:r>
        <w:rPr>
          <w:spacing w:val="4"/>
        </w:rPr>
        <w:t>/</w:t>
      </w:r>
      <w:r>
        <w:rPr>
          <w:spacing w:val="4"/>
        </w:rPr>
        <w:fldChar w:fldCharType="end"/>
      </w:r>
      <w:r>
        <w:rPr>
          <w:spacing w:val="4"/>
        </w:rPr>
        <w:t xml:space="preserve">, </w:t>
      </w:r>
      <w:r>
        <w:t>Annals</w:t>
      </w:r>
      <w:r>
        <w:rPr>
          <w:spacing w:val="4"/>
        </w:rPr>
        <w:t xml:space="preserve"> </w:t>
      </w:r>
      <w:r>
        <w:t>of</w:t>
      </w:r>
      <w:r>
        <w:rPr>
          <w:spacing w:val="-16"/>
        </w:rPr>
        <w:t xml:space="preserve"> </w:t>
      </w:r>
      <w:r>
        <w:t>Internal</w:t>
      </w:r>
      <w:r>
        <w:rPr>
          <w:spacing w:val="4"/>
        </w:rPr>
        <w:t xml:space="preserve"> </w:t>
      </w:r>
      <w:r>
        <w:t>Medicine</w:t>
      </w:r>
      <w:r>
        <w:rPr>
          <w:spacing w:val="4"/>
        </w:rPr>
        <w:t xml:space="preserve"> </w:t>
      </w:r>
      <w:r>
        <w:t>at</w:t>
      </w:r>
    </w:p>
    <w:p w14:paraId="46E89374">
      <w:pPr>
        <w:pStyle w:val="2"/>
        <w:spacing w:before="36" w:line="294" w:lineRule="auto"/>
        <w:ind w:left="129" w:right="651" w:hanging="6"/>
        <w:rPr>
          <w:rFonts w:eastAsiaTheme="minorEastAsia"/>
          <w:spacing w:val="-1"/>
          <w:lang w:eastAsia="zh-CN"/>
        </w:rPr>
      </w:pPr>
      <w:r>
        <w:fldChar w:fldCharType="begin"/>
      </w:r>
      <w:r>
        <w:instrText xml:space="preserve"> HYPERLINK "http://www.annals.org/" </w:instrText>
      </w:r>
      <w:r>
        <w:fldChar w:fldCharType="separate"/>
      </w:r>
      <w:r>
        <w:t>http://www.annals.org/</w:t>
      </w:r>
      <w:r>
        <w:fldChar w:fldCharType="end"/>
      </w:r>
      <w:r>
        <w:t xml:space="preserve">, and Epidemiology at </w:t>
      </w:r>
      <w:r>
        <w:fldChar w:fldCharType="begin"/>
      </w:r>
      <w:r>
        <w:instrText xml:space="preserve"> HYPERLINK "http://www.epidem.com/" </w:instrText>
      </w:r>
      <w:r>
        <w:fldChar w:fldCharType="separate"/>
      </w:r>
      <w:r>
        <w:t>http://www.epidem.com/</w:t>
      </w:r>
      <w:r>
        <w:fldChar w:fldCharType="end"/>
      </w:r>
      <w:r>
        <w:t>). Information on the</w:t>
      </w:r>
      <w:r>
        <w:rPr>
          <w:spacing w:val="13"/>
          <w:w w:val="101"/>
        </w:rPr>
        <w:t xml:space="preserve"> </w:t>
      </w:r>
      <w:r>
        <w:t>STR</w:t>
      </w:r>
      <w:r>
        <w:rPr>
          <w:spacing w:val="-1"/>
        </w:rPr>
        <w:t>OBE Initiative is</w:t>
      </w:r>
      <w:r>
        <w:t xml:space="preserve"> available at www.strobe-stateme</w:t>
      </w:r>
      <w:r>
        <w:rPr>
          <w:spacing w:val="-1"/>
        </w:rPr>
        <w:t>nt.org.</w:t>
      </w:r>
    </w:p>
    <w:sectPr>
      <w:footerReference r:id="rId3" w:type="default"/>
      <w:pgSz w:w="11905" w:h="16840"/>
      <w:pgMar w:top="1134" w:right="1021" w:bottom="902" w:left="1009" w:header="0" w:footer="714" w:gutter="0"/>
      <w:lnNumType w:countBy="1" w:restart="continuou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BDA1">
    <w:pPr>
      <w:spacing w:line="184" w:lineRule="auto"/>
      <w:ind w:left="4893"/>
      <w:rPr>
        <w:sz w:val="20"/>
        <w:szCs w:val="20"/>
        <w:lang w:eastAsia="zh-CN"/>
      </w:rPr>
    </w:pPr>
    <w:r>
      <w:rPr>
        <w:rFonts w:hint="eastAsia"/>
        <w:sz w:val="20"/>
        <w:szCs w:val="20"/>
        <w:lang w:eastAsia="zh-CN"/>
      </w:rPr>
      <w:t>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86729"/>
    <w:multiLevelType w:val="multilevel"/>
    <w:tmpl w:val="51E8672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4"/>
  </w:compat>
  <w:rsids>
    <w:rsidRoot w:val="00BA661C"/>
    <w:rsid w:val="001020F6"/>
    <w:rsid w:val="001D229B"/>
    <w:rsid w:val="00214E1E"/>
    <w:rsid w:val="002615A7"/>
    <w:rsid w:val="00287C06"/>
    <w:rsid w:val="00384785"/>
    <w:rsid w:val="00414006"/>
    <w:rsid w:val="004A0A2C"/>
    <w:rsid w:val="00576EEE"/>
    <w:rsid w:val="005777C5"/>
    <w:rsid w:val="005E51D1"/>
    <w:rsid w:val="006C7A05"/>
    <w:rsid w:val="006F17D2"/>
    <w:rsid w:val="00700323"/>
    <w:rsid w:val="00741FEF"/>
    <w:rsid w:val="00832C94"/>
    <w:rsid w:val="00884F1D"/>
    <w:rsid w:val="00916E32"/>
    <w:rsid w:val="00920DFE"/>
    <w:rsid w:val="00A072C8"/>
    <w:rsid w:val="00A759DE"/>
    <w:rsid w:val="00B97FE2"/>
    <w:rsid w:val="00BA661C"/>
    <w:rsid w:val="00BD3390"/>
    <w:rsid w:val="00CE55DB"/>
    <w:rsid w:val="00E405A9"/>
    <w:rsid w:val="00E53011"/>
    <w:rsid w:val="00FD00BA"/>
    <w:rsid w:val="0C140187"/>
    <w:rsid w:val="0E1D7F28"/>
    <w:rsid w:val="117B1EF4"/>
    <w:rsid w:val="124158DF"/>
    <w:rsid w:val="124A1CE8"/>
    <w:rsid w:val="15C10917"/>
    <w:rsid w:val="2E7154F2"/>
    <w:rsid w:val="327D33AC"/>
    <w:rsid w:val="38A65E1E"/>
    <w:rsid w:val="407B1912"/>
    <w:rsid w:val="4D301776"/>
    <w:rsid w:val="4D3F6EB6"/>
    <w:rsid w:val="67606D03"/>
    <w:rsid w:val="6BD2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0"/>
      <w:szCs w:val="20"/>
    </w:rPr>
  </w:style>
  <w:style w:type="paragraph" w:styleId="3">
    <w:name w:val="footer"/>
    <w:basedOn w:val="1"/>
    <w:link w:val="13"/>
    <w:unhideWhenUsed/>
    <w:qFormat/>
    <w:uiPriority w:val="99"/>
    <w:pPr>
      <w:tabs>
        <w:tab w:val="center" w:pos="4153"/>
        <w:tab w:val="right" w:pos="8306"/>
      </w:tabs>
    </w:pPr>
    <w:rPr>
      <w:sz w:val="18"/>
      <w:szCs w:val="18"/>
    </w:rPr>
  </w:style>
  <w:style w:type="paragraph" w:styleId="4">
    <w:name w:val="header"/>
    <w:basedOn w:val="1"/>
    <w:link w:val="12"/>
    <w:unhideWhenUsed/>
    <w:qFormat/>
    <w:uiPriority w:val="99"/>
    <w:pPr>
      <w:tabs>
        <w:tab w:val="center" w:pos="4153"/>
        <w:tab w:val="right" w:pos="8306"/>
      </w:tabs>
      <w:jc w:val="center"/>
    </w:pPr>
    <w:rPr>
      <w:sz w:val="18"/>
      <w:szCs w:val="18"/>
    </w:rPr>
  </w:style>
  <w:style w:type="paragraph" w:styleId="5">
    <w:name w:val="Normal (Web)"/>
    <w:basedOn w:val="1"/>
    <w:qFormat/>
    <w:uiPriority w:val="0"/>
    <w:pPr>
      <w:spacing w:beforeAutospacing="1" w:afterAutospacing="1"/>
    </w:pPr>
    <w:rPr>
      <w:rFonts w:cs="Times New Roman"/>
      <w:sz w:val="24"/>
      <w:lang w:eastAsia="zh-CN"/>
    </w:rPr>
  </w:style>
  <w:style w:type="character" w:styleId="8">
    <w:name w:val="Strong"/>
    <w:basedOn w:val="7"/>
    <w:qFormat/>
    <w:uiPriority w:val="0"/>
    <w:rPr>
      <w:b/>
    </w:rPr>
  </w:style>
  <w:style w:type="character" w:styleId="9">
    <w:name w:val="line number"/>
    <w:basedOn w:val="7"/>
    <w:semiHidden/>
    <w:unhideWhenUsed/>
    <w:qFormat/>
    <w:uiPriority w:val="99"/>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Times New Roman" w:hAnsi="Times New Roman" w:eastAsia="Times New Roman" w:cs="Times New Roman"/>
      <w:sz w:val="20"/>
      <w:szCs w:val="20"/>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Words>
  <Characters>105</Characters>
  <Lines>7</Lines>
  <Paragraphs>2</Paragraphs>
  <TotalTime>4</TotalTime>
  <ScaleCrop>false</ScaleCrop>
  <LinksUpToDate>false</LinksUpToDate>
  <CharactersWithSpaces>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2007-10-20T14:58:00Z</dcterms:created>
  <dc:creator>Administrator</dc:creator>
  <cp:lastModifiedBy>3</cp:lastModifiedBy>
  <dcterms:modified xsi:type="dcterms:W3CDTF">2025-06-13T03:41:12Z</dcterms:modified>
  <dc:title>Microsoft Word - STROBE checklist cross-sectional.doc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2024-11-21T12:13:18Z</vt:filetime>
  </property>
  <property fmtid="{D5CDD505-2E9C-101B-9397-08002B2CF9AE}" pid="4" name="KSOProductBuildVer">
    <vt:lpwstr>2052-12.1.0.21541</vt:lpwstr>
  </property>
  <property fmtid="{D5CDD505-2E9C-101B-9397-08002B2CF9AE}" pid="5" name="ICV">
    <vt:lpwstr>ACE9FEF0048D465B81C3605CC5129E64_13</vt:lpwstr>
  </property>
  <property fmtid="{D5CDD505-2E9C-101B-9397-08002B2CF9AE}" pid="6" name="KSOTemplateDocerSaveRecord">
    <vt:lpwstr>eyJoZGlkIjoiZThmNjAzMWJlZjFkMmQwODUwMTJkYzE2ODFiYmFmYTciLCJ1c2VySWQiOiI0OTkzMzc3NjAifQ==</vt:lpwstr>
  </property>
</Properties>
</file>