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199179">
      <w:pPr>
        <w:widowControl/>
        <w:spacing w:line="360" w:lineRule="auto"/>
        <w:rPr>
          <w:rFonts w:eastAsia="宋体" w:cs="Times New Roman"/>
          <w:b/>
          <w:sz w:val="24"/>
          <w:lang w:bidi="ar"/>
        </w:rPr>
      </w:pPr>
      <w:r>
        <w:rPr>
          <w:rFonts w:hint="eastAsia" w:eastAsia="宋体" w:cs="Times New Roman"/>
          <w:b/>
          <w:sz w:val="24"/>
          <w:lang w:bidi="ar"/>
        </w:rPr>
        <w:t>S</w:t>
      </w:r>
      <w:r>
        <w:rPr>
          <w:rFonts w:eastAsia="宋体" w:cs="Times New Roman"/>
          <w:b/>
          <w:sz w:val="24"/>
          <w:lang w:bidi="ar"/>
        </w:rPr>
        <w:t xml:space="preserve">upporting </w:t>
      </w:r>
      <w:r>
        <w:rPr>
          <w:rFonts w:hint="eastAsia" w:eastAsia="宋体" w:cs="Times New Roman"/>
          <w:b/>
          <w:sz w:val="24"/>
          <w:lang w:bidi="ar"/>
        </w:rPr>
        <w:t>I</w:t>
      </w:r>
      <w:r>
        <w:rPr>
          <w:rFonts w:eastAsia="宋体" w:cs="Times New Roman"/>
          <w:b/>
          <w:sz w:val="24"/>
          <w:lang w:bidi="ar"/>
        </w:rPr>
        <w:t>nformation</w:t>
      </w:r>
      <w:r>
        <w:rPr>
          <w:rFonts w:hint="eastAsia" w:eastAsia="宋体" w:cs="Times New Roman"/>
          <w:b/>
          <w:sz w:val="24"/>
          <w:lang w:bidi="ar"/>
        </w:rPr>
        <w:t xml:space="preserve"> </w:t>
      </w:r>
    </w:p>
    <w:p w14:paraId="51B7B0B4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eastAsia="宋体" w:cs="Times New Roman"/>
          <w:b/>
          <w:sz w:val="24"/>
          <w:lang w:bidi="ar"/>
        </w:rPr>
        <w:fldChar w:fldCharType="begin"/>
      </w:r>
      <w:r>
        <w:rPr>
          <w:rFonts w:eastAsia="宋体" w:cs="Times New Roman"/>
          <w:b/>
          <w:sz w:val="24"/>
          <w:lang w:bidi="ar"/>
        </w:rPr>
        <w:instrText xml:space="preserve"> TOC \o "1-3" \u </w:instrText>
      </w:r>
      <w:r>
        <w:rPr>
          <w:rFonts w:eastAsia="宋体" w:cs="Times New Roman"/>
          <w:b/>
          <w:sz w:val="24"/>
          <w:lang w:bidi="ar"/>
        </w:rPr>
        <w:fldChar w:fldCharType="separate"/>
      </w:r>
      <w:r>
        <w:rPr>
          <w:rFonts w:hint="eastAsia" w:eastAsia="宋体"/>
          <w:lang w:bidi="ar"/>
        </w:rPr>
        <w:t xml:space="preserve">Fig. S1. Gene ontology enrichment analysis of </w:t>
      </w:r>
      <w:r>
        <w:rPr>
          <w:rFonts w:hint="eastAsia"/>
        </w:rPr>
        <w:t>differentially methylated genes between TNBC and non-TNBC tissues.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_Toc199703914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2</w:t>
      </w:r>
      <w:r>
        <w:rPr>
          <w:rFonts w:hint="eastAsia"/>
        </w:rPr>
        <w:fldChar w:fldCharType="end"/>
      </w:r>
    </w:p>
    <w:p w14:paraId="0F02D691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S2. The correlation among the 113 selected methylation markers. Blue indicates negative correlation, and red indicates positive correlation.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_Toc199703915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2</w:t>
      </w:r>
      <w:r>
        <w:rPr>
          <w:rFonts w:hint="eastAsia"/>
        </w:rPr>
        <w:fldChar w:fldCharType="end"/>
      </w:r>
    </w:p>
    <w:p w14:paraId="7AEE1EBC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S3. Diagnostic effect of methylation diagnostic score (MDS) for different clinical stages of TNBC in TCGA dataset.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_Toc199703916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3</w:t>
      </w:r>
      <w:r>
        <w:rPr>
          <w:rFonts w:hint="eastAsia"/>
        </w:rPr>
        <w:fldChar w:fldCharType="end"/>
      </w:r>
    </w:p>
    <w:p w14:paraId="1C1E1CFE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/>
        </w:rPr>
        <w:t>Fig. S4. Time-dependent ROC curves for evaluating the prognostic performance of cg06268921 in TNBC patients from the TCGA cohort.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_Toc199703917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4</w:t>
      </w:r>
      <w:r>
        <w:rPr>
          <w:rFonts w:hint="eastAsia"/>
        </w:rPr>
        <w:fldChar w:fldCharType="end"/>
      </w:r>
    </w:p>
    <w:p w14:paraId="4A4AF824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cs="Times New Roman"/>
        </w:rPr>
        <w:t>Fig. S5. Forest plots of the meta-analysis for the association between cg06268921 methylation and overall survival (A) or disease-free survival (B) in the TCGA and GSE72251 TNBC cohorts.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_Toc199703918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4</w:t>
      </w:r>
      <w:r>
        <w:rPr>
          <w:rFonts w:hint="eastAsia"/>
        </w:rPr>
        <w:fldChar w:fldCharType="end"/>
      </w:r>
    </w:p>
    <w:p w14:paraId="391E5BF0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S6. Optimization of annealing temperature for mddPCR assay.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_Toc199703919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5</w:t>
      </w:r>
      <w:r>
        <w:rPr>
          <w:rFonts w:hint="eastAsia"/>
        </w:rPr>
        <w:fldChar w:fldCharType="end"/>
      </w:r>
    </w:p>
    <w:p w14:paraId="5CB9DE60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</w:rPr>
        <w:t xml:space="preserve">Fig. S7. </w:t>
      </w:r>
      <w:r>
        <w:rPr>
          <w:rFonts w:hint="eastAsia"/>
        </w:rPr>
        <w:t>Analysis of limit of quantification (LOQ) for multiplex quantitative methylation-specific PCR (mqMSP assay) and mddPCR assay.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_Toc199703920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5</w:t>
      </w:r>
      <w:r>
        <w:rPr>
          <w:rFonts w:hint="eastAsia"/>
        </w:rPr>
        <w:fldChar w:fldCharType="end"/>
      </w:r>
    </w:p>
    <w:p w14:paraId="6195010F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S8. Circulating cell free DNA concentrations in TNBC and non-TNBC plasma.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_Toc199703921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6</w:t>
      </w:r>
      <w:r>
        <w:rPr>
          <w:rFonts w:hint="eastAsia"/>
        </w:rPr>
        <w:fldChar w:fldCharType="end"/>
      </w:r>
    </w:p>
    <w:p w14:paraId="2C5683C7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S9. The number of methylated copies of candidate genes in mddPCR assay.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_Toc199703922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7</w:t>
      </w:r>
      <w:r>
        <w:rPr>
          <w:rFonts w:hint="eastAsia"/>
        </w:rPr>
        <w:fldChar w:fldCharType="end"/>
      </w:r>
    </w:p>
    <w:p w14:paraId="0E0A2F48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S10. Diagnostic power of cfDNA-based MDS for different clinical stages TNBC in cfDNA validation cohort.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_Toc199703923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8</w:t>
      </w:r>
      <w:r>
        <w:rPr>
          <w:rFonts w:hint="eastAsia"/>
        </w:rPr>
        <w:fldChar w:fldCharType="end"/>
      </w:r>
    </w:p>
    <w:p w14:paraId="37C4834C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Fig. S11. Methylation levels of eight candidate markers in cfDNA from healthy individuals and luminal B breast cancer patients in GSE214344.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_Toc199703924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9</w:t>
      </w:r>
      <w:r>
        <w:rPr>
          <w:rFonts w:hint="eastAsia"/>
        </w:rPr>
        <w:fldChar w:fldCharType="end"/>
      </w:r>
    </w:p>
    <w:p w14:paraId="08EDBF8C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Table S1 Basic</w:t>
      </w:r>
      <w:r>
        <w:rPr>
          <w:rFonts w:hint="eastAsia"/>
        </w:rPr>
        <w:t xml:space="preserve"> information of each breast cancer patient included in Infinium MethylationEPIC BeadChip analysis.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_Toc199703925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10</w:t>
      </w:r>
      <w:r>
        <w:rPr>
          <w:rFonts w:hint="eastAsia"/>
        </w:rPr>
        <w:fldChar w:fldCharType="end"/>
      </w:r>
    </w:p>
    <w:p w14:paraId="23DA1588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S2 </w:t>
      </w:r>
      <w:r>
        <w:rPr>
          <w:rFonts w:hint="eastAsia"/>
        </w:rPr>
        <w:t>Primer and probe sequences of candidate genes and reference gene.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_Toc199703926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11</w:t>
      </w:r>
      <w:r>
        <w:rPr>
          <w:rFonts w:hint="eastAsia"/>
        </w:rPr>
        <w:fldChar w:fldCharType="end"/>
      </w:r>
    </w:p>
    <w:p w14:paraId="0078DAAD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>Table S3 The clinical characteristics of patients in public datasets.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_Toc199703927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12</w:t>
      </w:r>
      <w:r>
        <w:rPr>
          <w:rFonts w:hint="eastAsia"/>
        </w:rPr>
        <w:fldChar w:fldCharType="end"/>
      </w:r>
    </w:p>
    <w:p w14:paraId="3769D146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</w:rPr>
        <w:t>Table S4 Difference</w:t>
      </w:r>
      <w:r>
        <w:rPr>
          <w:rFonts w:hint="eastAsia"/>
        </w:rPr>
        <w:t xml:space="preserve"> of eight CpG sites for distinguishing TNBC from non-TNBC tissues in TCGA </w:t>
      </w:r>
      <w:r>
        <w:rPr>
          <w:rFonts w:hint="eastAsia" w:cs="Times New Roman"/>
        </w:rPr>
        <w:t>dataset.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_Toc199703928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13</w:t>
      </w:r>
      <w:r>
        <w:rPr>
          <w:rFonts w:hint="eastAsia"/>
        </w:rPr>
        <w:fldChar w:fldCharType="end"/>
      </w:r>
    </w:p>
    <w:p w14:paraId="718E4DA2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S5 </w:t>
      </w:r>
      <w:r>
        <w:rPr>
          <w:rFonts w:hint="eastAsia"/>
        </w:rPr>
        <w:t>Diagnostic performance of eight CpG sites for distinguishing TNBC from non-TNBC tissues in TCGA dataset.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_Toc199703929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13</w:t>
      </w:r>
      <w:r>
        <w:rPr>
          <w:rFonts w:hint="eastAsia"/>
        </w:rPr>
        <w:fldChar w:fldCharType="end"/>
      </w:r>
    </w:p>
    <w:p w14:paraId="7B453809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S6 </w:t>
      </w:r>
      <w:r>
        <w:rPr>
          <w:rFonts w:hint="eastAsia"/>
        </w:rPr>
        <w:t xml:space="preserve">Sensitivity and specificity of the </w:t>
      </w:r>
      <w:r>
        <w:rPr>
          <w:rFonts w:hint="eastAsia" w:eastAsia="宋体"/>
        </w:rPr>
        <w:t>methylation diagnostic score in the TCGA and GSE69914 datasets.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_Toc199703930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13</w:t>
      </w:r>
      <w:r>
        <w:rPr>
          <w:rFonts w:hint="eastAsia"/>
        </w:rPr>
        <w:fldChar w:fldCharType="end"/>
      </w:r>
    </w:p>
    <w:p w14:paraId="29839899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S7 </w:t>
      </w:r>
      <w:r>
        <w:rPr>
          <w:rFonts w:hint="eastAsia"/>
        </w:rPr>
        <w:t>Univariate Cox analyses for overall survival of CpG sites in the TCGA-TNBC cohort.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_Toc199703931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14</w:t>
      </w:r>
      <w:r>
        <w:rPr>
          <w:rFonts w:hint="eastAsia"/>
        </w:rPr>
        <w:fldChar w:fldCharType="end"/>
      </w:r>
    </w:p>
    <w:p w14:paraId="3881EBA4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S8 </w:t>
      </w:r>
      <w:r>
        <w:rPr>
          <w:rFonts w:hint="eastAsia"/>
        </w:rPr>
        <w:t xml:space="preserve">Univariate and multivariate Cox analyses for overall survival of </w:t>
      </w:r>
      <w:r>
        <w:rPr>
          <w:rFonts w:hint="eastAsia" w:eastAsia="宋体"/>
          <w:color w:val="000000"/>
          <w:kern w:val="0"/>
          <w:lang w:bidi="ar"/>
        </w:rPr>
        <w:t>cg06268921</w:t>
      </w:r>
      <w:r>
        <w:rPr>
          <w:rFonts w:hint="eastAsia"/>
        </w:rPr>
        <w:t xml:space="preserve"> in the TCGA </w:t>
      </w:r>
      <w:r>
        <w:rPr>
          <w:rFonts w:hint="eastAsia" w:eastAsia="宋体"/>
        </w:rPr>
        <w:t xml:space="preserve">and GSE72251 TNBC </w:t>
      </w:r>
      <w:r>
        <w:rPr>
          <w:rFonts w:hint="eastAsia"/>
        </w:rPr>
        <w:t>cohort</w:t>
      </w:r>
      <w:r>
        <w:rPr>
          <w:rFonts w:hint="eastAsia" w:eastAsia="宋体"/>
        </w:rPr>
        <w:t>s</w:t>
      </w:r>
      <w:r>
        <w:rPr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_Toc199703932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14</w:t>
      </w:r>
      <w:r>
        <w:rPr>
          <w:rFonts w:hint="eastAsia"/>
        </w:rPr>
        <w:fldChar w:fldCharType="end"/>
      </w:r>
    </w:p>
    <w:p w14:paraId="6B39C60C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S9 </w:t>
      </w:r>
      <w:r>
        <w:rPr>
          <w:rFonts w:hint="eastAsia"/>
        </w:rPr>
        <w:t>Univariate Cox analyses for disease-free survival of CpG sites in the TCGA-TNBC cohort.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_Toc199703933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14</w:t>
      </w:r>
      <w:r>
        <w:rPr>
          <w:rFonts w:hint="eastAsia"/>
        </w:rPr>
        <w:fldChar w:fldCharType="end"/>
      </w:r>
    </w:p>
    <w:p w14:paraId="226FA18A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S10 </w:t>
      </w:r>
      <w:r>
        <w:rPr>
          <w:rFonts w:hint="eastAsia"/>
        </w:rPr>
        <w:t xml:space="preserve">Univariate and multivariate Cox analyses for disease-free survival of </w:t>
      </w:r>
      <w:r>
        <w:rPr>
          <w:rFonts w:hint="eastAsia" w:eastAsia="宋体"/>
          <w:color w:val="000000"/>
          <w:kern w:val="0"/>
          <w:lang w:bidi="ar"/>
        </w:rPr>
        <w:t>cg06268921</w:t>
      </w:r>
      <w:r>
        <w:rPr>
          <w:rFonts w:hint="eastAsia"/>
        </w:rPr>
        <w:t xml:space="preserve"> in the TCGA </w:t>
      </w:r>
      <w:r>
        <w:rPr>
          <w:rFonts w:hint="eastAsia" w:eastAsia="宋体"/>
        </w:rPr>
        <w:t xml:space="preserve">and GSE72251 TNBC </w:t>
      </w:r>
      <w:r>
        <w:rPr>
          <w:rFonts w:hint="eastAsia"/>
        </w:rPr>
        <w:t>cohort</w:t>
      </w:r>
      <w:r>
        <w:rPr>
          <w:rFonts w:hint="eastAsia" w:eastAsia="宋体"/>
        </w:rPr>
        <w:t>s</w:t>
      </w:r>
      <w:r>
        <w:rPr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_Toc199703934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15</w:t>
      </w:r>
      <w:r>
        <w:rPr>
          <w:rFonts w:hint="eastAsia"/>
        </w:rPr>
        <w:fldChar w:fldCharType="end"/>
      </w:r>
    </w:p>
    <w:p w14:paraId="2F94E341">
      <w:pPr>
        <w:pStyle w:val="9"/>
        <w:tabs>
          <w:tab w:val="right" w:leader="dot" w:pos="9350"/>
        </w:tabs>
        <w:ind w:left="400"/>
        <w:rPr>
          <w:rFonts w:hint="eastAsia" w:asciiTheme="minorHAnsi" w:hAnsiTheme="minorHAnsi"/>
          <w:sz w:val="22"/>
          <w14:ligatures w14:val="standardContextual"/>
        </w:rPr>
      </w:pPr>
      <w:r>
        <w:rPr>
          <w:rFonts w:hint="eastAsia" w:eastAsia="宋体"/>
          <w:lang w:bidi="ar"/>
        </w:rPr>
        <w:t xml:space="preserve">Table S11 </w:t>
      </w:r>
      <w:r>
        <w:rPr>
          <w:rFonts w:hint="eastAsia"/>
        </w:rPr>
        <w:t>The mix preparation for one reaction.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_Toc199703935 \h</w:instrText>
      </w:r>
      <w:r>
        <w:rPr>
          <w:rFonts w:hint="eastAsia"/>
        </w:rPr>
        <w:instrText xml:space="preserve"> </w:instrText>
      </w:r>
      <w:r>
        <w:fldChar w:fldCharType="separate"/>
      </w:r>
      <w:r>
        <w:t>15</w:t>
      </w:r>
      <w:r>
        <w:rPr>
          <w:rFonts w:hint="eastAsia"/>
        </w:rPr>
        <w:fldChar w:fldCharType="end"/>
      </w:r>
    </w:p>
    <w:p w14:paraId="1B26F780">
      <w:pPr>
        <w:widowControl/>
        <w:jc w:val="left"/>
        <w:rPr>
          <w:rFonts w:eastAsia="宋体" w:cs="Times New Roman"/>
          <w:b/>
          <w:sz w:val="24"/>
          <w:lang w:bidi="ar"/>
        </w:rPr>
      </w:pPr>
      <w:r>
        <w:rPr>
          <w:rFonts w:eastAsia="宋体" w:cs="Times New Roman"/>
          <w:b/>
          <w:sz w:val="24"/>
          <w:lang w:bidi="ar"/>
        </w:rPr>
        <w:fldChar w:fldCharType="end"/>
      </w:r>
    </w:p>
    <w:p w14:paraId="5C017B22">
      <w:pPr>
        <w:widowControl/>
        <w:jc w:val="left"/>
        <w:rPr>
          <w:rFonts w:eastAsia="宋体" w:cs="Times New Roman"/>
          <w:b/>
          <w:sz w:val="24"/>
          <w:lang w:bidi="ar"/>
        </w:rPr>
      </w:pPr>
      <w:r>
        <w:rPr>
          <w:rFonts w:eastAsia="宋体" w:cs="Times New Roman"/>
          <w:b/>
          <w:sz w:val="24"/>
          <w:lang w:bidi="ar"/>
        </w:rPr>
        <w:br w:type="page"/>
      </w:r>
    </w:p>
    <w:p w14:paraId="59ED0FF3">
      <w:pPr>
        <w:rPr>
          <w:rFonts w:eastAsia="宋体"/>
          <w:lang w:bidi="ar"/>
        </w:rPr>
      </w:pPr>
      <w:r>
        <w:rPr>
          <w:rFonts w:cs="Times New Roman"/>
          <w:szCs w:val="20"/>
        </w:rPr>
        <w:drawing>
          <wp:inline distT="0" distB="0" distL="0" distR="0">
            <wp:extent cx="4909820" cy="4330065"/>
            <wp:effectExtent l="0" t="0" r="12700" b="13335"/>
            <wp:docPr id="2021818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1854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199701018"/>
      <w:bookmarkStart w:id="1" w:name="_Toc199701083"/>
      <w:bookmarkStart w:id="2" w:name="_Toc199700817"/>
      <w:bookmarkStart w:id="3" w:name="_Toc199700790"/>
    </w:p>
    <w:p w14:paraId="11022EF9">
      <w:pPr>
        <w:pStyle w:val="3"/>
        <w:jc w:val="center"/>
        <w:rPr>
          <w:rFonts w:cs="Times New Roman" w:eastAsiaTheme="minorEastAsia"/>
          <w:szCs w:val="20"/>
        </w:rPr>
      </w:pPr>
      <w:bookmarkStart w:id="4" w:name="_Toc199702319"/>
      <w:bookmarkStart w:id="5" w:name="_Toc199703914"/>
      <w:bookmarkStart w:id="6" w:name="_Toc199701189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S1. Gene ontology enrichment analysis of </w:t>
      </w:r>
      <w:r>
        <w:t>differentially methylated genes between TNBC and non-TNBC tissues.</w:t>
      </w:r>
      <w:bookmarkEnd w:id="4"/>
      <w:bookmarkEnd w:id="5"/>
      <w:bookmarkEnd w:id="6"/>
    </w:p>
    <w:bookmarkEnd w:id="0"/>
    <w:bookmarkEnd w:id="1"/>
    <w:bookmarkEnd w:id="2"/>
    <w:bookmarkEnd w:id="3"/>
    <w:p w14:paraId="7D09F283">
      <w:pPr>
        <w:jc w:val="center"/>
        <w:rPr>
          <w:rFonts w:eastAsia="宋体" w:cs="Times New Roman"/>
          <w:b/>
          <w:szCs w:val="20"/>
          <w:lang w:bidi="ar"/>
        </w:rPr>
      </w:pPr>
      <w:r>
        <w:rPr>
          <w:rFonts w:eastAsia="宋体" w:cs="Times New Roman"/>
          <w:b/>
          <w:szCs w:val="20"/>
          <w:lang w:bidi="ar"/>
        </w:rPr>
        <w:drawing>
          <wp:inline distT="0" distB="0" distL="114300" distR="114300">
            <wp:extent cx="4679950" cy="2729865"/>
            <wp:effectExtent l="0" t="0" r="6350" b="0"/>
            <wp:docPr id="1" name="图片 1" descr="cor_1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r_113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855" cy="27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8F3E">
      <w:pPr>
        <w:pStyle w:val="3"/>
        <w:jc w:val="center"/>
      </w:pPr>
      <w:bookmarkStart w:id="7" w:name="_Toc199700818"/>
      <w:bookmarkStart w:id="8" w:name="_Toc199702320"/>
      <w:bookmarkStart w:id="9" w:name="_Toc199701019"/>
      <w:bookmarkStart w:id="10" w:name="_Toc199701084"/>
      <w:bookmarkStart w:id="11" w:name="_Toc199700791"/>
      <w:bookmarkStart w:id="12" w:name="_Toc199701190"/>
      <w:bookmarkStart w:id="13" w:name="_Toc199703915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S2. The correlation among the 113 selected methylation markers. Blue indicates negative correlation, and red indicates positive correlation.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0E8F68B">
      <w:pPr>
        <w:rPr>
          <w:rFonts w:eastAsia="宋体" w:cs="Times New Roman"/>
          <w:b/>
          <w:szCs w:val="20"/>
          <w:lang w:bidi="ar"/>
        </w:rPr>
      </w:pPr>
    </w:p>
    <w:p w14:paraId="6447151A">
      <w:pPr>
        <w:jc w:val="center"/>
        <w:rPr>
          <w:rFonts w:cs="Times New Roman"/>
          <w:szCs w:val="20"/>
        </w:rPr>
      </w:pPr>
      <w:r>
        <w:rPr>
          <w:rFonts w:hint="eastAsia" w:cs="Times New Roman"/>
          <w:szCs w:val="20"/>
        </w:rPr>
        <w:drawing>
          <wp:inline distT="0" distB="0" distL="114300" distR="114300">
            <wp:extent cx="4931410" cy="4940935"/>
            <wp:effectExtent l="0" t="0" r="6350" b="12065"/>
            <wp:docPr id="8" name="图片 8" descr="S3_stage_tcg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3_stage_tcga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A138">
      <w:pPr>
        <w:pStyle w:val="3"/>
        <w:jc w:val="center"/>
        <w:rPr>
          <w:rFonts w:eastAsia="宋体"/>
          <w:lang w:bidi="ar"/>
        </w:rPr>
      </w:pPr>
      <w:bookmarkStart w:id="14" w:name="_Toc199700819"/>
      <w:bookmarkStart w:id="15" w:name="_Toc199701020"/>
      <w:bookmarkStart w:id="16" w:name="_Toc199701085"/>
      <w:bookmarkStart w:id="17" w:name="_Toc199700792"/>
      <w:bookmarkStart w:id="18" w:name="_Toc199702321"/>
      <w:bookmarkStart w:id="19" w:name="_Toc199701191"/>
      <w:bookmarkStart w:id="20" w:name="_Toc199703916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S3. Diagnostic effect of methylation diagnostic score (MDS) for different clinical stages of TNBC in TCGA dataset.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16016D40">
      <w:pPr>
        <w:jc w:val="center"/>
        <w:rPr>
          <w:lang w:bidi="ar"/>
        </w:rPr>
      </w:pPr>
      <w:r>
        <w:rPr>
          <w:lang w:bidi="ar"/>
        </w:rPr>
        <w:t xml:space="preserve">A, Boxplot of MDS for non-TNBC and different stages of TNBC. B, </w:t>
      </w:r>
      <w:r>
        <w:t>Receiver operating characteristic curve of MDS for distinguishing TNBC with stage I/II and stage III/IV from non-TNBC, respectively.</w:t>
      </w:r>
    </w:p>
    <w:p w14:paraId="4FC8EBD1">
      <w:pPr>
        <w:jc w:val="center"/>
        <w:rPr>
          <w:rFonts w:cs="Times New Roman"/>
          <w:szCs w:val="20"/>
        </w:rPr>
      </w:pPr>
    </w:p>
    <w:p w14:paraId="6A0B9A46">
      <w:pPr>
        <w:rPr>
          <w:rFonts w:cs="Times New Roman"/>
          <w:szCs w:val="20"/>
        </w:rPr>
      </w:pPr>
      <w:r>
        <w:rPr>
          <w:rFonts w:hint="eastAsia" w:cs="Times New Roman"/>
          <w:szCs w:val="20"/>
        </w:rPr>
        <w:drawing>
          <wp:inline distT="0" distB="0" distL="114300" distR="114300">
            <wp:extent cx="5937885" cy="2580005"/>
            <wp:effectExtent l="0" t="0" r="5715" b="10795"/>
            <wp:docPr id="2" name="图片 2" descr="time_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e_ro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FBD4">
      <w:pPr>
        <w:pStyle w:val="3"/>
        <w:jc w:val="center"/>
        <w:rPr>
          <w:rFonts w:eastAsiaTheme="minorEastAsia"/>
        </w:rPr>
      </w:pPr>
      <w:bookmarkStart w:id="21" w:name="_Toc199700793"/>
      <w:bookmarkStart w:id="22" w:name="_Toc199701021"/>
      <w:bookmarkStart w:id="23" w:name="_Toc199701192"/>
      <w:bookmarkStart w:id="24" w:name="_Toc199700820"/>
      <w:bookmarkStart w:id="25" w:name="_Toc199703917"/>
      <w:bookmarkStart w:id="26" w:name="_Toc199702322"/>
      <w:bookmarkStart w:id="27" w:name="_Toc199701086"/>
      <w:r>
        <w:rPr>
          <w:rFonts w:hint="eastAsia"/>
        </w:rPr>
        <w:t>Fig. S4. Time-dependent ROC curves for evaluating the prognostic performance of cg06268921 in TNBC patients from the TCGA cohort.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5A2A581A">
      <w:pPr>
        <w:jc w:val="center"/>
      </w:pPr>
      <w:r>
        <w:rPr>
          <w:rFonts w:hint="eastAsia"/>
        </w:rPr>
        <w:t>A, Time-dependent ROC curve for predicting 3-, 5-year overall survival; B, Time-dependent ROC curve for predicting 3-, 5-year disease-free survival. ROC, Receiver Operating Characteristic.</w:t>
      </w:r>
    </w:p>
    <w:p w14:paraId="2582D422">
      <w:pPr>
        <w:rPr>
          <w:rFonts w:cs="Times New Roman"/>
          <w:szCs w:val="20"/>
        </w:rPr>
      </w:pPr>
    </w:p>
    <w:p w14:paraId="12B0DDF1">
      <w:pPr>
        <w:jc w:val="center"/>
      </w:pPr>
      <w:r>
        <w:drawing>
          <wp:inline distT="0" distB="0" distL="114300" distR="114300">
            <wp:extent cx="5039995" cy="2473960"/>
            <wp:effectExtent l="0" t="0" r="4445" b="10160"/>
            <wp:docPr id="9" name="图片 9" descr="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et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98D3">
      <w:pPr>
        <w:pStyle w:val="3"/>
        <w:jc w:val="center"/>
        <w:rPr>
          <w:rFonts w:eastAsiaTheme="minorEastAsia"/>
        </w:rPr>
      </w:pPr>
      <w:bookmarkStart w:id="28" w:name="_Toc199700794"/>
      <w:bookmarkStart w:id="29" w:name="_Toc199702323"/>
      <w:bookmarkStart w:id="30" w:name="_Toc199701022"/>
      <w:bookmarkStart w:id="31" w:name="_Toc199701087"/>
      <w:bookmarkStart w:id="32" w:name="_Toc199703918"/>
      <w:bookmarkStart w:id="33" w:name="_Toc199701193"/>
      <w:bookmarkStart w:id="34" w:name="_Toc199700821"/>
      <w:r>
        <w:rPr>
          <w:rStyle w:val="21"/>
          <w:rFonts w:cs="Times New Roman"/>
          <w:bCs w:val="0"/>
          <w:szCs w:val="20"/>
        </w:rPr>
        <w:t>Fig. S5. Forest plots of the meta-analysis for the association between cg06268921 methylation and overall survival (A) or disease-free survival (B) in the TCGA and GSE72251 TNBC cohorts.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32B24788">
      <w:pPr>
        <w:jc w:val="center"/>
      </w:pPr>
      <w:r>
        <w:t>Due to the lack of stage in GSE72251 cohort, hazard ratios were estimated using univariate Cox regression analysis.</w:t>
      </w:r>
    </w:p>
    <w:p w14:paraId="2D670CEF"/>
    <w:p w14:paraId="1C5E98FD">
      <w:pPr>
        <w:jc w:val="center"/>
      </w:pPr>
    </w:p>
    <w:p w14:paraId="23DB7618">
      <w:pPr>
        <w:jc w:val="center"/>
        <w:rPr>
          <w:rFonts w:cs="Times New Roman"/>
          <w:szCs w:val="20"/>
        </w:rPr>
      </w:pPr>
      <w:r>
        <w:rPr>
          <w:rFonts w:cs="Times New Roman"/>
          <w:szCs w:val="20"/>
        </w:rPr>
        <w:drawing>
          <wp:inline distT="0" distB="0" distL="114300" distR="114300">
            <wp:extent cx="5271135" cy="1977390"/>
            <wp:effectExtent l="0" t="0" r="1905" b="3810"/>
            <wp:docPr id="5" name="图片 5" descr="s4_tuohuo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4_tuohuo_画板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1526">
      <w:pPr>
        <w:pStyle w:val="3"/>
        <w:jc w:val="center"/>
        <w:rPr>
          <w:rFonts w:eastAsia="宋体"/>
          <w:lang w:bidi="ar"/>
        </w:rPr>
      </w:pPr>
      <w:bookmarkStart w:id="35" w:name="_Toc199702324"/>
      <w:bookmarkStart w:id="36" w:name="_Toc199703919"/>
      <w:bookmarkStart w:id="37" w:name="_Toc199700822"/>
      <w:bookmarkStart w:id="38" w:name="_Toc199701194"/>
      <w:bookmarkStart w:id="39" w:name="_Toc199701023"/>
      <w:bookmarkStart w:id="40" w:name="_Toc199701088"/>
      <w:bookmarkStart w:id="41" w:name="_Toc199700795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</w:t>
      </w:r>
      <w:r>
        <w:rPr>
          <w:rFonts w:hint="eastAsia" w:eastAsia="宋体"/>
          <w:lang w:bidi="ar"/>
        </w:rPr>
        <w:t>6</w:t>
      </w:r>
      <w:r>
        <w:rPr>
          <w:rFonts w:eastAsia="宋体"/>
          <w:lang w:bidi="ar"/>
        </w:rPr>
        <w:t>. Optimization of annealing temperature for mddPCR assay.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354E355C">
      <w:pPr>
        <w:jc w:val="center"/>
      </w:pPr>
      <w:r>
        <w:rPr>
          <w:bCs/>
          <w:lang w:bidi="ar"/>
        </w:rPr>
        <w:t>For mddPCR assay, 58.8 °C was considered as the optimal annealing temperature.</w:t>
      </w:r>
      <w:r>
        <w:t xml:space="preserve"> Each column (x-axis) indicating one PCR plate well, filling with methylated DNA and unmethylated DNA. Y-axis: fluorescence amplitude of droplet detection in the FAM channel.</w:t>
      </w:r>
    </w:p>
    <w:p w14:paraId="1461DE92">
      <w:pPr>
        <w:jc w:val="center"/>
        <w:rPr>
          <w:rFonts w:cs="Times New Roman"/>
          <w:szCs w:val="20"/>
        </w:rPr>
      </w:pPr>
      <w:r>
        <w:rPr>
          <w:rFonts w:cs="Times New Roman"/>
          <w:szCs w:val="20"/>
        </w:rPr>
        <w:drawing>
          <wp:inline distT="0" distB="0" distL="114300" distR="114300">
            <wp:extent cx="5050790" cy="4369435"/>
            <wp:effectExtent l="0" t="0" r="8890" b="4445"/>
            <wp:docPr id="4" name="图片 4" descr="s5_loq_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5_loq_2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9A9F">
      <w:pPr>
        <w:pStyle w:val="3"/>
        <w:jc w:val="center"/>
        <w:rPr>
          <w:rStyle w:val="21"/>
          <w:rFonts w:eastAsiaTheme="minorEastAsia"/>
          <w:bCs w:val="0"/>
        </w:rPr>
      </w:pPr>
      <w:bookmarkStart w:id="42" w:name="_Toc199701195"/>
      <w:bookmarkStart w:id="43" w:name="_Toc199702325"/>
      <w:bookmarkStart w:id="44" w:name="_Toc199700823"/>
      <w:bookmarkStart w:id="45" w:name="_Toc199700796"/>
      <w:bookmarkStart w:id="46" w:name="_Toc199703920"/>
      <w:bookmarkStart w:id="47" w:name="_Toc199701024"/>
      <w:bookmarkStart w:id="48" w:name="_Toc199701089"/>
      <w:r>
        <w:rPr>
          <w:rStyle w:val="21"/>
          <w:rFonts w:eastAsia="宋体"/>
          <w:bCs w:val="0"/>
        </w:rPr>
        <w:t xml:space="preserve">Fig. S7. </w:t>
      </w:r>
      <w:r>
        <w:rPr>
          <w:rStyle w:val="21"/>
          <w:rFonts w:eastAsiaTheme="minorEastAsia"/>
          <w:bCs w:val="0"/>
        </w:rPr>
        <w:t>Analysis of limit of quantification (LOQ) for multiplex quantitative methylation-specific PCR (mqMSP assay) and mddPCR assay.</w:t>
      </w:r>
      <w:bookmarkEnd w:id="42"/>
      <w:bookmarkEnd w:id="43"/>
      <w:bookmarkEnd w:id="44"/>
      <w:bookmarkEnd w:id="45"/>
      <w:bookmarkEnd w:id="46"/>
      <w:bookmarkEnd w:id="47"/>
      <w:bookmarkEnd w:id="48"/>
    </w:p>
    <w:p w14:paraId="09A439D8">
      <w:pPr>
        <w:jc w:val="center"/>
        <w:rPr>
          <w:rFonts w:cs="Times New Roman"/>
          <w:b/>
          <w:bCs/>
          <w:sz w:val="24"/>
        </w:rPr>
      </w:pPr>
      <w:r>
        <w:rPr>
          <w:rFonts w:cs="Times New Roman"/>
          <w:bCs/>
          <w:szCs w:val="20"/>
        </w:rPr>
        <w:t xml:space="preserve">Calibration curves showing the linear dynamic range of mqMSP assay (A), cg06268921 (B), and cg23247845 (C) using the </w:t>
      </w:r>
      <w:r>
        <w:rPr>
          <w:rFonts w:eastAsia="微软雅黑" w:cs="Times New Roman"/>
          <w:bCs/>
          <w:szCs w:val="20"/>
        </w:rPr>
        <w:t>mixture of 10ng of the methylated DNA control with the unmethylated DNA control and diluting it at 100%, 10%, 5%, 1%, 0.5%, 0.1%, 0.01%, and 0.</w:t>
      </w:r>
    </w:p>
    <w:p w14:paraId="7A6CE977">
      <w:pPr>
        <w:jc w:val="center"/>
        <w:rPr>
          <w:rFonts w:cs="Times New Roman"/>
          <w:szCs w:val="20"/>
        </w:rPr>
      </w:pPr>
      <w:r>
        <w:rPr>
          <w:rFonts w:cs="Times New Roman"/>
          <w:szCs w:val="20"/>
        </w:rPr>
        <w:drawing>
          <wp:inline distT="0" distB="0" distL="0" distR="0">
            <wp:extent cx="3924300" cy="3760470"/>
            <wp:effectExtent l="0" t="0" r="0" b="0"/>
            <wp:docPr id="11191204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20478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076" cy="37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16B5">
      <w:pPr>
        <w:pStyle w:val="3"/>
        <w:jc w:val="center"/>
        <w:rPr>
          <w:rFonts w:eastAsia="宋体"/>
          <w:lang w:bidi="ar"/>
        </w:rPr>
      </w:pPr>
      <w:bookmarkStart w:id="49" w:name="_Toc199703921"/>
      <w:bookmarkStart w:id="50" w:name="_Toc199702326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</w:t>
      </w:r>
      <w:r>
        <w:rPr>
          <w:rFonts w:hint="eastAsia" w:eastAsia="宋体"/>
          <w:lang w:bidi="ar"/>
        </w:rPr>
        <w:t>8</w:t>
      </w:r>
      <w:r>
        <w:rPr>
          <w:rFonts w:eastAsia="宋体"/>
          <w:lang w:bidi="ar"/>
        </w:rPr>
        <w:t>. Circulating cell free DNA concentrations in TNBC and non-TNBC plasma.</w:t>
      </w:r>
      <w:bookmarkEnd w:id="49"/>
    </w:p>
    <w:p w14:paraId="3F457B08">
      <w:pPr>
        <w:jc w:val="center"/>
        <w:rPr>
          <w:rFonts w:cs="Times New Roman"/>
          <w:szCs w:val="20"/>
        </w:rPr>
      </w:pPr>
      <w:r>
        <w:t>NS, no significan</w:t>
      </w:r>
      <w:r>
        <w:rPr>
          <w:rFonts w:hint="eastAsia"/>
        </w:rPr>
        <w:t>ce.</w:t>
      </w:r>
      <w:bookmarkEnd w:id="50"/>
    </w:p>
    <w:p w14:paraId="36C0B599">
      <w:pPr>
        <w:rPr>
          <w:lang w:bidi="ar"/>
        </w:rPr>
      </w:pPr>
    </w:p>
    <w:p w14:paraId="71976AFB">
      <w:pPr>
        <w:rPr>
          <w:rFonts w:cs="Times New Roman"/>
          <w:szCs w:val="20"/>
        </w:rPr>
      </w:pPr>
    </w:p>
    <w:p w14:paraId="0AA11C60">
      <w:pPr>
        <w:rPr>
          <w:rFonts w:cs="Times New Roman"/>
          <w:szCs w:val="20"/>
        </w:rPr>
      </w:pPr>
    </w:p>
    <w:p w14:paraId="29CA4C90">
      <w:pPr>
        <w:rPr>
          <w:rFonts w:cs="Times New Roman"/>
          <w:szCs w:val="20"/>
        </w:rPr>
      </w:pPr>
    </w:p>
    <w:p w14:paraId="703C32F3">
      <w:pPr>
        <w:rPr>
          <w:rFonts w:cs="Times New Roman"/>
          <w:szCs w:val="20"/>
        </w:rPr>
      </w:pPr>
    </w:p>
    <w:p w14:paraId="2F63AB5C">
      <w:pPr>
        <w:rPr>
          <w:rFonts w:cs="Times New Roman"/>
          <w:szCs w:val="20"/>
        </w:rPr>
      </w:pPr>
    </w:p>
    <w:p w14:paraId="47B87309">
      <w:pPr>
        <w:rPr>
          <w:rFonts w:cs="Times New Roman"/>
          <w:szCs w:val="20"/>
        </w:rPr>
      </w:pPr>
    </w:p>
    <w:p w14:paraId="577E9392">
      <w:pPr>
        <w:rPr>
          <w:rFonts w:cs="Times New Roman"/>
          <w:szCs w:val="20"/>
        </w:rPr>
      </w:pPr>
    </w:p>
    <w:p w14:paraId="735003E1">
      <w:pPr>
        <w:rPr>
          <w:rFonts w:cs="Times New Roman"/>
          <w:szCs w:val="20"/>
        </w:rPr>
      </w:pPr>
    </w:p>
    <w:p w14:paraId="39CA9861">
      <w:pPr>
        <w:rPr>
          <w:rFonts w:cs="Times New Roman"/>
          <w:szCs w:val="20"/>
        </w:rPr>
      </w:pPr>
    </w:p>
    <w:p w14:paraId="5D9CA6D9">
      <w:pPr>
        <w:rPr>
          <w:rFonts w:cs="Times New Roman"/>
          <w:szCs w:val="20"/>
        </w:rPr>
      </w:pPr>
    </w:p>
    <w:p w14:paraId="36EE567C">
      <w:pPr>
        <w:rPr>
          <w:rFonts w:cs="Times New Roman"/>
          <w:szCs w:val="20"/>
        </w:rPr>
      </w:pPr>
    </w:p>
    <w:p w14:paraId="601A574F">
      <w:pPr>
        <w:rPr>
          <w:rFonts w:cs="Times New Roman"/>
          <w:szCs w:val="20"/>
        </w:rPr>
      </w:pPr>
    </w:p>
    <w:p w14:paraId="6ECC2BA9">
      <w:pPr>
        <w:rPr>
          <w:rFonts w:cs="Times New Roman"/>
          <w:szCs w:val="20"/>
        </w:rPr>
      </w:pPr>
    </w:p>
    <w:p w14:paraId="77F8A31E">
      <w:pPr>
        <w:rPr>
          <w:rFonts w:cs="Times New Roman"/>
          <w:szCs w:val="20"/>
        </w:rPr>
      </w:pPr>
    </w:p>
    <w:p w14:paraId="68E8F45C">
      <w:pPr>
        <w:rPr>
          <w:rFonts w:cs="Times New Roman"/>
          <w:szCs w:val="20"/>
        </w:rPr>
      </w:pPr>
    </w:p>
    <w:p w14:paraId="52741F4F">
      <w:pPr>
        <w:rPr>
          <w:rFonts w:cs="Times New Roman"/>
          <w:szCs w:val="20"/>
        </w:rPr>
      </w:pPr>
    </w:p>
    <w:p w14:paraId="36572629">
      <w:pPr>
        <w:rPr>
          <w:rFonts w:cs="Times New Roman"/>
          <w:szCs w:val="20"/>
        </w:rPr>
      </w:pPr>
    </w:p>
    <w:p w14:paraId="1B165E50">
      <w:pPr>
        <w:rPr>
          <w:rFonts w:cs="Times New Roman"/>
          <w:szCs w:val="20"/>
        </w:rPr>
      </w:pPr>
    </w:p>
    <w:p w14:paraId="082F124C">
      <w:pPr>
        <w:rPr>
          <w:rFonts w:cs="Times New Roman"/>
          <w:szCs w:val="20"/>
        </w:rPr>
      </w:pPr>
    </w:p>
    <w:p w14:paraId="2136AE5B">
      <w:pPr>
        <w:spacing w:line="360" w:lineRule="auto"/>
        <w:jc w:val="center"/>
        <w:rPr>
          <w:rFonts w:cs="Times New Roman"/>
          <w:szCs w:val="20"/>
        </w:rPr>
      </w:pPr>
      <w:r>
        <w:rPr>
          <w:rFonts w:cs="Times New Roman"/>
          <w:szCs w:val="20"/>
        </w:rPr>
        <w:drawing>
          <wp:inline distT="0" distB="0" distL="114300" distR="114300">
            <wp:extent cx="5662930" cy="4243070"/>
            <wp:effectExtent l="0" t="0" r="6350" b="8890"/>
            <wp:docPr id="10" name="图片 10" descr="ddpcr_byge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dpcr_bygen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9932">
      <w:pPr>
        <w:pStyle w:val="3"/>
        <w:jc w:val="center"/>
        <w:rPr>
          <w:rFonts w:eastAsia="宋体"/>
          <w:lang w:bidi="ar"/>
        </w:rPr>
      </w:pPr>
      <w:bookmarkStart w:id="51" w:name="_Toc199703922"/>
      <w:bookmarkStart w:id="52" w:name="_Toc199701090"/>
      <w:bookmarkStart w:id="53" w:name="_Toc199701025"/>
      <w:bookmarkStart w:id="54" w:name="_Toc199701196"/>
      <w:bookmarkStart w:id="55" w:name="_Toc199700797"/>
      <w:bookmarkStart w:id="56" w:name="_Toc199702327"/>
      <w:bookmarkStart w:id="57" w:name="_Toc199700824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</w:t>
      </w:r>
      <w:r>
        <w:rPr>
          <w:rFonts w:hint="eastAsia" w:eastAsia="宋体"/>
          <w:lang w:bidi="ar"/>
        </w:rPr>
        <w:t>9</w:t>
      </w:r>
      <w:r>
        <w:rPr>
          <w:rFonts w:eastAsia="宋体"/>
          <w:lang w:bidi="ar"/>
        </w:rPr>
        <w:t>. The number of methylated copies of candidate genes in mddPCR assay</w:t>
      </w:r>
      <w:r>
        <w:rPr>
          <w:rFonts w:hint="eastAsia" w:eastAsia="宋体"/>
          <w:lang w:bidi="ar"/>
        </w:rPr>
        <w:t>.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49CB9E25">
      <w:pPr>
        <w:jc w:val="center"/>
        <w:rPr>
          <w:rFonts w:cs="Times New Roman"/>
          <w:b/>
          <w:bCs/>
          <w:sz w:val="24"/>
        </w:rPr>
      </w:pPr>
      <w:r>
        <w:rPr>
          <w:rFonts w:cs="Times New Roman"/>
          <w:bCs/>
          <w:szCs w:val="20"/>
        </w:rPr>
        <w:t xml:space="preserve">A, </w:t>
      </w:r>
      <w:r>
        <w:rPr>
          <w:rFonts w:hint="eastAsia" w:cs="Times New Roman"/>
          <w:bCs/>
          <w:szCs w:val="20"/>
        </w:rPr>
        <w:t>Bar</w:t>
      </w:r>
      <w:r>
        <w:rPr>
          <w:rFonts w:cs="Times New Roman"/>
          <w:bCs/>
          <w:szCs w:val="20"/>
        </w:rPr>
        <w:t>plot displaying data from the cfDNA samples. For each sample (X-axis), the height of the bar</w:t>
      </w:r>
      <w:r>
        <w:rPr>
          <w:rFonts w:hint="eastAsia" w:cs="Times New Roman"/>
          <w:bCs/>
          <w:szCs w:val="20"/>
        </w:rPr>
        <w:t>plot</w:t>
      </w:r>
      <w:r>
        <w:rPr>
          <w:rFonts w:cs="Times New Roman"/>
          <w:bCs/>
          <w:szCs w:val="20"/>
        </w:rPr>
        <w:t xml:space="preserve"> indicating the number of methylated DNA copies per mL of plasma in the mddPCR assay, and the sum (Y-axis), and each colored segment representing an individual gene. B, Boxplot and dotplot of </w:t>
      </w:r>
      <w:bookmarkStart w:id="58" w:name="OLE_LINK13"/>
      <w:r>
        <w:rPr>
          <w:rFonts w:cs="Times New Roman"/>
          <w:bCs/>
          <w:szCs w:val="20"/>
        </w:rPr>
        <w:t>the number of methylated copies in mddPCR assay</w:t>
      </w:r>
      <w:bookmarkEnd w:id="58"/>
      <w:r>
        <w:rPr>
          <w:rFonts w:cs="Times New Roman"/>
          <w:bCs/>
          <w:szCs w:val="20"/>
        </w:rPr>
        <w:t>.</w:t>
      </w:r>
      <w:bookmarkStart w:id="59" w:name="OLE_LINK2"/>
      <w:r>
        <w:rPr>
          <w:rFonts w:cs="Times New Roman"/>
          <w:bCs/>
          <w:szCs w:val="20"/>
        </w:rPr>
        <w:t xml:space="preserve"> ***: </w:t>
      </w:r>
      <w:r>
        <w:rPr>
          <w:rFonts w:cs="Times New Roman"/>
          <w:bCs/>
          <w:i/>
          <w:iCs/>
          <w:szCs w:val="20"/>
        </w:rPr>
        <w:t>P</w:t>
      </w:r>
      <w:r>
        <w:rPr>
          <w:rFonts w:cs="Times New Roman"/>
          <w:bCs/>
          <w:szCs w:val="20"/>
        </w:rPr>
        <w:t xml:space="preserve"> ≤ 0.001. NS, no significance.</w:t>
      </w:r>
      <w:bookmarkEnd w:id="59"/>
    </w:p>
    <w:p w14:paraId="237ECE0E">
      <w:pPr>
        <w:jc w:val="center"/>
        <w:rPr>
          <w:rFonts w:eastAsia="宋体" w:cs="Times New Roman"/>
          <w:bCs/>
          <w:szCs w:val="20"/>
          <w:lang w:bidi="ar"/>
        </w:rPr>
      </w:pPr>
      <w:r>
        <w:rPr>
          <w:rFonts w:hint="eastAsia" w:eastAsia="宋体" w:cs="Times New Roman"/>
          <w:bCs/>
          <w:szCs w:val="20"/>
          <w:lang w:bidi="ar"/>
        </w:rPr>
        <w:drawing>
          <wp:inline distT="0" distB="0" distL="114300" distR="114300">
            <wp:extent cx="5080635" cy="5052060"/>
            <wp:effectExtent l="0" t="0" r="0" b="0"/>
            <wp:docPr id="3" name="图片 3" descr="cfmds_subgro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mds_subgroup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BF0A">
      <w:pPr>
        <w:pStyle w:val="3"/>
        <w:jc w:val="center"/>
        <w:rPr>
          <w:rFonts w:eastAsia="宋体"/>
          <w:lang w:bidi="ar"/>
        </w:rPr>
      </w:pPr>
      <w:bookmarkStart w:id="60" w:name="_Toc199700798"/>
      <w:bookmarkStart w:id="61" w:name="_Toc199700825"/>
      <w:bookmarkStart w:id="62" w:name="_Toc199701091"/>
      <w:bookmarkStart w:id="63" w:name="_Toc199701197"/>
      <w:bookmarkStart w:id="64" w:name="_Toc199703923"/>
      <w:bookmarkStart w:id="65" w:name="_Toc199702328"/>
      <w:bookmarkStart w:id="66" w:name="_Toc199701026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</w:t>
      </w:r>
      <w:r>
        <w:rPr>
          <w:rFonts w:hint="eastAsia" w:eastAsia="宋体"/>
          <w:lang w:bidi="ar"/>
        </w:rPr>
        <w:t>10</w:t>
      </w:r>
      <w:r>
        <w:rPr>
          <w:rFonts w:eastAsia="宋体"/>
          <w:lang w:bidi="ar"/>
        </w:rPr>
        <w:t>. Diagnostic power of cfDNA-based MDS for different clinical stages TNBC in cfDNA validation cohort.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52B3B60B">
      <w:pPr>
        <w:jc w:val="center"/>
      </w:pPr>
      <w:r>
        <w:rPr>
          <w:rFonts w:eastAsia="宋体"/>
          <w:lang w:bidi="ar"/>
        </w:rPr>
        <w:t xml:space="preserve">A, The cfDNA-based MDS in non-TNBC and different stages TNBC. B, </w:t>
      </w:r>
      <w:r>
        <w:t xml:space="preserve">Receiver operating characteristic curve of </w:t>
      </w:r>
      <w:r>
        <w:rPr>
          <w:rFonts w:eastAsia="宋体"/>
          <w:lang w:bidi="ar"/>
        </w:rPr>
        <w:t>cfDNA-based MDS</w:t>
      </w:r>
      <w:r>
        <w:t xml:space="preserve"> for distinguishing TNBC with stage I/II and stage III/IV from non-TNBC, respectively. *: </w:t>
      </w:r>
      <w:r>
        <w:rPr>
          <w:i/>
          <w:iCs/>
        </w:rPr>
        <w:t>P</w:t>
      </w:r>
      <w:r>
        <w:t xml:space="preserve"> ≤ 0.05. NS, no significance</w:t>
      </w:r>
      <w:r>
        <w:rPr>
          <w:rFonts w:hint="eastAsia"/>
        </w:rPr>
        <w:t>.</w:t>
      </w:r>
    </w:p>
    <w:p w14:paraId="535B9E5C">
      <w:pPr>
        <w:jc w:val="center"/>
      </w:pPr>
    </w:p>
    <w:p w14:paraId="7CD70B81">
      <w:pPr>
        <w:spacing w:line="360" w:lineRule="auto"/>
        <w:jc w:val="center"/>
        <w:rPr>
          <w:rFonts w:cs="Times New Roman"/>
          <w:bCs/>
          <w:szCs w:val="20"/>
        </w:rPr>
      </w:pPr>
    </w:p>
    <w:p w14:paraId="60E15D21">
      <w:pPr>
        <w:spacing w:line="360" w:lineRule="auto"/>
        <w:jc w:val="center"/>
        <w:rPr>
          <w:rFonts w:cs="Times New Roman"/>
          <w:bCs/>
          <w:szCs w:val="20"/>
        </w:rPr>
      </w:pPr>
    </w:p>
    <w:p w14:paraId="40BEB233">
      <w:pPr>
        <w:spacing w:line="360" w:lineRule="auto"/>
        <w:jc w:val="center"/>
        <w:rPr>
          <w:rFonts w:cs="Times New Roman"/>
          <w:bCs/>
          <w:szCs w:val="20"/>
        </w:rPr>
      </w:pPr>
    </w:p>
    <w:p w14:paraId="6EC727FD">
      <w:pPr>
        <w:spacing w:line="360" w:lineRule="auto"/>
        <w:jc w:val="center"/>
        <w:rPr>
          <w:rFonts w:cs="Times New Roman"/>
          <w:bCs/>
          <w:szCs w:val="20"/>
        </w:rPr>
      </w:pPr>
    </w:p>
    <w:p w14:paraId="69561077">
      <w:pPr>
        <w:spacing w:line="360" w:lineRule="auto"/>
        <w:jc w:val="center"/>
        <w:rPr>
          <w:rFonts w:cs="Times New Roman"/>
          <w:bCs/>
          <w:szCs w:val="20"/>
        </w:rPr>
      </w:pPr>
    </w:p>
    <w:p w14:paraId="25C2934D">
      <w:pPr>
        <w:spacing w:line="360" w:lineRule="auto"/>
        <w:jc w:val="center"/>
        <w:rPr>
          <w:rFonts w:cs="Times New Roman"/>
          <w:bCs/>
          <w:szCs w:val="20"/>
        </w:rPr>
      </w:pPr>
      <w:r>
        <w:rPr>
          <w:rFonts w:hint="eastAsia" w:cs="Times New Roman"/>
          <w:bCs/>
          <w:szCs w:val="20"/>
        </w:rPr>
        <w:drawing>
          <wp:inline distT="0" distB="0" distL="114300" distR="114300">
            <wp:extent cx="5937250" cy="2968625"/>
            <wp:effectExtent l="0" t="0" r="6350" b="3175"/>
            <wp:docPr id="7" name="图片 7" descr="gse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se2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8AB5">
      <w:pPr>
        <w:pStyle w:val="3"/>
        <w:jc w:val="center"/>
        <w:rPr>
          <w:rFonts w:eastAsia="宋体"/>
          <w:lang w:bidi="ar"/>
        </w:rPr>
      </w:pPr>
      <w:bookmarkStart w:id="67" w:name="_Toc199700799"/>
      <w:bookmarkStart w:id="68" w:name="_Toc199702329"/>
      <w:bookmarkStart w:id="69" w:name="_Toc199701092"/>
      <w:bookmarkStart w:id="70" w:name="_Toc199700826"/>
      <w:bookmarkStart w:id="71" w:name="_Toc199701027"/>
      <w:bookmarkStart w:id="72" w:name="_Toc199703924"/>
      <w:bookmarkStart w:id="73" w:name="_Toc199701198"/>
      <w:r>
        <w:rPr>
          <w:rFonts w:hint="eastAsia" w:eastAsia="宋体"/>
          <w:lang w:bidi="ar"/>
        </w:rPr>
        <w:t>Fig.</w:t>
      </w:r>
      <w:r>
        <w:rPr>
          <w:rFonts w:eastAsia="宋体"/>
          <w:lang w:bidi="ar"/>
        </w:rPr>
        <w:t xml:space="preserve"> S</w:t>
      </w:r>
      <w:r>
        <w:rPr>
          <w:rFonts w:hint="eastAsia" w:eastAsia="宋体"/>
          <w:lang w:bidi="ar"/>
        </w:rPr>
        <w:t>11</w:t>
      </w:r>
      <w:r>
        <w:rPr>
          <w:rFonts w:eastAsia="宋体"/>
          <w:lang w:bidi="ar"/>
        </w:rPr>
        <w:t>.</w:t>
      </w:r>
      <w:r>
        <w:rPr>
          <w:rFonts w:hint="eastAsia" w:eastAsia="宋体"/>
          <w:lang w:bidi="ar"/>
        </w:rPr>
        <w:t xml:space="preserve"> </w:t>
      </w:r>
      <w:r>
        <w:rPr>
          <w:rFonts w:eastAsia="宋体"/>
          <w:lang w:bidi="ar"/>
        </w:rPr>
        <w:t>Methylation levels of eight candidate markers in cfDNA from healthy individuals and luminal B breast cancer patients in GSE214344.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3499C44B">
      <w:pPr>
        <w:jc w:val="center"/>
        <w:rPr>
          <w:rFonts w:eastAsia="宋体" w:cs="Times New Roman"/>
          <w:szCs w:val="20"/>
          <w:lang w:bidi="ar"/>
        </w:rPr>
      </w:pPr>
      <w:r>
        <w:rPr>
          <w:rFonts w:hint="eastAsia" w:eastAsia="宋体" w:cs="Times New Roman"/>
          <w:szCs w:val="20"/>
          <w:lang w:bidi="ar"/>
        </w:rPr>
        <w:t xml:space="preserve">HC, Healthy control; LBBC, </w:t>
      </w:r>
      <w:r>
        <w:rPr>
          <w:rFonts w:eastAsia="宋体" w:cs="Times New Roman"/>
          <w:szCs w:val="20"/>
          <w:lang w:bidi="ar"/>
        </w:rPr>
        <w:t>luminal B breast cancer</w:t>
      </w:r>
      <w:r>
        <w:rPr>
          <w:rFonts w:hint="eastAsia" w:eastAsia="宋体" w:cs="Times New Roman"/>
          <w:szCs w:val="20"/>
          <w:lang w:bidi="ar"/>
        </w:rPr>
        <w:t xml:space="preserve">; </w:t>
      </w:r>
      <w:r>
        <w:rPr>
          <w:rFonts w:cs="Times New Roman"/>
          <w:szCs w:val="20"/>
        </w:rPr>
        <w:t xml:space="preserve">*: </w:t>
      </w:r>
      <w:r>
        <w:rPr>
          <w:rFonts w:cs="Times New Roman"/>
          <w:i/>
          <w:iCs/>
          <w:szCs w:val="20"/>
        </w:rPr>
        <w:t>P</w:t>
      </w:r>
      <w:r>
        <w:rPr>
          <w:rFonts w:cs="Times New Roman"/>
          <w:szCs w:val="20"/>
        </w:rPr>
        <w:t xml:space="preserve"> ≤ 0.05</w:t>
      </w:r>
      <w:r>
        <w:rPr>
          <w:rFonts w:hint="eastAsia" w:cs="Times New Roman"/>
          <w:szCs w:val="20"/>
        </w:rPr>
        <w:t xml:space="preserve">; </w:t>
      </w:r>
      <w:r>
        <w:rPr>
          <w:rFonts w:cs="Times New Roman"/>
          <w:szCs w:val="20"/>
        </w:rPr>
        <w:t>NS, no significance.</w:t>
      </w:r>
    </w:p>
    <w:p w14:paraId="0A0C4A7D">
      <w:pPr>
        <w:spacing w:line="360" w:lineRule="auto"/>
        <w:jc w:val="center"/>
        <w:rPr>
          <w:rFonts w:cs="Times New Roman"/>
          <w:bCs/>
          <w:szCs w:val="20"/>
        </w:rPr>
      </w:pPr>
    </w:p>
    <w:p w14:paraId="14925DB4">
      <w:pPr>
        <w:spacing w:line="360" w:lineRule="auto"/>
        <w:jc w:val="center"/>
        <w:rPr>
          <w:rFonts w:cs="Times New Roman"/>
          <w:bCs/>
          <w:szCs w:val="20"/>
        </w:rPr>
      </w:pPr>
    </w:p>
    <w:p w14:paraId="4E217005">
      <w:pPr>
        <w:spacing w:line="360" w:lineRule="auto"/>
        <w:jc w:val="center"/>
        <w:rPr>
          <w:rFonts w:cs="Times New Roman"/>
          <w:bCs/>
          <w:szCs w:val="20"/>
        </w:rPr>
      </w:pPr>
    </w:p>
    <w:p w14:paraId="73D36168">
      <w:pPr>
        <w:spacing w:line="360" w:lineRule="auto"/>
        <w:jc w:val="center"/>
        <w:rPr>
          <w:rFonts w:cs="Times New Roman"/>
          <w:bCs/>
          <w:szCs w:val="20"/>
        </w:rPr>
      </w:pPr>
    </w:p>
    <w:p w14:paraId="0F4CBAB6">
      <w:pPr>
        <w:spacing w:line="360" w:lineRule="auto"/>
        <w:jc w:val="center"/>
        <w:rPr>
          <w:rFonts w:cs="Times New Roman"/>
          <w:bCs/>
          <w:szCs w:val="20"/>
        </w:rPr>
      </w:pPr>
    </w:p>
    <w:p w14:paraId="0DA38933">
      <w:pPr>
        <w:spacing w:line="360" w:lineRule="auto"/>
        <w:jc w:val="center"/>
        <w:rPr>
          <w:rFonts w:cs="Times New Roman"/>
          <w:bCs/>
          <w:szCs w:val="20"/>
        </w:rPr>
      </w:pPr>
    </w:p>
    <w:p w14:paraId="55D31C07">
      <w:pPr>
        <w:spacing w:line="360" w:lineRule="auto"/>
        <w:jc w:val="center"/>
        <w:rPr>
          <w:rFonts w:cs="Times New Roman"/>
          <w:bCs/>
          <w:szCs w:val="20"/>
        </w:rPr>
      </w:pPr>
    </w:p>
    <w:p w14:paraId="1EE722B8">
      <w:pPr>
        <w:spacing w:line="360" w:lineRule="auto"/>
        <w:jc w:val="center"/>
        <w:rPr>
          <w:rFonts w:cs="Times New Roman"/>
          <w:bCs/>
          <w:szCs w:val="20"/>
        </w:rPr>
      </w:pPr>
    </w:p>
    <w:p w14:paraId="242BAF15">
      <w:pPr>
        <w:spacing w:line="360" w:lineRule="auto"/>
        <w:jc w:val="center"/>
        <w:rPr>
          <w:rFonts w:cs="Times New Roman"/>
          <w:bCs/>
          <w:szCs w:val="20"/>
        </w:rPr>
      </w:pPr>
    </w:p>
    <w:p w14:paraId="3AE881FC">
      <w:pPr>
        <w:spacing w:line="360" w:lineRule="auto"/>
        <w:jc w:val="center"/>
        <w:rPr>
          <w:rFonts w:cs="Times New Roman"/>
          <w:bCs/>
          <w:szCs w:val="20"/>
        </w:rPr>
      </w:pPr>
    </w:p>
    <w:p w14:paraId="04CF73B9">
      <w:pPr>
        <w:spacing w:line="360" w:lineRule="auto"/>
        <w:jc w:val="center"/>
        <w:rPr>
          <w:rFonts w:cs="Times New Roman"/>
          <w:bCs/>
          <w:szCs w:val="20"/>
        </w:rPr>
      </w:pPr>
    </w:p>
    <w:p w14:paraId="25972526">
      <w:pPr>
        <w:spacing w:line="360" w:lineRule="auto"/>
        <w:jc w:val="center"/>
        <w:rPr>
          <w:rFonts w:cs="Times New Roman"/>
          <w:bCs/>
          <w:szCs w:val="20"/>
        </w:rPr>
      </w:pPr>
    </w:p>
    <w:p w14:paraId="3278EB56">
      <w:pPr>
        <w:spacing w:line="360" w:lineRule="auto"/>
        <w:jc w:val="center"/>
        <w:rPr>
          <w:rFonts w:cs="Times New Roman"/>
          <w:bCs/>
          <w:szCs w:val="20"/>
        </w:rPr>
        <w:sectPr>
          <w:pgSz w:w="12240" w:h="15840"/>
          <w:pgMar w:top="1440" w:right="1440" w:bottom="1440" w:left="1440" w:header="851" w:footer="992" w:gutter="0"/>
          <w:cols w:space="0" w:num="1"/>
          <w:docGrid w:type="lines" w:linePitch="312" w:charSpace="0"/>
        </w:sectPr>
      </w:pPr>
    </w:p>
    <w:p w14:paraId="63E9157C">
      <w:pPr>
        <w:pStyle w:val="3"/>
        <w:rPr>
          <w:b/>
        </w:rPr>
      </w:pPr>
      <w:bookmarkStart w:id="74" w:name="_Toc199700800"/>
      <w:bookmarkStart w:id="75" w:name="_Toc199702330"/>
      <w:bookmarkStart w:id="76" w:name="_Toc199701093"/>
      <w:bookmarkStart w:id="77" w:name="_Toc199700827"/>
      <w:bookmarkStart w:id="78" w:name="_Toc199701028"/>
      <w:bookmarkStart w:id="79" w:name="_Toc199703925"/>
      <w:bookmarkStart w:id="80" w:name="_Toc199701199"/>
      <w:r>
        <w:rPr>
          <w:rFonts w:eastAsia="宋体"/>
          <w:lang w:bidi="ar"/>
        </w:rPr>
        <w:t xml:space="preserve">Table S1 </w:t>
      </w:r>
      <w:r>
        <w:rPr>
          <w:rFonts w:hint="eastAsia" w:eastAsia="宋体"/>
          <w:lang w:bidi="ar"/>
        </w:rPr>
        <w:t>Basic</w:t>
      </w:r>
      <w:r>
        <w:t xml:space="preserve"> information </w:t>
      </w:r>
      <w:r>
        <w:rPr>
          <w:rFonts w:hint="eastAsia"/>
        </w:rPr>
        <w:t>of</w:t>
      </w:r>
      <w:r>
        <w:t xml:space="preserve"> each breast cancer patient</w:t>
      </w:r>
      <w:r>
        <w:rPr>
          <w:rFonts w:hint="eastAsia"/>
        </w:rPr>
        <w:t xml:space="preserve"> included in Infinium MethylationEPIC BeadChip analysis</w:t>
      </w:r>
      <w:r>
        <w:t>.</w:t>
      </w:r>
      <w:bookmarkEnd w:id="74"/>
      <w:bookmarkEnd w:id="75"/>
      <w:bookmarkEnd w:id="76"/>
      <w:bookmarkEnd w:id="77"/>
      <w:bookmarkEnd w:id="78"/>
      <w:bookmarkEnd w:id="79"/>
      <w:bookmarkEnd w:id="80"/>
    </w:p>
    <w:tbl>
      <w:tblPr>
        <w:tblStyle w:val="10"/>
        <w:tblW w:w="13738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550"/>
        <w:gridCol w:w="1188"/>
        <w:gridCol w:w="950"/>
        <w:gridCol w:w="687"/>
        <w:gridCol w:w="1190"/>
        <w:gridCol w:w="676"/>
        <w:gridCol w:w="1139"/>
        <w:gridCol w:w="1172"/>
        <w:gridCol w:w="938"/>
        <w:gridCol w:w="439"/>
        <w:gridCol w:w="461"/>
        <w:gridCol w:w="494"/>
        <w:gridCol w:w="472"/>
        <w:gridCol w:w="461"/>
        <w:gridCol w:w="683"/>
        <w:gridCol w:w="850"/>
        <w:gridCol w:w="572"/>
      </w:tblGrid>
      <w:tr w14:paraId="0B7B39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816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FEA2EAE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bookmarkStart w:id="151" w:name="_GoBack" w:colFirst="0" w:colLast="17"/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Sample</w:t>
            </w:r>
          </w:p>
        </w:tc>
        <w:tc>
          <w:tcPr>
            <w:tcW w:w="55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60DB3FC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Age</w:t>
            </w:r>
          </w:p>
        </w:tc>
        <w:tc>
          <w:tcPr>
            <w:tcW w:w="1188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6BE9E3D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Height (cm)</w:t>
            </w:r>
          </w:p>
        </w:tc>
        <w:tc>
          <w:tcPr>
            <w:tcW w:w="95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9C9863E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Weight (kg)</w:t>
            </w:r>
          </w:p>
        </w:tc>
        <w:tc>
          <w:tcPr>
            <w:tcW w:w="68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32FCA93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Stage</w:t>
            </w:r>
          </w:p>
        </w:tc>
        <w:tc>
          <w:tcPr>
            <w:tcW w:w="1190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5B7B18E8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 xml:space="preserve"> </w:t>
            </w:r>
            <w:r>
              <w:rPr>
                <w:rFonts w:hint="eastAsia"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S</w:t>
            </w: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ubtype</w:t>
            </w:r>
          </w:p>
        </w:tc>
        <w:tc>
          <w:tcPr>
            <w:tcW w:w="676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C775C45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hint="eastAsia"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X</w:t>
            </w: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ray</w:t>
            </w:r>
          </w:p>
        </w:tc>
        <w:tc>
          <w:tcPr>
            <w:tcW w:w="1139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A1B8155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Ultrasound</w:t>
            </w:r>
          </w:p>
        </w:tc>
        <w:tc>
          <w:tcPr>
            <w:tcW w:w="1172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C3D718B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Tumor_size</w:t>
            </w:r>
          </w:p>
        </w:tc>
        <w:tc>
          <w:tcPr>
            <w:tcW w:w="938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5C39CF44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 xml:space="preserve">Lymph </w:t>
            </w: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br w:type="textWrapping"/>
            </w: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 xml:space="preserve">node </w:t>
            </w:r>
          </w:p>
        </w:tc>
        <w:tc>
          <w:tcPr>
            <w:tcW w:w="439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0D14197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T</w:t>
            </w:r>
          </w:p>
        </w:tc>
        <w:tc>
          <w:tcPr>
            <w:tcW w:w="461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6CE082F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N</w:t>
            </w:r>
          </w:p>
        </w:tc>
        <w:tc>
          <w:tcPr>
            <w:tcW w:w="494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91CD41C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M</w:t>
            </w:r>
          </w:p>
        </w:tc>
        <w:tc>
          <w:tcPr>
            <w:tcW w:w="472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201F244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ER</w:t>
            </w:r>
          </w:p>
        </w:tc>
        <w:tc>
          <w:tcPr>
            <w:tcW w:w="461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FB7E81B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PR</w:t>
            </w:r>
          </w:p>
        </w:tc>
        <w:tc>
          <w:tcPr>
            <w:tcW w:w="68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D501FA3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Her-2</w:t>
            </w:r>
          </w:p>
        </w:tc>
        <w:tc>
          <w:tcPr>
            <w:tcW w:w="85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5DA832A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FISH</w:t>
            </w:r>
          </w:p>
        </w:tc>
        <w:tc>
          <w:tcPr>
            <w:tcW w:w="572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AE698A8">
            <w:pPr>
              <w:widowControl/>
              <w:jc w:val="left"/>
              <w:textAlignment w:val="center"/>
              <w:rPr>
                <w:rFonts w:eastAsia="宋体" w:cs="Times New Roman"/>
                <w:b w:val="0"/>
                <w:bCs w:val="0"/>
                <w:color w:val="000000"/>
                <w:szCs w:val="20"/>
              </w:rPr>
            </w:pPr>
            <w:r>
              <w:rPr>
                <w:rFonts w:eastAsia="宋体" w:cs="Times New Roman"/>
                <w:b w:val="0"/>
                <w:bCs w:val="0"/>
                <w:color w:val="000000"/>
                <w:kern w:val="0"/>
                <w:szCs w:val="20"/>
                <w:lang w:bidi="ar"/>
              </w:rPr>
              <w:t>ki67</w:t>
            </w:r>
          </w:p>
        </w:tc>
      </w:tr>
      <w:bookmarkEnd w:id="151"/>
      <w:tr w14:paraId="552B35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816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16A0B3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B003</w:t>
            </w:r>
          </w:p>
        </w:tc>
        <w:tc>
          <w:tcPr>
            <w:tcW w:w="55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C3D402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58</w:t>
            </w:r>
          </w:p>
        </w:tc>
        <w:tc>
          <w:tcPr>
            <w:tcW w:w="1188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4009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160</w:t>
            </w:r>
          </w:p>
        </w:tc>
        <w:tc>
          <w:tcPr>
            <w:tcW w:w="95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426D56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53</w:t>
            </w:r>
          </w:p>
        </w:tc>
        <w:tc>
          <w:tcPr>
            <w:tcW w:w="687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0D5ADA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IV</w:t>
            </w:r>
          </w:p>
        </w:tc>
        <w:tc>
          <w:tcPr>
            <w:tcW w:w="119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072D1D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676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FE891C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</w:t>
            </w:r>
          </w:p>
        </w:tc>
        <w:tc>
          <w:tcPr>
            <w:tcW w:w="113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82D380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</w:t>
            </w:r>
          </w:p>
        </w:tc>
        <w:tc>
          <w:tcPr>
            <w:tcW w:w="117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9CAB83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</w:t>
            </w:r>
          </w:p>
        </w:tc>
        <w:tc>
          <w:tcPr>
            <w:tcW w:w="938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108CEE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9F60FA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FC2E85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N2</w:t>
            </w:r>
          </w:p>
        </w:tc>
        <w:tc>
          <w:tcPr>
            <w:tcW w:w="494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358ECD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M1</w:t>
            </w:r>
          </w:p>
        </w:tc>
        <w:tc>
          <w:tcPr>
            <w:tcW w:w="47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582984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46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E196B2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683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031C02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FA6002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E60731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</w:t>
            </w:r>
          </w:p>
        </w:tc>
      </w:tr>
      <w:tr w14:paraId="39B53C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9E566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B004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66DB0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55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EE964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171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090F9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85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A80B3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C324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57908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515FF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DB726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C0B3E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C39B7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T1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0BEB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N1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111DB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ADC7E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DABB4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4EEB1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3+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9D542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B1451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</w:t>
            </w:r>
          </w:p>
        </w:tc>
      </w:tr>
      <w:tr w14:paraId="305EC5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D297F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B007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1C9DB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55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DC791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165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1E0C8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70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D327C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A8DDF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59530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D33A3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6C2D0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3.5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07A34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10D1A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48109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N1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B0722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18161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14349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33572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A3777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2BEE3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</w:t>
            </w:r>
          </w:p>
        </w:tc>
      </w:tr>
      <w:tr w14:paraId="554F2B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BFC36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B008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B7AC5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59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5B7DB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158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F2B5D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70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36C33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EBBAC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67F9D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4a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E89FC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4538C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A014B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46ACF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T1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66FB7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CAD03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A3883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AE11A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E7314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1+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5AE1F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9C755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</w:t>
            </w:r>
          </w:p>
        </w:tc>
      </w:tr>
      <w:tr w14:paraId="167506C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37641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B009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088A6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65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B31B9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155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35445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85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8BC66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IV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48112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C6B89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383B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01ED8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026EA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5A990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T4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ADCED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N3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E5603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M1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A8910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D0366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C3A8C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1+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2E4C8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39E0E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0.15</w:t>
            </w:r>
          </w:p>
        </w:tc>
      </w:tr>
      <w:tr w14:paraId="241FB5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9207D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B012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438D2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8A3CD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162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4E29F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69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AC418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5B4B6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68D3C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919B4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F347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D414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0E1E8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T1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B603C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BC92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489B4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7AFA2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DB2C1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84A3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853A7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0.15</w:t>
            </w:r>
          </w:p>
        </w:tc>
      </w:tr>
      <w:tr w14:paraId="105154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8B6EA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B013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20941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73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DF3D8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153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4957B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55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B5D2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IV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54AC1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5B4B9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70D4F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A82A5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6DB83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417AB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0E6D3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N1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7FC40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M1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90D2A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ED554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ECBF0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991F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1268F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</w:t>
            </w:r>
          </w:p>
        </w:tc>
      </w:tr>
      <w:tr w14:paraId="2C7159F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31CEF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B014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DEDA4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34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681D1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175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30287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70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8DFAE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E06D2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C8523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4a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0650F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5DA0F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2.5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F4561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981CC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93F4E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260A6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6A8AE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60A10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0F72B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B003F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95C34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325524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94B35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B015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B0F84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58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32B12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165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C3502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74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E6D55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934E0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258A9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4a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43464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EB25A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110D3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3455F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D1AE0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0F2F1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8D932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5392F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3AE0D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1+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D10F7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4A52B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0.15</w:t>
            </w:r>
          </w:p>
        </w:tc>
      </w:tr>
      <w:tr w14:paraId="0AA253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550F8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B028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4214E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60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2887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155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DE8D8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66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E9109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2F78A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34972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97900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7C609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93303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AE7FC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68090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2EF30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2E819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2EC8E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E761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2+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64922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48383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2005C9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7C732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B034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5AE7D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62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7C742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160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7FCDB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65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04848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5D2A1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23FE7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E69DE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3C1D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702DB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97CDA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T1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B974A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BC332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036A3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0F5E6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A68B9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6BDD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EE60D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</w:t>
            </w:r>
          </w:p>
        </w:tc>
      </w:tr>
      <w:tr w14:paraId="1AB931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06C8D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B036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52934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69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E7E73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156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9E61E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60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1EBFD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B2B50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D6F68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BBED8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94EFE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C319F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C7544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T3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F7CDF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N2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A5C88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0B0C0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D8733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C880D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04523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D2B6B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1AD0B29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A60DA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B041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65901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63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566BF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167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78F53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59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41CF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B71AD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8DD3B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0102D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4c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D7558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F8672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99D50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T2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8D43D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N1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700C4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931D9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E1F22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12CD8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62AEE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DC69B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066F23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5F9F7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B043</w:t>
            </w:r>
          </w:p>
        </w:tc>
        <w:tc>
          <w:tcPr>
            <w:tcW w:w="5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75B84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56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2B550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160</w:t>
            </w:r>
          </w:p>
        </w:tc>
        <w:tc>
          <w:tcPr>
            <w:tcW w:w="9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69FA8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58</w:t>
            </w:r>
          </w:p>
        </w:tc>
        <w:tc>
          <w:tcPr>
            <w:tcW w:w="68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BE13F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FF62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6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62AB0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471CC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4b</w:t>
            </w:r>
          </w:p>
        </w:tc>
        <w:tc>
          <w:tcPr>
            <w:tcW w:w="11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28E3B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1.7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4429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43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6B584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T1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27335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N0</w:t>
            </w:r>
          </w:p>
        </w:tc>
        <w:tc>
          <w:tcPr>
            <w:tcW w:w="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E9D21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M0</w:t>
            </w:r>
          </w:p>
        </w:tc>
        <w:tc>
          <w:tcPr>
            <w:tcW w:w="4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2CD63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4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23592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+</w:t>
            </w:r>
          </w:p>
        </w:tc>
        <w:tc>
          <w:tcPr>
            <w:tcW w:w="68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20A84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3+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E3931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7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8EAC2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</w:t>
            </w:r>
          </w:p>
        </w:tc>
      </w:tr>
    </w:tbl>
    <w:p w14:paraId="709E5E69">
      <w:pPr>
        <w:jc w:val="left"/>
        <w:rPr>
          <w:rFonts w:cs="Times New Roman"/>
          <w:b/>
          <w:bCs/>
          <w:szCs w:val="20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docGrid w:type="lines" w:linePitch="319" w:charSpace="0"/>
        </w:sectPr>
      </w:pPr>
    </w:p>
    <w:p w14:paraId="0698D0D1">
      <w:pPr>
        <w:pStyle w:val="3"/>
      </w:pPr>
      <w:bookmarkStart w:id="81" w:name="_Toc199701200"/>
      <w:bookmarkStart w:id="82" w:name="_Toc199700828"/>
      <w:bookmarkStart w:id="83" w:name="_Toc199700801"/>
      <w:bookmarkStart w:id="84" w:name="_Toc199701029"/>
      <w:bookmarkStart w:id="85" w:name="_Toc199701094"/>
      <w:bookmarkStart w:id="86" w:name="_Toc199702331"/>
      <w:bookmarkStart w:id="87" w:name="_Toc199703926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2</w:t>
      </w:r>
      <w:r>
        <w:rPr>
          <w:rFonts w:eastAsia="宋体"/>
          <w:lang w:bidi="ar"/>
        </w:rPr>
        <w:t xml:space="preserve"> </w:t>
      </w:r>
      <w:r>
        <w:t>Primer and probe sequences of candidate genes and reference gene</w:t>
      </w:r>
      <w:r>
        <w:rPr>
          <w:rFonts w:hint="eastAsia"/>
        </w:rPr>
        <w:t>.</w:t>
      </w:r>
      <w:bookmarkEnd w:id="81"/>
      <w:bookmarkEnd w:id="82"/>
      <w:bookmarkEnd w:id="83"/>
      <w:bookmarkEnd w:id="84"/>
      <w:bookmarkEnd w:id="85"/>
      <w:bookmarkEnd w:id="86"/>
      <w:bookmarkEnd w:id="87"/>
    </w:p>
    <w:tbl>
      <w:tblPr>
        <w:tblStyle w:val="10"/>
        <w:tblW w:w="9097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140"/>
        <w:gridCol w:w="2265"/>
        <w:gridCol w:w="819"/>
        <w:gridCol w:w="731"/>
        <w:gridCol w:w="944"/>
        <w:gridCol w:w="1671"/>
      </w:tblGrid>
      <w:tr w14:paraId="1142D6A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F8FA058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Gene/Region</w:t>
            </w:r>
          </w:p>
        </w:tc>
        <w:tc>
          <w:tcPr>
            <w:tcW w:w="1140" w:type="dxa"/>
            <w:tcBorders>
              <w:bottom w:val="single" w:color="auto" w:sz="8" w:space="0"/>
            </w:tcBorders>
            <w:shd w:val="clear" w:color="auto" w:fill="auto"/>
          </w:tcPr>
          <w:p w14:paraId="34070F36">
            <w:pPr>
              <w:widowControl/>
              <w:ind w:left="200" w:leftChars="100"/>
              <w:jc w:val="center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Primer/probe</w:t>
            </w:r>
          </w:p>
        </w:tc>
        <w:tc>
          <w:tcPr>
            <w:tcW w:w="2265" w:type="dxa"/>
            <w:tcBorders>
              <w:bottom w:val="single" w:color="auto" w:sz="8" w:space="0"/>
            </w:tcBorders>
            <w:shd w:val="clear" w:color="auto" w:fill="auto"/>
          </w:tcPr>
          <w:p w14:paraId="0DDF49C9">
            <w:pPr>
              <w:widowControl/>
              <w:jc w:val="center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Sequence (5'-3')</w:t>
            </w:r>
          </w:p>
        </w:tc>
        <w:tc>
          <w:tcPr>
            <w:tcW w:w="819" w:type="dxa"/>
            <w:tcBorders>
              <w:bottom w:val="single" w:color="auto" w:sz="8" w:space="0"/>
            </w:tcBorders>
            <w:shd w:val="clear" w:color="auto" w:fill="auto"/>
          </w:tcPr>
          <w:p w14:paraId="4A1E5C37">
            <w:pPr>
              <w:widowControl/>
              <w:jc w:val="center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Tm ℃</w:t>
            </w:r>
          </w:p>
        </w:tc>
        <w:tc>
          <w:tcPr>
            <w:tcW w:w="731" w:type="dxa"/>
            <w:tcBorders>
              <w:bottom w:val="single" w:color="auto" w:sz="8" w:space="0"/>
            </w:tcBorders>
            <w:shd w:val="clear" w:color="auto" w:fill="auto"/>
          </w:tcPr>
          <w:p w14:paraId="09C48CAA">
            <w:pPr>
              <w:widowControl/>
              <w:jc w:val="center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GC%</w:t>
            </w:r>
          </w:p>
        </w:tc>
        <w:tc>
          <w:tcPr>
            <w:tcW w:w="944" w:type="dxa"/>
            <w:tcBorders>
              <w:bottom w:val="single" w:color="auto" w:sz="8" w:space="0"/>
            </w:tcBorders>
            <w:shd w:val="clear" w:color="auto" w:fill="auto"/>
          </w:tcPr>
          <w:p w14:paraId="545511B3">
            <w:pPr>
              <w:widowControl/>
              <w:jc w:val="center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Length (bp)</w:t>
            </w:r>
          </w:p>
        </w:tc>
        <w:tc>
          <w:tcPr>
            <w:tcW w:w="1671" w:type="dxa"/>
            <w:tcBorders>
              <w:bottom w:val="single" w:color="auto" w:sz="8" w:space="0"/>
            </w:tcBorders>
            <w:shd w:val="clear" w:color="auto" w:fill="auto"/>
          </w:tcPr>
          <w:p w14:paraId="5E94E5DA">
            <w:pPr>
              <w:widowControl/>
              <w:jc w:val="center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Product size (bp)</w:t>
            </w:r>
          </w:p>
        </w:tc>
      </w:tr>
      <w:tr w14:paraId="4D16808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0B0A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114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2F70D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Forward primer</w:t>
            </w:r>
          </w:p>
        </w:tc>
        <w:tc>
          <w:tcPr>
            <w:tcW w:w="2265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</w:tcPr>
          <w:p w14:paraId="5AC919FA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TGGAGTTAATATTTAGG</w:t>
            </w: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CG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ATTTTTTG</w:t>
            </w:r>
          </w:p>
        </w:tc>
        <w:tc>
          <w:tcPr>
            <w:tcW w:w="819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</w:tcPr>
          <w:p w14:paraId="6FF6808F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59</w:t>
            </w:r>
          </w:p>
        </w:tc>
        <w:tc>
          <w:tcPr>
            <w:tcW w:w="73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</w:tcPr>
          <w:p w14:paraId="5EAEDEA4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30</w:t>
            </w:r>
          </w:p>
        </w:tc>
        <w:tc>
          <w:tcPr>
            <w:tcW w:w="944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</w:tcPr>
          <w:p w14:paraId="75A01A9B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27</w:t>
            </w:r>
          </w:p>
        </w:tc>
        <w:tc>
          <w:tcPr>
            <w:tcW w:w="167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A29B52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97</w:t>
            </w:r>
          </w:p>
        </w:tc>
      </w:tr>
      <w:tr w14:paraId="3EA341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4E07E5">
            <w:pPr>
              <w:jc w:val="left"/>
              <w:rPr>
                <w:rFonts w:eastAsia="宋体" w:cs="Times New Roman"/>
                <w:i/>
                <w:iCs/>
                <w:color w:val="000000"/>
                <w:szCs w:val="20"/>
              </w:rPr>
            </w:pP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91CD4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MGB probe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</w:tcPr>
          <w:p w14:paraId="5B7C3A90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TCGAACGACTCCCGC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</w:tcPr>
          <w:p w14:paraId="47DF7B22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69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</w:tcPr>
          <w:p w14:paraId="63839281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67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</w:tcPr>
          <w:p w14:paraId="49983FD2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536C6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6CD370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20BA62">
            <w:pPr>
              <w:jc w:val="left"/>
              <w:rPr>
                <w:rFonts w:eastAsia="宋体" w:cs="Times New Roman"/>
                <w:i/>
                <w:iCs/>
                <w:color w:val="000000"/>
                <w:szCs w:val="20"/>
              </w:rPr>
            </w:pP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9AF1B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Reverse primer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</w:tcPr>
          <w:p w14:paraId="653777C1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AACTTAAAACCCGAACCCCC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</w:tcPr>
          <w:p w14:paraId="1BFA2080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57.9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</w:tcPr>
          <w:p w14:paraId="65BD8BDD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50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</w:tcPr>
          <w:p w14:paraId="33AB946C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20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69C5BB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458C38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860E8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cg23247845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E7612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Forward primer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</w:tcPr>
          <w:p w14:paraId="4A87CDEB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TGTGGCGTATTTTTAGAGGGTTTT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</w:tcPr>
          <w:p w14:paraId="56F390A7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59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</w:tcPr>
          <w:p w14:paraId="5901402A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38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</w:tcPr>
          <w:p w14:paraId="200781DF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24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0E101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100</w:t>
            </w:r>
          </w:p>
        </w:tc>
      </w:tr>
      <w:tr w14:paraId="377FFF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610AF4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EDF4C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MGB probe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</w:tcPr>
          <w:p w14:paraId="1BD5453A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ACGCTACCGAATTA</w:t>
            </w: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CG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CAT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</w:tcPr>
          <w:p w14:paraId="5FCD72FF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70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</w:tcPr>
          <w:p w14:paraId="67C191ED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47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</w:tcPr>
          <w:p w14:paraId="08082384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19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474071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129BA1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77B4CC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5FBDA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Reverse primer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</w:tcPr>
          <w:p w14:paraId="56FC0E81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CGCGAATATATATATATCAATATAATCAAACG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</w:tcPr>
          <w:p w14:paraId="1EC54C59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58.1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</w:tcPr>
          <w:p w14:paraId="120EB1E0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25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</w:tcPr>
          <w:p w14:paraId="58CA930C">
            <w:pPr>
              <w:widowControl/>
              <w:jc w:val="left"/>
              <w:textAlignment w:val="top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32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7827CC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3DE048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87682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ACTB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B46D7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Forward primer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7AC3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GGTTAAGTGTGATTTTGTGGTGTG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F6B93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57.2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2C106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42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7F0E3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24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5083E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80</w:t>
            </w:r>
          </w:p>
        </w:tc>
      </w:tr>
      <w:tr w14:paraId="6356E7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4170BB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8EA4D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MGB probe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562C4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ACCCTCTACTACCC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ECD89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65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3EC37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57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DCCE6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14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E74536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21B03B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ECE362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DBE1A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Reverse primer</w:t>
            </w:r>
          </w:p>
        </w:tc>
        <w:tc>
          <w:tcPr>
            <w:tcW w:w="22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6C55E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CCTTTTACAAAATTCACCCTCCT</w:t>
            </w: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27519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56.6</w:t>
            </w:r>
          </w:p>
        </w:tc>
        <w:tc>
          <w:tcPr>
            <w:tcW w:w="73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72A25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39</w:t>
            </w:r>
          </w:p>
        </w:tc>
        <w:tc>
          <w:tcPr>
            <w:tcW w:w="94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CAC73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23</w:t>
            </w:r>
          </w:p>
        </w:tc>
        <w:tc>
          <w:tcPr>
            <w:tcW w:w="167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483F46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</w:tbl>
    <w:p w14:paraId="00DAB931">
      <w:pPr>
        <w:rPr>
          <w:bCs/>
          <w:szCs w:val="20"/>
        </w:rPr>
      </w:pPr>
      <w:r>
        <w:rPr>
          <w:rFonts w:hint="eastAsia" w:eastAsia="宋体" w:cs="Times New Roman"/>
          <w:bCs/>
          <w:szCs w:val="20"/>
          <w:lang w:bidi="ar"/>
        </w:rPr>
        <w:t xml:space="preserve">Note: </w:t>
      </w:r>
      <w:r>
        <w:rPr>
          <w:bCs/>
          <w:szCs w:val="20"/>
        </w:rPr>
        <w:t xml:space="preserve">These are the sequences after the bisulfite conversion; The CGs in bold were the sites detected in the </w:t>
      </w:r>
      <w:r>
        <w:rPr>
          <w:rFonts w:hint="eastAsia"/>
          <w:bCs/>
          <w:szCs w:val="20"/>
        </w:rPr>
        <w:t>Infnium HumanMethylationEPIC array</w:t>
      </w:r>
      <w:r>
        <w:rPr>
          <w:bCs/>
          <w:szCs w:val="20"/>
        </w:rPr>
        <w:t xml:space="preserve">; </w:t>
      </w:r>
      <w:r>
        <w:rPr>
          <w:bCs/>
          <w:i/>
          <w:iCs/>
          <w:szCs w:val="20"/>
        </w:rPr>
        <w:t>ACTB</w:t>
      </w:r>
      <w:r>
        <w:rPr>
          <w:bCs/>
          <w:szCs w:val="20"/>
        </w:rPr>
        <w:t xml:space="preserve"> is the reference gene.</w:t>
      </w:r>
      <w:r>
        <w:rPr>
          <w:rFonts w:hint="eastAsia"/>
          <w:bCs/>
          <w:szCs w:val="20"/>
        </w:rPr>
        <w:t xml:space="preserve"> </w:t>
      </w:r>
    </w:p>
    <w:p w14:paraId="61FF34BC">
      <w:pPr>
        <w:rPr>
          <w:bCs/>
          <w:szCs w:val="20"/>
        </w:rPr>
      </w:pPr>
      <w:r>
        <w:rPr>
          <w:rFonts w:hint="eastAsia"/>
          <w:bCs/>
          <w:szCs w:val="20"/>
        </w:rPr>
        <w:br w:type="page"/>
      </w:r>
    </w:p>
    <w:p w14:paraId="16970963">
      <w:pPr>
        <w:pStyle w:val="3"/>
        <w:rPr>
          <w:rFonts w:eastAsia="宋体"/>
          <w:lang w:bidi="ar"/>
        </w:rPr>
      </w:pPr>
      <w:bookmarkStart w:id="88" w:name="_Toc199700829"/>
      <w:bookmarkStart w:id="89" w:name="_Toc199701095"/>
      <w:bookmarkStart w:id="90" w:name="_Toc199701030"/>
      <w:bookmarkStart w:id="91" w:name="_Toc199702332"/>
      <w:bookmarkStart w:id="92" w:name="_Toc199703927"/>
      <w:bookmarkStart w:id="93" w:name="_Toc199700802"/>
      <w:bookmarkStart w:id="94" w:name="_Toc199701201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3</w:t>
      </w:r>
      <w:r>
        <w:rPr>
          <w:rFonts w:eastAsia="宋体"/>
          <w:lang w:bidi="ar"/>
        </w:rPr>
        <w:t xml:space="preserve"> The clinical characteristics of patients in public datasets</w:t>
      </w:r>
      <w:r>
        <w:rPr>
          <w:rFonts w:hint="eastAsia" w:eastAsia="宋体"/>
          <w:lang w:bidi="ar"/>
        </w:rPr>
        <w:t>.</w:t>
      </w:r>
      <w:bookmarkEnd w:id="88"/>
      <w:bookmarkEnd w:id="89"/>
      <w:bookmarkEnd w:id="90"/>
      <w:bookmarkEnd w:id="91"/>
      <w:bookmarkEnd w:id="92"/>
      <w:bookmarkEnd w:id="93"/>
      <w:bookmarkEnd w:id="94"/>
    </w:p>
    <w:tbl>
      <w:tblPr>
        <w:tblStyle w:val="10"/>
        <w:tblW w:w="4999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1376"/>
        <w:gridCol w:w="1334"/>
        <w:gridCol w:w="1058"/>
        <w:gridCol w:w="1298"/>
        <w:gridCol w:w="1633"/>
      </w:tblGrid>
      <w:tr w14:paraId="0687DE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tblHeader/>
        </w:trPr>
        <w:tc>
          <w:tcPr>
            <w:tcW w:w="1066" w:type="pct"/>
            <w:tcBorders>
              <w:bottom w:val="nil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B4FC7EC">
            <w:pPr>
              <w:jc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1591" w:type="pct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EB581F8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TCGA</w:t>
            </w:r>
          </w:p>
        </w:tc>
        <w:tc>
          <w:tcPr>
            <w:tcW w:w="1383" w:type="pct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448141D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GSE69914</w:t>
            </w:r>
          </w:p>
        </w:tc>
        <w:tc>
          <w:tcPr>
            <w:tcW w:w="959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C384A51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GSE7</w:t>
            </w:r>
            <w:r>
              <w:rPr>
                <w:rFonts w:hint="eastAsia"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2251</w:t>
            </w:r>
          </w:p>
        </w:tc>
      </w:tr>
      <w:tr w14:paraId="336E65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tblHeader/>
        </w:trPr>
        <w:tc>
          <w:tcPr>
            <w:tcW w:w="1066" w:type="pct"/>
            <w:tcBorders>
              <w:top w:val="nil"/>
              <w:bottom w:val="single" w:color="auto" w:sz="8" w:space="0"/>
            </w:tcBorders>
            <w:shd w:val="clear" w:color="auto" w:fill="auto"/>
            <w:vAlign w:val="bottom"/>
          </w:tcPr>
          <w:p w14:paraId="2573268A">
            <w:pPr>
              <w:widowControl/>
              <w:jc w:val="left"/>
              <w:textAlignment w:val="bottom"/>
              <w:rPr>
                <w:rFonts w:eastAsia="宋体" w:cs="Times New Roman"/>
                <w:b/>
                <w:bCs/>
                <w:color w:val="333333"/>
                <w:szCs w:val="20"/>
              </w:rPr>
            </w:pPr>
            <w:r>
              <w:rPr>
                <w:rFonts w:eastAsia="宋体" w:cs="Times New Roman"/>
                <w:b/>
                <w:bCs/>
                <w:color w:val="333333"/>
                <w:kern w:val="0"/>
                <w:szCs w:val="20"/>
                <w:lang w:bidi="ar"/>
              </w:rPr>
              <w:t>Characteristic</w:t>
            </w:r>
          </w:p>
        </w:tc>
        <w:tc>
          <w:tcPr>
            <w:tcW w:w="808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bottom"/>
          </w:tcPr>
          <w:p w14:paraId="4D9A543F">
            <w:pPr>
              <w:widowControl/>
              <w:jc w:val="left"/>
              <w:textAlignment w:val="bottom"/>
              <w:rPr>
                <w:rFonts w:eastAsia="宋体" w:cs="Times New Roman"/>
                <w:b/>
                <w:bCs/>
                <w:color w:val="333333"/>
                <w:szCs w:val="20"/>
              </w:rPr>
            </w:pPr>
            <w:r>
              <w:rPr>
                <w:rFonts w:eastAsia="宋体" w:cs="Times New Roman"/>
                <w:b/>
                <w:bCs/>
                <w:color w:val="333333"/>
                <w:kern w:val="0"/>
                <w:szCs w:val="20"/>
                <w:lang w:bidi="ar"/>
              </w:rPr>
              <w:t>TNBC (N = 83)</w:t>
            </w:r>
          </w:p>
        </w:tc>
        <w:tc>
          <w:tcPr>
            <w:tcW w:w="782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bottom"/>
          </w:tcPr>
          <w:p w14:paraId="349EE61B">
            <w:pPr>
              <w:widowControl/>
              <w:jc w:val="left"/>
              <w:textAlignment w:val="bottom"/>
              <w:rPr>
                <w:rFonts w:eastAsia="宋体" w:cs="Times New Roman"/>
                <w:b/>
                <w:bCs/>
                <w:color w:val="333333"/>
                <w:szCs w:val="20"/>
              </w:rPr>
            </w:pPr>
            <w:r>
              <w:rPr>
                <w:rFonts w:eastAsia="宋体" w:cs="Times New Roman"/>
                <w:b/>
                <w:bCs/>
                <w:color w:val="333333"/>
                <w:kern w:val="0"/>
                <w:szCs w:val="20"/>
                <w:lang w:bidi="ar"/>
              </w:rPr>
              <w:t>non-TNBC (N = 691)</w:t>
            </w:r>
          </w:p>
        </w:tc>
        <w:tc>
          <w:tcPr>
            <w:tcW w:w="621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bottom"/>
          </w:tcPr>
          <w:p w14:paraId="4EEE5EE4">
            <w:pPr>
              <w:widowControl/>
              <w:jc w:val="left"/>
              <w:textAlignment w:val="bottom"/>
              <w:rPr>
                <w:rFonts w:eastAsia="宋体" w:cs="Times New Roman"/>
                <w:b/>
                <w:bCs/>
                <w:color w:val="333333"/>
                <w:szCs w:val="20"/>
              </w:rPr>
            </w:pPr>
            <w:r>
              <w:rPr>
                <w:rFonts w:eastAsia="宋体" w:cs="Times New Roman"/>
                <w:b/>
                <w:bCs/>
                <w:color w:val="333333"/>
                <w:kern w:val="0"/>
                <w:szCs w:val="20"/>
                <w:lang w:bidi="ar"/>
              </w:rPr>
              <w:t>TNBC (N = 30)</w:t>
            </w:r>
          </w:p>
        </w:tc>
        <w:tc>
          <w:tcPr>
            <w:tcW w:w="761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vAlign w:val="bottom"/>
          </w:tcPr>
          <w:p w14:paraId="29BB3CCD">
            <w:pPr>
              <w:widowControl/>
              <w:jc w:val="left"/>
              <w:textAlignment w:val="bottom"/>
              <w:rPr>
                <w:rFonts w:eastAsia="宋体" w:cs="Times New Roman"/>
                <w:b/>
                <w:bCs/>
                <w:color w:val="333333"/>
                <w:szCs w:val="20"/>
              </w:rPr>
            </w:pPr>
            <w:r>
              <w:rPr>
                <w:rFonts w:eastAsia="宋体" w:cs="Times New Roman"/>
                <w:b/>
                <w:bCs/>
                <w:color w:val="333333"/>
                <w:kern w:val="0"/>
                <w:szCs w:val="20"/>
                <w:lang w:bidi="ar"/>
              </w:rPr>
              <w:t>non-TNBC (N = 275)</w:t>
            </w:r>
          </w:p>
        </w:tc>
        <w:tc>
          <w:tcPr>
            <w:tcW w:w="959" w:type="pct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F185480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TNBC (N = 3</w:t>
            </w:r>
            <w:r>
              <w:rPr>
                <w:rFonts w:hint="eastAsia"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4</w:t>
            </w: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)</w:t>
            </w:r>
          </w:p>
        </w:tc>
      </w:tr>
      <w:tr w14:paraId="7E37FD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2D3F7A03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Age, Mean (SD)</w:t>
            </w:r>
          </w:p>
        </w:tc>
        <w:tc>
          <w:tcPr>
            <w:tcW w:w="808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77388899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55.2 (12.1)</w:t>
            </w:r>
          </w:p>
        </w:tc>
        <w:tc>
          <w:tcPr>
            <w:tcW w:w="782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4EDD48AC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58.3 (13.3)</w:t>
            </w:r>
          </w:p>
        </w:tc>
        <w:tc>
          <w:tcPr>
            <w:tcW w:w="621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A39C85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5C6E9D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B051D0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55.4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(1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4.6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</w:tr>
      <w:tr w14:paraId="062B80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FA3F76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ER, n (%)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615DEB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5CE838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45A31B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8F18D3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B84493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4FDA257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F88080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669467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83 (100.0%)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580E7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86 (12.4%)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2F6C9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30 (100.0%)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654DF3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18 (6.5%)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6C112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4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(100.0%)</w:t>
            </w:r>
          </w:p>
        </w:tc>
      </w:tr>
      <w:tr w14:paraId="5306C0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DCE19B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7F629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B70AA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561 (81.2%)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5E07A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80F45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254 (92.4%)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4EAB1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3649C5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53B89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Unknow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9C298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CB3A87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44 (6.4%)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9129CE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FD98BB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 (1.1%)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D9100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371752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3ACA99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PR, n (%)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7B1D95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2ABA57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B73F2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BEAAC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C6A792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3DC172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F3B6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62D6A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83 (100.0%)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91D49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154 (22.3%)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57B5F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30 (100.0%)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ABD1C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51 (18.5%)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65AD9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4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(100.0%)</w:t>
            </w:r>
          </w:p>
        </w:tc>
      </w:tr>
      <w:tr w14:paraId="3BE005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F00E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8A1895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DE019E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490 (70.9%)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0DD0A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5CD640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217 (78.9%)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94146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49C739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F3FDC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Unknow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196DD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F5821D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47 (6.8%)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D669B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A61A8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7 (2.5%)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53AAA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14B2F0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3A1A8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HER2, n (%)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5DAA15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2D1CE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478E12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223842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D50F25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21E7B1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B22AC7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Negative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FEE8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83 (100.0%)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DBF6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309 (44.7%)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73B106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30 (100.0%)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5B0348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194 (70.5%)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999B4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4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(100.0%)</w:t>
            </w:r>
          </w:p>
        </w:tc>
      </w:tr>
      <w:tr w14:paraId="50A7D2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7EAA56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5994D0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AEB4CC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90 (13.0%)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5AC9A8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6F9CF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43 (15.6%)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DA7AD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115D57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3F0DF5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Unknow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762B7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630A3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292 (42.3%)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8B5352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0 (0.0%)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82FE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38 (13.8%)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21A25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0AA137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BA05B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Stage, n (%)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73AC69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A9FA74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FA2AD4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9D612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A615DA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2007D1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D9AC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86B93B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15 (18.1%)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CBB1E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112 (16.2%)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23279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B2D25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3B325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2ADF44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FB4DC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II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E3575B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50 (60.2%)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B2144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381 (55.1%)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57F40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3AD2C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B58C9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371803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4D7C05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III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9BB16C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15 (18.1%)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F23B66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182 (26.3%)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DD969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E7F32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6905F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2AF89C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3C7CED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IV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916092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2 (2.4%)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29E06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8 (1.2%)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E535F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54A3F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22328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71AE25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78D6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Unknow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77EB5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1 (1.2%)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4AFA1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8 (1.2%)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02B77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44189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6FDE4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06AE2C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E3661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Vital status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CF7DE7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DFE0E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A831BA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88BA30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5B829A">
            <w:pPr>
              <w:jc w:val="left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32DEE5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EE338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Alive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C3DC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68 (81.9%)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1BC74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605 (87.6%)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B9A90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96DD3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B084A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28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82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.4%)</w:t>
            </w:r>
          </w:p>
        </w:tc>
      </w:tr>
      <w:tr w14:paraId="7B72DE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2758F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Dead</w:t>
            </w:r>
          </w:p>
        </w:tc>
        <w:tc>
          <w:tcPr>
            <w:tcW w:w="8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8DBBF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 (18.1%)</w:t>
            </w:r>
          </w:p>
        </w:tc>
        <w:tc>
          <w:tcPr>
            <w:tcW w:w="78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71260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86 (12.4%)</w:t>
            </w:r>
          </w:p>
        </w:tc>
        <w:tc>
          <w:tcPr>
            <w:tcW w:w="62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CCF45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76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7B6D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9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BDC67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6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17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.6%)</w:t>
            </w:r>
          </w:p>
        </w:tc>
      </w:tr>
    </w:tbl>
    <w:p w14:paraId="3739E5B9">
      <w:pPr>
        <w:spacing w:line="360" w:lineRule="auto"/>
        <w:rPr>
          <w:szCs w:val="20"/>
        </w:rPr>
      </w:pPr>
      <w:r>
        <w:rPr>
          <w:rFonts w:hint="eastAsia"/>
          <w:szCs w:val="20"/>
        </w:rPr>
        <w:t>Note</w:t>
      </w:r>
      <w:r>
        <w:rPr>
          <w:szCs w:val="20"/>
        </w:rPr>
        <w:t>: All samples were from female pa</w:t>
      </w:r>
      <w:r>
        <w:rPr>
          <w:rFonts w:hint="eastAsia"/>
          <w:szCs w:val="20"/>
        </w:rPr>
        <w:t>rticipants.</w:t>
      </w:r>
    </w:p>
    <w:p w14:paraId="05AF11DE">
      <w:pPr>
        <w:rPr>
          <w:szCs w:val="20"/>
        </w:rPr>
      </w:pPr>
    </w:p>
    <w:p w14:paraId="179E526B">
      <w:pPr>
        <w:rPr>
          <w:szCs w:val="20"/>
        </w:rPr>
      </w:pPr>
    </w:p>
    <w:p w14:paraId="0125A96A">
      <w:pPr>
        <w:rPr>
          <w:szCs w:val="20"/>
        </w:rPr>
      </w:pPr>
    </w:p>
    <w:p w14:paraId="26794C80">
      <w:pPr>
        <w:rPr>
          <w:szCs w:val="20"/>
        </w:rPr>
      </w:pPr>
    </w:p>
    <w:p w14:paraId="483693A3">
      <w:pPr>
        <w:rPr>
          <w:szCs w:val="20"/>
        </w:rPr>
      </w:pPr>
    </w:p>
    <w:p w14:paraId="32A23273">
      <w:pPr>
        <w:rPr>
          <w:szCs w:val="20"/>
        </w:rPr>
      </w:pPr>
    </w:p>
    <w:p w14:paraId="2596E3DB">
      <w:pPr>
        <w:rPr>
          <w:szCs w:val="20"/>
        </w:rPr>
      </w:pPr>
    </w:p>
    <w:p w14:paraId="03F1D350">
      <w:pPr>
        <w:rPr>
          <w:szCs w:val="20"/>
        </w:rPr>
      </w:pPr>
    </w:p>
    <w:p w14:paraId="2F504F0D">
      <w:pPr>
        <w:rPr>
          <w:szCs w:val="20"/>
        </w:rPr>
      </w:pPr>
    </w:p>
    <w:p w14:paraId="1E2E59B4">
      <w:pPr>
        <w:rPr>
          <w:szCs w:val="20"/>
        </w:rPr>
      </w:pPr>
    </w:p>
    <w:p w14:paraId="784E5BEA">
      <w:pPr>
        <w:rPr>
          <w:szCs w:val="20"/>
        </w:rPr>
      </w:pPr>
    </w:p>
    <w:p w14:paraId="5CA52E31">
      <w:pPr>
        <w:spacing w:line="360" w:lineRule="auto"/>
        <w:rPr>
          <w:szCs w:val="20"/>
        </w:rPr>
      </w:pPr>
    </w:p>
    <w:p w14:paraId="47E9E4A4">
      <w:pPr>
        <w:pStyle w:val="3"/>
        <w:rPr>
          <w:rFonts w:cs="Times New Roman"/>
          <w:szCs w:val="20"/>
          <w:lang w:bidi="ar"/>
        </w:rPr>
      </w:pPr>
      <w:bookmarkStart w:id="95" w:name="_Toc199701096"/>
      <w:bookmarkStart w:id="96" w:name="_Toc199702333"/>
      <w:bookmarkStart w:id="97" w:name="_Toc199701202"/>
      <w:bookmarkStart w:id="98" w:name="_Toc199700803"/>
      <w:bookmarkStart w:id="99" w:name="_Toc199700830"/>
      <w:bookmarkStart w:id="100" w:name="_Toc199703928"/>
      <w:bookmarkStart w:id="101" w:name="_Toc199701031"/>
      <w:r>
        <w:rPr>
          <w:rStyle w:val="21"/>
          <w:rFonts w:eastAsia="宋体"/>
          <w:bCs w:val="0"/>
        </w:rPr>
        <w:t>Table S4 Difference</w:t>
      </w:r>
      <w:r>
        <w:rPr>
          <w:rStyle w:val="21"/>
          <w:rFonts w:eastAsiaTheme="minorEastAsia"/>
          <w:bCs w:val="0"/>
        </w:rPr>
        <w:t xml:space="preserve"> of eight CpG sites for distinguishing TNBC from non-TNBC tissues in TCGA </w:t>
      </w:r>
      <w:r>
        <w:rPr>
          <w:rFonts w:cs="Times New Roman"/>
          <w:szCs w:val="20"/>
        </w:rPr>
        <w:t>dataset</w:t>
      </w:r>
      <w:r>
        <w:rPr>
          <w:rFonts w:hint="eastAsia" w:cs="Times New Roman"/>
          <w:szCs w:val="20"/>
        </w:rPr>
        <w:t>.</w:t>
      </w:r>
      <w:bookmarkEnd w:id="95"/>
      <w:bookmarkEnd w:id="96"/>
      <w:bookmarkEnd w:id="97"/>
      <w:bookmarkEnd w:id="98"/>
      <w:bookmarkEnd w:id="99"/>
      <w:bookmarkEnd w:id="100"/>
      <w:bookmarkEnd w:id="101"/>
    </w:p>
    <w:tbl>
      <w:tblPr>
        <w:tblStyle w:val="10"/>
        <w:tblW w:w="8814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1072"/>
        <w:gridCol w:w="772"/>
        <w:gridCol w:w="1161"/>
        <w:gridCol w:w="733"/>
        <w:gridCol w:w="666"/>
        <w:gridCol w:w="1117"/>
        <w:gridCol w:w="1161"/>
        <w:gridCol w:w="733"/>
        <w:gridCol w:w="666"/>
      </w:tblGrid>
      <w:tr w14:paraId="2D0819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0" w:type="auto"/>
            <w:tcBorders>
              <w:bottom w:val="nil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2F5556C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8DAF503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2F659C5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FDEA0B4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TCGA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AC7CD77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E22314A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0C99C74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GSE69914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183ED4C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D3370AD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9765E2F">
            <w:pPr>
              <w:jc w:val="left"/>
              <w:rPr>
                <w:rFonts w:eastAsia="宋体" w:cs="Times New Roman"/>
                <w:b/>
                <w:bCs/>
                <w:color w:val="000000"/>
                <w:szCs w:val="20"/>
              </w:rPr>
            </w:pPr>
          </w:p>
        </w:tc>
      </w:tr>
      <w:tr w14:paraId="7992AC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0" w:type="auto"/>
            <w:tcBorders>
              <w:top w:val="nil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AD66AD1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CpG sites</w:t>
            </w:r>
          </w:p>
        </w:tc>
        <w:tc>
          <w:tcPr>
            <w:tcW w:w="0" w:type="auto"/>
            <w:tcBorders>
              <w:top w:val="nil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ECC9ABB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Gene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A58EABA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0319F8A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</w:tcPr>
          <w:p w14:paraId="5AC22CED">
            <w:pPr>
              <w:widowControl/>
              <w:jc w:val="left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Δβ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64257FD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A366139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TNBC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33C9928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</w:tcPr>
          <w:p w14:paraId="36CC5804">
            <w:pPr>
              <w:widowControl/>
              <w:jc w:val="left"/>
              <w:textAlignment w:val="top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Δβ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8596C0A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</w:tr>
      <w:tr w14:paraId="3EF866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AF54CA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cg01095157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F8B0E2A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GORASP2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4AB5D7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0.504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D2E648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0.833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7D4040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-0.329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BAC8BF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58163E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0.659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FE1ABF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0.912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F8E2A6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-0.252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BFD497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  <w:tr w14:paraId="59E5941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7571B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cg02096552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771DC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DISP1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F7E79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0.561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7CE14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DA3A1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-0.266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F2E56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57C64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5FA4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21BB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-0.115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E2CB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0.002</w:t>
            </w:r>
          </w:p>
        </w:tc>
      </w:tr>
      <w:tr w14:paraId="5C5A05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6FE22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cg04016621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37576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GRK7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FE2FC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0.499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7B74C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0.868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3CCD5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-0.369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9D650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39BE1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0.755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3F796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0.960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219C4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-0.205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75B97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  <w:tr w14:paraId="4BDFCE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87052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DD2113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4ABE6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0.486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78445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2E1A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0.281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6822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EAFF0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0.437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45D37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CE004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ED764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  <w:tr w14:paraId="4E92BD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F921A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cg14534279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8CF5C8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BDEC0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0.389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13768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B6A0D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-0.398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45076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9430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0.625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CDF44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214E9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-0.263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D0C7E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  <w:tr w14:paraId="7E4732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7B6D7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cg17588293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24973A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ZBTB7B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CA49B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7B9DF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0.343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670EE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0.279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B474F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F8CE0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0.534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058EC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0.352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43622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0.182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184CC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  <w:tr w14:paraId="2A25C4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77F3D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cg19758859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2AD76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SASH1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557BB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0.533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77A1B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0.834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832CC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-0.301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5A164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1573E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0.617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0CB4D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829E5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-0.177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00F0E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  <w:tr w14:paraId="0216C4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01769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cg23247845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306B29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8BBC9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0.481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CFC02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0.841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0AA94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-0.360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0CC2D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9C697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0.734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85964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E3CCA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-0.181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301EB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0.000</w:t>
            </w:r>
          </w:p>
        </w:tc>
      </w:tr>
    </w:tbl>
    <w:p w14:paraId="3E6ACB7C">
      <w:pPr>
        <w:spacing w:line="360" w:lineRule="auto"/>
        <w:rPr>
          <w:bCs/>
          <w:color w:val="000000"/>
          <w:kern w:val="0"/>
          <w:szCs w:val="20"/>
        </w:rPr>
      </w:pPr>
      <w:r>
        <w:rPr>
          <w:rFonts w:hint="eastAsia" w:eastAsia="宋体" w:cs="Times New Roman"/>
          <w:bCs/>
          <w:szCs w:val="20"/>
          <w:lang w:bidi="ar"/>
        </w:rPr>
        <w:t xml:space="preserve">Note: </w:t>
      </w:r>
      <w:r>
        <w:rPr>
          <w:bCs/>
          <w:color w:val="000000"/>
          <w:kern w:val="0"/>
          <w:szCs w:val="20"/>
        </w:rPr>
        <w:t>Δ</w:t>
      </w:r>
      <w:r>
        <w:rPr>
          <w:bCs/>
          <w:i/>
          <w:iCs/>
          <w:color w:val="000000"/>
          <w:kern w:val="0"/>
          <w:szCs w:val="20"/>
        </w:rPr>
        <w:t>β</w:t>
      </w:r>
      <w:r>
        <w:rPr>
          <w:rFonts w:hint="eastAsia"/>
          <w:bCs/>
          <w:color w:val="000000"/>
          <w:kern w:val="0"/>
          <w:szCs w:val="20"/>
        </w:rPr>
        <w:t xml:space="preserve"> is the average </w:t>
      </w:r>
      <w:r>
        <w:rPr>
          <w:bCs/>
          <w:i/>
          <w:iCs/>
          <w:color w:val="000000"/>
          <w:kern w:val="0"/>
          <w:szCs w:val="20"/>
        </w:rPr>
        <w:t>β</w:t>
      </w:r>
      <w:r>
        <w:rPr>
          <w:rFonts w:hint="eastAsia"/>
          <w:bCs/>
          <w:color w:val="000000"/>
          <w:kern w:val="0"/>
          <w:szCs w:val="20"/>
        </w:rPr>
        <w:t xml:space="preserve"> values of TNBC group minus the average </w:t>
      </w:r>
      <w:r>
        <w:rPr>
          <w:bCs/>
          <w:i/>
          <w:iCs/>
          <w:color w:val="000000"/>
          <w:kern w:val="0"/>
          <w:szCs w:val="20"/>
        </w:rPr>
        <w:t>β</w:t>
      </w:r>
      <w:r>
        <w:rPr>
          <w:rFonts w:hint="eastAsia"/>
          <w:bCs/>
          <w:color w:val="000000"/>
          <w:kern w:val="0"/>
          <w:szCs w:val="20"/>
        </w:rPr>
        <w:t xml:space="preserve"> values of non-TNBC group.</w:t>
      </w:r>
    </w:p>
    <w:p w14:paraId="220D1B75">
      <w:pPr>
        <w:spacing w:line="360" w:lineRule="auto"/>
        <w:rPr>
          <w:bCs/>
          <w:color w:val="000000"/>
          <w:kern w:val="0"/>
          <w:szCs w:val="20"/>
        </w:rPr>
      </w:pPr>
    </w:p>
    <w:p w14:paraId="6BE325F4">
      <w:pPr>
        <w:pStyle w:val="3"/>
      </w:pPr>
      <w:bookmarkStart w:id="102" w:name="_Toc199701097"/>
      <w:bookmarkStart w:id="103" w:name="_Toc199702334"/>
      <w:bookmarkStart w:id="104" w:name="_Toc199701203"/>
      <w:bookmarkStart w:id="105" w:name="_Toc199700804"/>
      <w:bookmarkStart w:id="106" w:name="_Toc199700831"/>
      <w:bookmarkStart w:id="107" w:name="_Toc199701032"/>
      <w:bookmarkStart w:id="108" w:name="_Toc199703929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5</w:t>
      </w:r>
      <w:r>
        <w:rPr>
          <w:rFonts w:eastAsia="宋体"/>
          <w:lang w:bidi="ar"/>
        </w:rPr>
        <w:t xml:space="preserve"> </w:t>
      </w:r>
      <w:r>
        <w:t xml:space="preserve">Diagnostic performance of </w:t>
      </w:r>
      <w:r>
        <w:rPr>
          <w:rFonts w:hint="eastAsia"/>
        </w:rPr>
        <w:t>eight</w:t>
      </w:r>
      <w:r>
        <w:t xml:space="preserve"> CpG sites for distinguishing TNBC from non-TNBC tissues in TCGA dataset</w:t>
      </w:r>
      <w:r>
        <w:rPr>
          <w:rFonts w:hint="eastAsia"/>
        </w:rPr>
        <w:t>.</w:t>
      </w:r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Style w:val="10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1"/>
        <w:gridCol w:w="1078"/>
        <w:gridCol w:w="954"/>
        <w:gridCol w:w="2068"/>
        <w:gridCol w:w="1193"/>
        <w:gridCol w:w="1329"/>
      </w:tblGrid>
      <w:tr w14:paraId="134B3B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433E24D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CpG sites</w:t>
            </w:r>
          </w:p>
        </w:tc>
        <w:tc>
          <w:tcPr>
            <w:tcW w:w="633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57D63BC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Gene</w:t>
            </w:r>
          </w:p>
        </w:tc>
        <w:tc>
          <w:tcPr>
            <w:tcW w:w="560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668133D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Cut</w:t>
            </w:r>
            <w:r>
              <w:rPr>
                <w:rFonts w:hint="eastAsia"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_</w:t>
            </w: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off</w:t>
            </w:r>
          </w:p>
        </w:tc>
        <w:tc>
          <w:tcPr>
            <w:tcW w:w="1214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1B6F33D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AUC (95% CI)</w:t>
            </w:r>
          </w:p>
        </w:tc>
        <w:tc>
          <w:tcPr>
            <w:tcW w:w="700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29E2A1B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Sensitivity</w:t>
            </w:r>
          </w:p>
        </w:tc>
        <w:tc>
          <w:tcPr>
            <w:tcW w:w="780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8C1F11B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Specificity</w:t>
            </w:r>
          </w:p>
        </w:tc>
      </w:tr>
      <w:tr w14:paraId="4C643A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82832C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cg01095157</w:t>
            </w:r>
          </w:p>
        </w:tc>
        <w:tc>
          <w:tcPr>
            <w:tcW w:w="633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931BA8D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GORASP2</w:t>
            </w:r>
          </w:p>
        </w:tc>
        <w:tc>
          <w:tcPr>
            <w:tcW w:w="560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3CE8DB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0.824</w:t>
            </w:r>
          </w:p>
        </w:tc>
        <w:tc>
          <w:tcPr>
            <w:tcW w:w="1214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6204F5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0.893 (0.867-0.919)</w:t>
            </w:r>
          </w:p>
        </w:tc>
        <w:tc>
          <w:tcPr>
            <w:tcW w:w="700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08FD77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95.2%</w:t>
            </w:r>
          </w:p>
        </w:tc>
        <w:tc>
          <w:tcPr>
            <w:tcW w:w="780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9494EE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74.7%</w:t>
            </w:r>
          </w:p>
        </w:tc>
      </w:tr>
      <w:tr w14:paraId="33C77D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317AC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cg02096552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F309A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DISP1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3872C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0.742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97957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0.824 (0.770-0.878)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4E661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72.3%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AEDFA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85.1%</w:t>
            </w:r>
          </w:p>
        </w:tc>
      </w:tr>
      <w:tr w14:paraId="047808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201A6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cg04016621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A15979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GRK7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F26D6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0.744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5C827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0.876 (0.834-0.919)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057B2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80.7%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5246E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88.4%</w:t>
            </w:r>
          </w:p>
        </w:tc>
      </w:tr>
      <w:tr w14:paraId="361D15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E73F7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7BAA14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388AE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0.273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36486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0.809 (0.753-0.865)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84EBB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77.1%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52AF5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78.1%</w:t>
            </w:r>
          </w:p>
        </w:tc>
      </w:tr>
      <w:tr w14:paraId="314DF2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BCED3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cg14534279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E4FC85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B8543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0.695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4341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0.866 (0.826-0.906)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CE922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90.4%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CA709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78.6%</w:t>
            </w:r>
          </w:p>
        </w:tc>
      </w:tr>
      <w:tr w14:paraId="58C906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6580F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cg17588293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10804E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ZBTB7B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17199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0.428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3E576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0.875 (0.836-0.914)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AAF8A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92.8%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13203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76.7%</w:t>
            </w:r>
          </w:p>
        </w:tc>
      </w:tr>
      <w:tr w14:paraId="34C92C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09436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cg19758859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6B3676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SASH1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150C4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0.751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840D1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0.829 (0.780-0.878)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F68EA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78.3%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CBAD6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80.5%</w:t>
            </w:r>
          </w:p>
        </w:tc>
      </w:tr>
      <w:tr w14:paraId="712DF5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ADC4C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cg23247845</w:t>
            </w:r>
          </w:p>
        </w:tc>
        <w:tc>
          <w:tcPr>
            <w:tcW w:w="63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63C0C5">
            <w:pPr>
              <w:widowControl/>
              <w:jc w:val="left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NA</w:t>
            </w:r>
          </w:p>
        </w:tc>
        <w:tc>
          <w:tcPr>
            <w:tcW w:w="56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E7064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0.757</w:t>
            </w:r>
          </w:p>
        </w:tc>
        <w:tc>
          <w:tcPr>
            <w:tcW w:w="12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E9B5C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0.874 (0.829-0.919)</w:t>
            </w:r>
          </w:p>
        </w:tc>
        <w:tc>
          <w:tcPr>
            <w:tcW w:w="7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EF6C2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86.7%</w:t>
            </w:r>
          </w:p>
        </w:tc>
        <w:tc>
          <w:tcPr>
            <w:tcW w:w="78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1524B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85.5%</w:t>
            </w:r>
          </w:p>
        </w:tc>
      </w:tr>
    </w:tbl>
    <w:p w14:paraId="0B42DAA2">
      <w:pPr>
        <w:rPr>
          <w:szCs w:val="20"/>
        </w:rPr>
      </w:pPr>
      <w:r>
        <w:rPr>
          <w:rFonts w:hint="eastAsia" w:cs="Times New Roman"/>
          <w:szCs w:val="20"/>
        </w:rPr>
        <w:t xml:space="preserve">Note: </w:t>
      </w:r>
      <w:r>
        <w:rPr>
          <w:szCs w:val="20"/>
        </w:rPr>
        <w:t>AUC, Area under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the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receiver operating characteristic curve</w:t>
      </w:r>
      <w:r>
        <w:rPr>
          <w:rFonts w:hint="eastAsia"/>
          <w:szCs w:val="20"/>
        </w:rPr>
        <w:t>; Sensitivity and specificity were determined based on cut_off values.</w:t>
      </w:r>
    </w:p>
    <w:p w14:paraId="1ECA25BC">
      <w:pPr>
        <w:rPr>
          <w:szCs w:val="20"/>
        </w:rPr>
      </w:pPr>
    </w:p>
    <w:p w14:paraId="4C166F91">
      <w:pPr>
        <w:pStyle w:val="3"/>
        <w:rPr>
          <w:rFonts w:eastAsia="宋体"/>
        </w:rPr>
      </w:pPr>
      <w:bookmarkStart w:id="109" w:name="_Toc199700805"/>
      <w:bookmarkStart w:id="110" w:name="_Toc199700832"/>
      <w:bookmarkStart w:id="111" w:name="_Toc199701098"/>
      <w:bookmarkStart w:id="112" w:name="_Toc199701204"/>
      <w:bookmarkStart w:id="113" w:name="_Toc199702335"/>
      <w:bookmarkStart w:id="114" w:name="_Toc199703930"/>
      <w:bookmarkStart w:id="115" w:name="_Toc199701033"/>
      <w:r>
        <w:rPr>
          <w:rFonts w:eastAsia="宋体"/>
          <w:lang w:bidi="ar"/>
        </w:rPr>
        <w:t xml:space="preserve">Table S6 </w:t>
      </w:r>
      <w:r>
        <w:t xml:space="preserve">Sensitivity and specificity of the </w:t>
      </w:r>
      <w:r>
        <w:rPr>
          <w:rFonts w:eastAsia="宋体"/>
        </w:rPr>
        <w:t>methylation diagnostic score in the TCGA and GSE69914 datasets.</w:t>
      </w:r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Style w:val="10"/>
        <w:tblW w:w="8929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783"/>
        <w:gridCol w:w="883"/>
        <w:gridCol w:w="1105"/>
        <w:gridCol w:w="1105"/>
        <w:gridCol w:w="783"/>
        <w:gridCol w:w="883"/>
        <w:gridCol w:w="1105"/>
        <w:gridCol w:w="1105"/>
      </w:tblGrid>
      <w:tr w14:paraId="6905AF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48" w:type="dxa"/>
            <w:tcBorders>
              <w:bottom w:val="nil"/>
            </w:tcBorders>
            <w:shd w:val="clear" w:color="auto" w:fill="auto"/>
            <w:vAlign w:val="center"/>
          </w:tcPr>
          <w:p w14:paraId="13C2F874">
            <w:pPr>
              <w:jc w:val="left"/>
              <w:rPr>
                <w:rFonts w:eastAsia="宋体" w:cs="Times New Roman"/>
                <w:color w:val="333333"/>
                <w:szCs w:val="20"/>
              </w:rPr>
            </w:pPr>
          </w:p>
        </w:tc>
        <w:tc>
          <w:tcPr>
            <w:tcW w:w="3840" w:type="dxa"/>
            <w:gridSpan w:val="4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9C22766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TCGA</w:t>
            </w:r>
          </w:p>
        </w:tc>
        <w:tc>
          <w:tcPr>
            <w:tcW w:w="3840" w:type="dxa"/>
            <w:gridSpan w:val="4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86E42CD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GSE69914</w:t>
            </w:r>
          </w:p>
        </w:tc>
      </w:tr>
      <w:tr w14:paraId="1977C1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48" w:type="dxa"/>
            <w:tcBorders>
              <w:top w:val="nil"/>
              <w:bottom w:val="single" w:color="auto" w:sz="8" w:space="0"/>
            </w:tcBorders>
            <w:shd w:val="clear" w:color="auto" w:fill="auto"/>
            <w:vAlign w:val="center"/>
          </w:tcPr>
          <w:p w14:paraId="1A178EDC">
            <w:pPr>
              <w:jc w:val="left"/>
              <w:rPr>
                <w:rFonts w:eastAsia="宋体" w:cs="Times New Roman"/>
                <w:color w:val="333333"/>
                <w:szCs w:val="20"/>
              </w:rPr>
            </w:pP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4D04B11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Tested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5DC870C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8358FDB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9DC9CC0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Specific</w:t>
            </w:r>
            <w:r>
              <w:rPr>
                <w:rFonts w:hint="eastAsia"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i</w:t>
            </w: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ty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F764393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Tested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70B1F5D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Positive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0BF1F22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Sensitivity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F1A27DB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Specific</w:t>
            </w:r>
            <w:r>
              <w:rPr>
                <w:rFonts w:hint="eastAsia"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i</w:t>
            </w: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ty</w:t>
            </w:r>
          </w:p>
        </w:tc>
      </w:tr>
      <w:tr w14:paraId="1387E3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248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vAlign w:val="center"/>
          </w:tcPr>
          <w:p w14:paraId="2246DCD0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391C97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AEAB30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8E2AA0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93.3%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AA16E8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E1A6D3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6DBA81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3CCA2D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C910C0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4A0328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E58E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II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FB62D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0B74F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92538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94.0%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9A9C2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64B28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208C6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B806B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E6818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5EAD00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4017F5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III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E3FEA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AD0ED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1EC3C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86.7%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490D7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978C1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E5343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117CE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F23A2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2B64B2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40412">
            <w:pPr>
              <w:widowControl/>
              <w:jc w:val="left"/>
              <w:textAlignment w:val="center"/>
              <w:rPr>
                <w:rFonts w:eastAsia="宋体" w:cs="Times New Roman"/>
                <w:color w:val="333333"/>
                <w:szCs w:val="20"/>
              </w:rPr>
            </w:pPr>
            <w:r>
              <w:rPr>
                <w:rFonts w:eastAsia="宋体" w:cs="Times New Roman"/>
                <w:color w:val="333333"/>
                <w:kern w:val="0"/>
                <w:szCs w:val="20"/>
                <w:lang w:bidi="ar"/>
              </w:rPr>
              <w:t>Stage IV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CEBE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039E3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D989E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50.0%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8B7E2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72F93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D0114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34414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BA769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57C311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0DDC2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Unknow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C4A84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978C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B25D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100.0%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88524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C909B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878E5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6CBB6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5D6A4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2A73F2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765D4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all-TNBC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E4A77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FA194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76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A8EC2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91.6%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7927F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F936A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C70B1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0088E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86.7%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90FE2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</w:tr>
      <w:tr w14:paraId="4C52E7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3065C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non-TNBC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BE5CB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691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F799E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D7AF9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7940E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84.0%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BBA51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275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B99F5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230F6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135FE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90.2%</w:t>
            </w:r>
          </w:p>
        </w:tc>
      </w:tr>
    </w:tbl>
    <w:p w14:paraId="237F57C6">
      <w:pPr>
        <w:rPr>
          <w:szCs w:val="20"/>
        </w:rPr>
      </w:pPr>
      <w:r>
        <w:rPr>
          <w:rFonts w:hint="eastAsia" w:eastAsia="宋体" w:cs="Times New Roman"/>
          <w:bCs/>
          <w:szCs w:val="20"/>
          <w:lang w:bidi="ar"/>
        </w:rPr>
        <w:t xml:space="preserve">Note: </w:t>
      </w:r>
      <w:r>
        <w:rPr>
          <w:rFonts w:hint="eastAsia"/>
          <w:szCs w:val="20"/>
        </w:rPr>
        <w:t>Sensitivity and specificity were determined based on -2.51 in two datasets.</w:t>
      </w:r>
    </w:p>
    <w:p w14:paraId="67571D9F">
      <w:pPr>
        <w:rPr>
          <w:rFonts w:eastAsia="宋体" w:cs="Times New Roman"/>
          <w:bCs/>
          <w:szCs w:val="20"/>
          <w:lang w:bidi="ar"/>
        </w:rPr>
      </w:pPr>
    </w:p>
    <w:p w14:paraId="14183CAC">
      <w:pPr>
        <w:pStyle w:val="3"/>
        <w:rPr>
          <w:lang w:bidi="ar"/>
        </w:rPr>
      </w:pPr>
      <w:bookmarkStart w:id="116" w:name="_Toc199701034"/>
      <w:bookmarkStart w:id="117" w:name="_Toc199703931"/>
      <w:bookmarkStart w:id="118" w:name="_Toc199701099"/>
      <w:bookmarkStart w:id="119" w:name="_Toc199701205"/>
      <w:bookmarkStart w:id="120" w:name="_Toc199700806"/>
      <w:bookmarkStart w:id="121" w:name="_Toc199702336"/>
      <w:bookmarkStart w:id="122" w:name="_Toc199700833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7</w:t>
      </w:r>
      <w:r>
        <w:rPr>
          <w:rFonts w:eastAsia="宋体"/>
          <w:lang w:bidi="ar"/>
        </w:rPr>
        <w:t xml:space="preserve"> </w:t>
      </w:r>
      <w:r>
        <w:t>Univariate Cox analyses for overall survival of CpG sites in the TCGA-TNBC cohort.</w:t>
      </w:r>
      <w:bookmarkEnd w:id="116"/>
      <w:bookmarkEnd w:id="117"/>
      <w:bookmarkEnd w:id="118"/>
      <w:bookmarkEnd w:id="119"/>
      <w:bookmarkEnd w:id="120"/>
      <w:bookmarkEnd w:id="121"/>
      <w:bookmarkEnd w:id="122"/>
    </w:p>
    <w:tbl>
      <w:tblPr>
        <w:tblStyle w:val="10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3343"/>
        <w:gridCol w:w="808"/>
        <w:gridCol w:w="1733"/>
        <w:gridCol w:w="1166"/>
      </w:tblGrid>
      <w:tr w14:paraId="7557583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0DC5925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CpG sites</w:t>
            </w:r>
          </w:p>
        </w:tc>
        <w:tc>
          <w:tcPr>
            <w:tcW w:w="1962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0549EEF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Risk c</w:t>
            </w:r>
            <w:r>
              <w:rPr>
                <w:rStyle w:val="17"/>
                <w:rFonts w:eastAsia="宋体"/>
                <w:lang w:bidi="ar"/>
              </w:rPr>
              <w:t>ategories</w:t>
            </w:r>
          </w:p>
        </w:tc>
        <w:tc>
          <w:tcPr>
            <w:tcW w:w="474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961FD08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HR</w:t>
            </w:r>
          </w:p>
        </w:tc>
        <w:tc>
          <w:tcPr>
            <w:tcW w:w="101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F3508D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95% CI</w:t>
            </w:r>
          </w:p>
        </w:tc>
        <w:tc>
          <w:tcPr>
            <w:tcW w:w="684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0A0011B">
            <w:pPr>
              <w:widowControl/>
              <w:jc w:val="center"/>
              <w:textAlignment w:val="center"/>
              <w:rPr>
                <w:rFonts w:eastAsia="宋体" w:cs="Times New Roman"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</w:tr>
      <w:tr w14:paraId="745745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2E086B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cg19758859</w:t>
            </w:r>
          </w:p>
        </w:tc>
        <w:tc>
          <w:tcPr>
            <w:tcW w:w="1962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A9D8FD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0.53)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0.53)</w:t>
            </w:r>
          </w:p>
        </w:tc>
        <w:tc>
          <w:tcPr>
            <w:tcW w:w="474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9A532F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0.672</w:t>
            </w:r>
          </w:p>
        </w:tc>
        <w:tc>
          <w:tcPr>
            <w:tcW w:w="1017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1A1A04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0.233-1.940</w:t>
            </w:r>
          </w:p>
        </w:tc>
        <w:tc>
          <w:tcPr>
            <w:tcW w:w="684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08E7626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0.461</w:t>
            </w:r>
          </w:p>
        </w:tc>
      </w:tr>
      <w:tr w14:paraId="7F5181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18EEB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cg01095157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89D07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0.48)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0.48)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0E7E9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0.827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1AD39A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0.296-2.310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347AA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0.717</w:t>
            </w:r>
          </w:p>
        </w:tc>
      </w:tr>
      <w:tr w14:paraId="79DE64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EE67D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cg14534279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12D4C2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0.43)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0.43)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90A1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1.610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84F8A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0.553-4.710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4533B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0.381</w:t>
            </w:r>
          </w:p>
        </w:tc>
      </w:tr>
      <w:tr w14:paraId="6B6FF4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CECEF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cg17588293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E6B99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0.43)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0.43)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69AF5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0.833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796BC2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0.185-3.740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27DDA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0.812</w:t>
            </w:r>
          </w:p>
        </w:tc>
      </w:tr>
      <w:tr w14:paraId="28B6E6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0053A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973E0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0.50)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0.50)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32BFF8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0.329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FB86D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0.099-1.090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71397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0.069</w:t>
            </w:r>
          </w:p>
        </w:tc>
      </w:tr>
      <w:tr w14:paraId="24BD3B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C1D68A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cg04016621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50343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0.67)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0.67)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EFF1C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1.120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B4A4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0.351-3.600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FDE16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0.843</w:t>
            </w:r>
          </w:p>
        </w:tc>
      </w:tr>
      <w:tr w14:paraId="74905C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A1A7B4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cg23247845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AB48F4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0.58)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0.58)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1AAB0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1.120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21200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0.351-3.600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D5EA7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0.843</w:t>
            </w:r>
          </w:p>
        </w:tc>
      </w:tr>
      <w:tr w14:paraId="2A94C4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35A35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cg02096552</w:t>
            </w:r>
          </w:p>
        </w:tc>
        <w:tc>
          <w:tcPr>
            <w:tcW w:w="196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C8758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0.36) vs.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 xml:space="preserve"> </w:t>
            </w:r>
            <w:r>
              <w:rPr>
                <w:rStyle w:val="19"/>
                <w:rFonts w:eastAsia="宋体"/>
                <w:lang w:bidi="ar"/>
              </w:rPr>
              <w:t>Low (&lt; 0.36)</w:t>
            </w:r>
          </w:p>
        </w:tc>
        <w:tc>
          <w:tcPr>
            <w:tcW w:w="47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52BBD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5.070</w:t>
            </w:r>
          </w:p>
        </w:tc>
        <w:tc>
          <w:tcPr>
            <w:tcW w:w="10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C756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0.658-390</w:t>
            </w:r>
          </w:p>
        </w:tc>
        <w:tc>
          <w:tcPr>
            <w:tcW w:w="6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31C664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0.119</w:t>
            </w:r>
          </w:p>
        </w:tc>
      </w:tr>
    </w:tbl>
    <w:p w14:paraId="2841F6C7">
      <w:pPr>
        <w:jc w:val="left"/>
        <w:rPr>
          <w:rFonts w:eastAsia="宋体" w:cs="Times New Roman"/>
          <w:color w:val="000000"/>
          <w:kern w:val="0"/>
          <w:szCs w:val="20"/>
          <w:lang w:bidi="ar"/>
        </w:rPr>
      </w:pPr>
      <w:r>
        <w:rPr>
          <w:rFonts w:eastAsia="宋体" w:cs="Times New Roman"/>
          <w:bCs/>
          <w:szCs w:val="20"/>
          <w:lang w:bidi="ar"/>
        </w:rPr>
        <w:t xml:space="preserve">Note: </w:t>
      </w:r>
      <w:r>
        <w:rPr>
          <w:rFonts w:eastAsia="宋体" w:cs="Times New Roman"/>
          <w:i/>
          <w:iCs/>
          <w:color w:val="000000"/>
          <w:kern w:val="0"/>
          <w:szCs w:val="20"/>
          <w:lang w:bidi="ar"/>
        </w:rPr>
        <w:t xml:space="preserve">P &lt; </w:t>
      </w:r>
      <w:r>
        <w:rPr>
          <w:rFonts w:eastAsia="宋体" w:cs="Times New Roman"/>
          <w:color w:val="000000"/>
          <w:kern w:val="0"/>
          <w:szCs w:val="20"/>
          <w:lang w:bidi="ar"/>
        </w:rPr>
        <w:t>0.10</w:t>
      </w:r>
      <w:r>
        <w:rPr>
          <w:rFonts w:eastAsia="宋体" w:cs="Times New Roman"/>
          <w:i/>
          <w:iCs/>
          <w:color w:val="000000"/>
          <w:kern w:val="0"/>
          <w:szCs w:val="20"/>
          <w:lang w:bidi="ar"/>
        </w:rPr>
        <w:t xml:space="preserve"> </w:t>
      </w:r>
      <w:r>
        <w:rPr>
          <w:rFonts w:eastAsia="宋体" w:cs="Times New Roman"/>
          <w:color w:val="000000"/>
          <w:kern w:val="0"/>
          <w:szCs w:val="20"/>
          <w:lang w:bidi="ar"/>
        </w:rPr>
        <w:t>repr</w:t>
      </w:r>
      <w:r>
        <w:rPr>
          <w:rFonts w:hint="eastAsia" w:eastAsia="宋体" w:cs="Times New Roman"/>
          <w:color w:val="000000"/>
          <w:kern w:val="0"/>
          <w:szCs w:val="20"/>
          <w:lang w:bidi="ar"/>
        </w:rPr>
        <w:t>e</w:t>
      </w:r>
      <w:r>
        <w:rPr>
          <w:rFonts w:eastAsia="宋体" w:cs="Times New Roman"/>
          <w:color w:val="000000"/>
          <w:kern w:val="0"/>
          <w:szCs w:val="20"/>
          <w:lang w:bidi="ar"/>
        </w:rPr>
        <w:t>sents that CpG site is associated with overall survival.</w:t>
      </w:r>
    </w:p>
    <w:p w14:paraId="05A4F934">
      <w:pPr>
        <w:jc w:val="left"/>
        <w:rPr>
          <w:rFonts w:eastAsia="宋体" w:cs="Times New Roman"/>
          <w:color w:val="000000"/>
          <w:kern w:val="0"/>
          <w:szCs w:val="20"/>
          <w:lang w:bidi="ar"/>
        </w:rPr>
      </w:pPr>
    </w:p>
    <w:p w14:paraId="24F8E941">
      <w:pPr>
        <w:pStyle w:val="3"/>
        <w:rPr>
          <w:rFonts w:eastAsia="宋体"/>
          <w:lang w:bidi="ar"/>
        </w:rPr>
      </w:pPr>
      <w:bookmarkStart w:id="123" w:name="_Toc199700834"/>
      <w:bookmarkStart w:id="124" w:name="_Toc199700807"/>
      <w:bookmarkStart w:id="125" w:name="_Toc199701035"/>
      <w:bookmarkStart w:id="126" w:name="_Toc199701100"/>
      <w:bookmarkStart w:id="127" w:name="_Toc199701206"/>
      <w:bookmarkStart w:id="128" w:name="_Toc199703932"/>
      <w:bookmarkStart w:id="129" w:name="_Toc199702337"/>
      <w:r>
        <w:rPr>
          <w:rFonts w:eastAsia="宋体"/>
          <w:lang w:bidi="ar"/>
        </w:rPr>
        <w:t xml:space="preserve">Table S8 </w:t>
      </w:r>
      <w:r>
        <w:t xml:space="preserve">Univariate and multivariate Cox analyses for overall survival of </w:t>
      </w:r>
      <w:r>
        <w:rPr>
          <w:rFonts w:eastAsia="宋体"/>
          <w:color w:val="000000"/>
          <w:kern w:val="0"/>
          <w:lang w:bidi="ar"/>
        </w:rPr>
        <w:t>cg06268921</w:t>
      </w:r>
      <w:r>
        <w:t xml:space="preserve"> in the TCGA </w:t>
      </w:r>
      <w:r>
        <w:rPr>
          <w:rFonts w:eastAsia="宋体"/>
        </w:rPr>
        <w:t>and GSE</w:t>
      </w:r>
      <w:r>
        <w:rPr>
          <w:rFonts w:hint="eastAsia" w:eastAsia="宋体"/>
        </w:rPr>
        <w:t>72251</w:t>
      </w:r>
      <w:r>
        <w:rPr>
          <w:rFonts w:eastAsia="宋体"/>
        </w:rPr>
        <w:t xml:space="preserve"> TNBC </w:t>
      </w:r>
      <w:r>
        <w:t>cohort</w:t>
      </w:r>
      <w:r>
        <w:rPr>
          <w:rFonts w:eastAsia="宋体"/>
        </w:rPr>
        <w:t>s</w:t>
      </w:r>
      <w:r>
        <w:t>.</w:t>
      </w:r>
      <w:bookmarkEnd w:id="123"/>
      <w:bookmarkEnd w:id="124"/>
      <w:bookmarkEnd w:id="125"/>
      <w:bookmarkEnd w:id="126"/>
      <w:bookmarkEnd w:id="127"/>
      <w:bookmarkEnd w:id="128"/>
      <w:bookmarkEnd w:id="129"/>
    </w:p>
    <w:tbl>
      <w:tblPr>
        <w:tblStyle w:val="10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2015"/>
        <w:gridCol w:w="1065"/>
        <w:gridCol w:w="2126"/>
        <w:gridCol w:w="1065"/>
      </w:tblGrid>
      <w:tr w14:paraId="72A2E1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317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C192047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183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6AF83070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Univariate analysis HR (95%CI)</w:t>
            </w:r>
          </w:p>
        </w:tc>
        <w:tc>
          <w:tcPr>
            <w:tcW w:w="625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E672136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  <w:tc>
          <w:tcPr>
            <w:tcW w:w="1248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6571FD71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Multivariate analysis HR (95%CI)</w:t>
            </w:r>
          </w:p>
        </w:tc>
        <w:tc>
          <w:tcPr>
            <w:tcW w:w="625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114B64F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</w:tr>
      <w:tr w14:paraId="67B7B5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DBFF470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TCGA-TNBC cohort</w:t>
            </w:r>
          </w:p>
        </w:tc>
        <w:tc>
          <w:tcPr>
            <w:tcW w:w="1183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8115103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B5DE8AF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CB46082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EE73A62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054A3C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C6E23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Age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E09F1D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44D42E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8CCED8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E7D7B0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64404D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05919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&lt; 60/≥ 60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AFD75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0.994 (0.957-1.032)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E47A3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0.752</w:t>
            </w: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30B15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0.998 (0.959-1.040)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106D5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0.936</w:t>
            </w:r>
          </w:p>
        </w:tc>
      </w:tr>
      <w:tr w14:paraId="1965C2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FB0992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Stage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AAD28B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5C1AA7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751AE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857853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582DE2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D5F5E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I+II/III+IV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47B7C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2.76 (1.399-5.445)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61EF6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0.003</w:t>
            </w: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29755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3.438 (1.553-7.611)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8681CA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0.002</w:t>
            </w:r>
          </w:p>
        </w:tc>
      </w:tr>
      <w:tr w14:paraId="441C94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4F551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818C75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F64AA2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99F26F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F64E09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1CF603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7C950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≥ 0.50 vs.&lt; 0.50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6F2922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0.329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 xml:space="preserve"> 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(0.099-1.09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0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89B82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0.069</w:t>
            </w: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6B3A0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0.249 (0.064-0.966)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9D709C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0.044</w:t>
            </w:r>
          </w:p>
        </w:tc>
      </w:tr>
      <w:tr w14:paraId="5C12D5D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F849E3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GSE75067 cohort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373FDC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99D62E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BA74D5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20EC36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65DB21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A28D9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Age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1FD18C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B6B7F4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BC1283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F03A1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45F6C5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A18D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&lt; 60/≥ 60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88C1E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1.275 (0.256-6.353)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82CEA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0.767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E7E2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1.150 (0.224-5.907)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7ACC28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0.867</w:t>
            </w:r>
          </w:p>
        </w:tc>
      </w:tr>
      <w:tr w14:paraId="6BC8343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F6C3A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BCF758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69D9B6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D206C9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B4DE6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51DD2D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87FCA4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&lt; 0.50/≥ 0.50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F417B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2.071 (0.378-11.35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0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3D9B5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0.402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7E5C9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2.015 (0.358-11.358)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B2AE8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0.427</w:t>
            </w:r>
          </w:p>
        </w:tc>
      </w:tr>
    </w:tbl>
    <w:p w14:paraId="2D20DEA3">
      <w:pPr>
        <w:jc w:val="left"/>
        <w:rPr>
          <w:rFonts w:eastAsia="宋体" w:cs="Times New Roman"/>
          <w:bCs/>
          <w:color w:val="000000"/>
          <w:kern w:val="0"/>
          <w:szCs w:val="20"/>
          <w:lang w:bidi="ar"/>
        </w:rPr>
      </w:pPr>
      <w:r>
        <w:rPr>
          <w:rFonts w:eastAsia="宋体" w:cs="Times New Roman"/>
          <w:bCs/>
          <w:szCs w:val="20"/>
          <w:lang w:bidi="ar"/>
        </w:rPr>
        <w:t xml:space="preserve">Note: </w:t>
      </w:r>
      <w:r>
        <w:rPr>
          <w:rFonts w:eastAsia="宋体" w:cs="Times New Roman"/>
          <w:bCs/>
          <w:szCs w:val="20"/>
        </w:rPr>
        <w:t>The</w:t>
      </w:r>
      <w:r>
        <w:rPr>
          <w:rFonts w:cs="Times New Roman"/>
          <w:bCs/>
          <w:szCs w:val="20"/>
        </w:rPr>
        <w:t xml:space="preserve"> analysis was adjusted for age and stage, </w:t>
      </w:r>
      <w:r>
        <w:rPr>
          <w:rFonts w:eastAsia="宋体" w:cs="Times New Roman"/>
          <w:bCs/>
          <w:color w:val="000000"/>
          <w:kern w:val="0"/>
          <w:szCs w:val="20"/>
          <w:lang w:bidi="ar"/>
        </w:rPr>
        <w:t>GSE7</w:t>
      </w:r>
      <w:r>
        <w:rPr>
          <w:rFonts w:hint="eastAsia" w:eastAsia="宋体" w:cs="Times New Roman"/>
          <w:bCs/>
          <w:color w:val="000000"/>
          <w:kern w:val="0"/>
          <w:szCs w:val="20"/>
          <w:lang w:bidi="ar"/>
        </w:rPr>
        <w:t>2251</w:t>
      </w:r>
      <w:r>
        <w:rPr>
          <w:rFonts w:eastAsia="宋体" w:cs="Times New Roman"/>
          <w:bCs/>
          <w:color w:val="000000"/>
          <w:kern w:val="0"/>
          <w:szCs w:val="20"/>
          <w:lang w:bidi="ar"/>
        </w:rPr>
        <w:t xml:space="preserve"> cohort lacked the stage information.</w:t>
      </w:r>
    </w:p>
    <w:p w14:paraId="6109D500">
      <w:pPr>
        <w:jc w:val="left"/>
        <w:rPr>
          <w:rFonts w:eastAsia="宋体" w:cs="Times New Roman"/>
          <w:bCs/>
          <w:color w:val="000000"/>
          <w:kern w:val="0"/>
          <w:szCs w:val="20"/>
          <w:lang w:bidi="ar"/>
        </w:rPr>
      </w:pPr>
    </w:p>
    <w:p w14:paraId="513D4D45">
      <w:pPr>
        <w:pStyle w:val="3"/>
        <w:rPr>
          <w:lang w:bidi="ar"/>
        </w:rPr>
      </w:pPr>
      <w:bookmarkStart w:id="130" w:name="_Toc199701101"/>
      <w:bookmarkStart w:id="131" w:name="_Toc199703933"/>
      <w:bookmarkStart w:id="132" w:name="_Toc199700835"/>
      <w:bookmarkStart w:id="133" w:name="_Toc199701207"/>
      <w:bookmarkStart w:id="134" w:name="_Toc199700808"/>
      <w:bookmarkStart w:id="135" w:name="_Toc199701036"/>
      <w:bookmarkStart w:id="136" w:name="_Toc199702338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9</w:t>
      </w:r>
      <w:r>
        <w:rPr>
          <w:rFonts w:eastAsia="宋体"/>
          <w:lang w:bidi="ar"/>
        </w:rPr>
        <w:t xml:space="preserve"> </w:t>
      </w:r>
      <w:r>
        <w:t xml:space="preserve">Univariate Cox analyses for </w:t>
      </w:r>
      <w:r>
        <w:rPr>
          <w:rFonts w:hint="eastAsia"/>
        </w:rPr>
        <w:t>d</w:t>
      </w:r>
      <w:r>
        <w:t>isease-free survival of CpG sites in the TCGA-TNBC cohort.</w:t>
      </w:r>
      <w:bookmarkEnd w:id="130"/>
      <w:bookmarkEnd w:id="131"/>
      <w:bookmarkEnd w:id="132"/>
      <w:bookmarkEnd w:id="133"/>
      <w:bookmarkEnd w:id="134"/>
      <w:bookmarkEnd w:id="135"/>
      <w:bookmarkEnd w:id="136"/>
    </w:p>
    <w:tbl>
      <w:tblPr>
        <w:tblStyle w:val="10"/>
        <w:tblW w:w="4997" w:type="pct"/>
        <w:tblInd w:w="0" w:type="dxa"/>
        <w:tblBorders>
          <w:top w:val="single" w:color="000000" w:themeColor="text1" w:sz="12" w:space="0"/>
          <w:left w:val="none" w:color="auto" w:sz="0" w:space="0"/>
          <w:bottom w:val="single" w:color="000000" w:themeColor="text1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3527"/>
        <w:gridCol w:w="869"/>
        <w:gridCol w:w="1674"/>
        <w:gridCol w:w="869"/>
      </w:tblGrid>
      <w:tr w14:paraId="064028B5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bottom w:val="single" w:color="000000" w:themeColor="text1" w:sz="8" w:space="0"/>
            </w:tcBorders>
            <w:shd w:val="clear" w:color="auto" w:fill="auto"/>
            <w:noWrap/>
            <w:vAlign w:val="center"/>
          </w:tcPr>
          <w:p w14:paraId="37CA3BF7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CpG sites</w:t>
            </w:r>
          </w:p>
        </w:tc>
        <w:tc>
          <w:tcPr>
            <w:tcW w:w="2071" w:type="pct"/>
            <w:tcBorders>
              <w:bottom w:val="single" w:color="000000" w:themeColor="text1" w:sz="8" w:space="0"/>
            </w:tcBorders>
            <w:shd w:val="clear" w:color="auto" w:fill="auto"/>
            <w:noWrap/>
            <w:vAlign w:val="center"/>
          </w:tcPr>
          <w:p w14:paraId="646B3BC9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Risk categories</w:t>
            </w:r>
          </w:p>
        </w:tc>
        <w:tc>
          <w:tcPr>
            <w:tcW w:w="510" w:type="pct"/>
            <w:tcBorders>
              <w:bottom w:val="single" w:color="000000" w:themeColor="text1" w:sz="8" w:space="0"/>
            </w:tcBorders>
            <w:shd w:val="clear" w:color="auto" w:fill="auto"/>
            <w:noWrap/>
            <w:vAlign w:val="center"/>
          </w:tcPr>
          <w:p w14:paraId="00E16BAF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HR</w:t>
            </w:r>
          </w:p>
        </w:tc>
        <w:tc>
          <w:tcPr>
            <w:tcW w:w="983" w:type="pct"/>
            <w:tcBorders>
              <w:bottom w:val="single" w:color="000000" w:themeColor="text1" w:sz="8" w:space="0"/>
            </w:tcBorders>
            <w:shd w:val="clear" w:color="auto" w:fill="auto"/>
            <w:noWrap/>
            <w:vAlign w:val="center"/>
          </w:tcPr>
          <w:p w14:paraId="62ECCDFF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95% CI</w:t>
            </w:r>
          </w:p>
        </w:tc>
        <w:tc>
          <w:tcPr>
            <w:tcW w:w="510" w:type="pct"/>
            <w:tcBorders>
              <w:bottom w:val="single" w:color="000000" w:themeColor="text1" w:sz="8" w:space="0"/>
            </w:tcBorders>
            <w:shd w:val="clear" w:color="auto" w:fill="auto"/>
            <w:noWrap/>
            <w:vAlign w:val="center"/>
          </w:tcPr>
          <w:p w14:paraId="31A79D09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</w:tr>
      <w:tr w14:paraId="6BC3A8DD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top w:val="single" w:color="000000" w:themeColor="text1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6665156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cg19758859</w:t>
            </w:r>
          </w:p>
        </w:tc>
        <w:tc>
          <w:tcPr>
            <w:tcW w:w="2071" w:type="pct"/>
            <w:tcBorders>
              <w:top w:val="single" w:color="000000" w:themeColor="text1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E4B492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0.53) vs. Low (&lt; 0.53)</w:t>
            </w:r>
          </w:p>
        </w:tc>
        <w:tc>
          <w:tcPr>
            <w:tcW w:w="510" w:type="pct"/>
            <w:tcBorders>
              <w:top w:val="single" w:color="000000" w:themeColor="text1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94323A2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0.667 </w:t>
            </w:r>
          </w:p>
        </w:tc>
        <w:tc>
          <w:tcPr>
            <w:tcW w:w="983" w:type="pct"/>
            <w:tcBorders>
              <w:top w:val="single" w:color="000000" w:themeColor="text1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FBAC11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0.248-1.790</w:t>
            </w:r>
          </w:p>
        </w:tc>
        <w:tc>
          <w:tcPr>
            <w:tcW w:w="510" w:type="pct"/>
            <w:tcBorders>
              <w:top w:val="single" w:color="000000" w:themeColor="text1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A8D5A08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0.422 </w:t>
            </w:r>
          </w:p>
        </w:tc>
      </w:tr>
      <w:tr w14:paraId="33BD5A89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21CD2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cg01095157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888BEA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0.48) vs. Low (&lt; 0.48)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6C71DD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0.548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90DAA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0.201-1.490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6E1F8D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0.239 </w:t>
            </w:r>
          </w:p>
        </w:tc>
      </w:tr>
      <w:tr w14:paraId="33B271B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470C6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cg14534279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B425C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0.43) vs. Low (&lt; 0.43)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1968D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1.160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D8813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0.420-3.230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E0CA0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0.771 </w:t>
            </w:r>
          </w:p>
        </w:tc>
      </w:tr>
      <w:tr w14:paraId="33A0C51C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C13BF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cg17588293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56AD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0.43) vs. Low (&lt; 0.43)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7F745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0.621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A02CF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0.176-2.200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8D784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0.460 </w:t>
            </w:r>
          </w:p>
        </w:tc>
      </w:tr>
      <w:tr w14:paraId="076678F6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B69B1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67912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0.50) vs. Low (&lt; 0.50)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374A12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0.292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217F6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0.093-0.923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20D3B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0.036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</w:t>
            </w:r>
          </w:p>
        </w:tc>
      </w:tr>
      <w:tr w14:paraId="794CF476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3B1D7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cg04016621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E5CBC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0.67) vs. Low (&lt; 0.67)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8371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1.160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63476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0.401-3.340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77B2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0.788 </w:t>
            </w:r>
          </w:p>
        </w:tc>
      </w:tr>
      <w:tr w14:paraId="4DEB0026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4B5CE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cg23247845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373A6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0.58) vs. Low (&lt; 0.58)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C8FF6D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1.190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FBC94D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0.411-3.420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6342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0.752 </w:t>
            </w:r>
          </w:p>
        </w:tc>
      </w:tr>
      <w:tr w14:paraId="26A31987"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719F0D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cg02096552</w:t>
            </w:r>
          </w:p>
        </w:tc>
        <w:tc>
          <w:tcPr>
            <w:tcW w:w="20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EF891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High (≥ 0.36) vs. Low (&lt; 0.36)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6C241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2.360 </w:t>
            </w:r>
          </w:p>
        </w:tc>
        <w:tc>
          <w:tcPr>
            <w:tcW w:w="9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B2025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0.537-10.400</w:t>
            </w:r>
          </w:p>
        </w:tc>
        <w:tc>
          <w:tcPr>
            <w:tcW w:w="51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1097F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0.255 </w:t>
            </w:r>
          </w:p>
        </w:tc>
      </w:tr>
    </w:tbl>
    <w:p w14:paraId="5A17235D">
      <w:pPr>
        <w:jc w:val="left"/>
        <w:rPr>
          <w:rFonts w:eastAsia="宋体" w:cs="Times New Roman"/>
          <w:color w:val="000000"/>
          <w:kern w:val="0"/>
          <w:szCs w:val="20"/>
          <w:lang w:bidi="ar"/>
        </w:rPr>
      </w:pPr>
      <w:r>
        <w:rPr>
          <w:rFonts w:eastAsia="宋体" w:cs="Times New Roman"/>
          <w:bCs/>
          <w:szCs w:val="20"/>
          <w:lang w:bidi="ar"/>
        </w:rPr>
        <w:t xml:space="preserve">Note: </w:t>
      </w:r>
      <w:r>
        <w:rPr>
          <w:rFonts w:eastAsia="宋体" w:cs="Times New Roman"/>
          <w:i/>
          <w:iCs/>
          <w:color w:val="000000"/>
          <w:kern w:val="0"/>
          <w:szCs w:val="20"/>
          <w:lang w:bidi="ar"/>
        </w:rPr>
        <w:t xml:space="preserve">P &lt; </w:t>
      </w:r>
      <w:r>
        <w:rPr>
          <w:rFonts w:eastAsia="宋体" w:cs="Times New Roman"/>
          <w:color w:val="000000"/>
          <w:kern w:val="0"/>
          <w:szCs w:val="20"/>
          <w:lang w:bidi="ar"/>
        </w:rPr>
        <w:t>0.10</w:t>
      </w:r>
      <w:r>
        <w:rPr>
          <w:rFonts w:eastAsia="宋体" w:cs="Times New Roman"/>
          <w:i/>
          <w:iCs/>
          <w:color w:val="000000"/>
          <w:kern w:val="0"/>
          <w:szCs w:val="20"/>
          <w:lang w:bidi="ar"/>
        </w:rPr>
        <w:t xml:space="preserve"> </w:t>
      </w:r>
      <w:r>
        <w:rPr>
          <w:rFonts w:eastAsia="宋体" w:cs="Times New Roman"/>
          <w:color w:val="000000"/>
          <w:kern w:val="0"/>
          <w:szCs w:val="20"/>
          <w:lang w:bidi="ar"/>
        </w:rPr>
        <w:t>repr</w:t>
      </w:r>
      <w:r>
        <w:rPr>
          <w:rFonts w:hint="eastAsia" w:eastAsia="宋体" w:cs="Times New Roman"/>
          <w:color w:val="000000"/>
          <w:kern w:val="0"/>
          <w:szCs w:val="20"/>
          <w:lang w:bidi="ar"/>
        </w:rPr>
        <w:t>e</w:t>
      </w:r>
      <w:r>
        <w:rPr>
          <w:rFonts w:eastAsia="宋体" w:cs="Times New Roman"/>
          <w:color w:val="000000"/>
          <w:kern w:val="0"/>
          <w:szCs w:val="20"/>
          <w:lang w:bidi="ar"/>
        </w:rPr>
        <w:t xml:space="preserve">sents that CpG site is associated with </w:t>
      </w:r>
      <w:r>
        <w:rPr>
          <w:rFonts w:hint="eastAsia" w:eastAsia="宋体" w:cs="Times New Roman"/>
          <w:color w:val="000000"/>
          <w:kern w:val="0"/>
          <w:szCs w:val="20"/>
          <w:lang w:bidi="ar"/>
        </w:rPr>
        <w:t>d</w:t>
      </w:r>
      <w:r>
        <w:rPr>
          <w:rFonts w:eastAsia="宋体" w:cs="Times New Roman"/>
          <w:color w:val="000000"/>
          <w:kern w:val="0"/>
          <w:szCs w:val="20"/>
          <w:lang w:bidi="ar"/>
        </w:rPr>
        <w:t>isease-free survival.</w:t>
      </w:r>
    </w:p>
    <w:p w14:paraId="44B48006">
      <w:pPr>
        <w:jc w:val="left"/>
        <w:rPr>
          <w:rFonts w:eastAsia="宋体" w:cs="Times New Roman"/>
          <w:bCs/>
          <w:color w:val="000000"/>
          <w:kern w:val="0"/>
          <w:szCs w:val="20"/>
          <w:lang w:bidi="ar"/>
        </w:rPr>
      </w:pPr>
    </w:p>
    <w:p w14:paraId="5BA04CD5">
      <w:pPr>
        <w:pStyle w:val="3"/>
        <w:rPr>
          <w:rFonts w:eastAsia="宋体"/>
          <w:color w:val="000000"/>
          <w:kern w:val="0"/>
          <w:lang w:bidi="ar"/>
        </w:rPr>
      </w:pPr>
      <w:bookmarkStart w:id="137" w:name="_Toc199700836"/>
      <w:bookmarkStart w:id="138" w:name="_Toc199701037"/>
      <w:bookmarkStart w:id="139" w:name="_Toc199700809"/>
      <w:bookmarkStart w:id="140" w:name="_Toc199701102"/>
      <w:bookmarkStart w:id="141" w:name="_Toc199701208"/>
      <w:bookmarkStart w:id="142" w:name="_Toc199702339"/>
      <w:bookmarkStart w:id="143" w:name="_Toc199703934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10</w:t>
      </w:r>
      <w:r>
        <w:rPr>
          <w:rFonts w:eastAsia="宋体"/>
          <w:lang w:bidi="ar"/>
        </w:rPr>
        <w:t xml:space="preserve"> </w:t>
      </w:r>
      <w:r>
        <w:t xml:space="preserve">Univariate and multivariate Cox analyses for disease-free survival of </w:t>
      </w:r>
      <w:r>
        <w:rPr>
          <w:rFonts w:eastAsia="宋体"/>
          <w:color w:val="000000"/>
          <w:kern w:val="0"/>
          <w:lang w:bidi="ar"/>
        </w:rPr>
        <w:t>cg06268921</w:t>
      </w:r>
      <w:r>
        <w:t xml:space="preserve"> in the</w:t>
      </w:r>
      <w:r>
        <w:rPr>
          <w:rFonts w:hint="eastAsia"/>
        </w:rPr>
        <w:t xml:space="preserve"> </w:t>
      </w:r>
      <w:r>
        <w:t>TCGA</w:t>
      </w:r>
      <w:r>
        <w:rPr>
          <w:rFonts w:hint="eastAsia"/>
        </w:rPr>
        <w:t xml:space="preserve"> </w:t>
      </w:r>
      <w:r>
        <w:rPr>
          <w:rFonts w:eastAsia="宋体"/>
          <w:szCs w:val="18"/>
        </w:rPr>
        <w:t>and GSE</w:t>
      </w:r>
      <w:r>
        <w:rPr>
          <w:rFonts w:hint="eastAsia" w:eastAsia="宋体"/>
          <w:szCs w:val="18"/>
        </w:rPr>
        <w:t xml:space="preserve">72251 </w:t>
      </w:r>
      <w:r>
        <w:rPr>
          <w:rFonts w:eastAsia="宋体"/>
        </w:rPr>
        <w:t xml:space="preserve">TNBC </w:t>
      </w:r>
      <w:r>
        <w:t>cohort</w:t>
      </w:r>
      <w:r>
        <w:rPr>
          <w:rFonts w:eastAsia="宋体"/>
        </w:rPr>
        <w:t>s</w:t>
      </w:r>
      <w:r>
        <w:t>.</w:t>
      </w:r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Style w:val="10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2015"/>
        <w:gridCol w:w="1065"/>
        <w:gridCol w:w="2126"/>
        <w:gridCol w:w="1065"/>
      </w:tblGrid>
      <w:tr w14:paraId="47F2B3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316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FB05B60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183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1BAE3D1B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Univariate analysis HR (95%CI)</w:t>
            </w:r>
          </w:p>
        </w:tc>
        <w:tc>
          <w:tcPr>
            <w:tcW w:w="625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66AF660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  <w:tc>
          <w:tcPr>
            <w:tcW w:w="1248" w:type="pct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507A71E1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Multivariate analysis HR (95%CI)</w:t>
            </w:r>
          </w:p>
        </w:tc>
        <w:tc>
          <w:tcPr>
            <w:tcW w:w="625" w:type="pct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46F96A4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i/>
                <w:iCs/>
                <w:color w:val="000000"/>
                <w:kern w:val="0"/>
                <w:szCs w:val="20"/>
                <w:lang w:bidi="ar"/>
              </w:rPr>
              <w:t>P</w:t>
            </w:r>
          </w:p>
        </w:tc>
      </w:tr>
      <w:tr w14:paraId="128A41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4CF7AAB">
            <w:pPr>
              <w:widowControl/>
              <w:jc w:val="left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TCGA-TNBC cohort</w:t>
            </w:r>
          </w:p>
        </w:tc>
        <w:tc>
          <w:tcPr>
            <w:tcW w:w="1183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6A1BEFF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6292469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366BFF0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7DE3454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6E3DB8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0738E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Age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1FF88B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8EF6E3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24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A24F30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4AD6B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51146A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DE4C38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&lt; 60/≥ 60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1EED5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 xml:space="preserve">08 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(0.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292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2.829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84EDA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0.868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9D72F0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0.783 (0.245-2.502)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4F2A3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0.680 </w:t>
            </w:r>
          </w:p>
        </w:tc>
      </w:tr>
      <w:tr w14:paraId="796FDF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3A68D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Stage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D5AD51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66DDC2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563372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005956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49F60A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D2B91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I+II/III+IV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1464AD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3.084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 (1.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640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-5.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798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67243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0.003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E4B32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4.197 (1.929-9.130)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BAF92D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&lt; 0.001</w:t>
            </w:r>
          </w:p>
        </w:tc>
      </w:tr>
      <w:tr w14:paraId="0A359D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08C03F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C41B10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4EF720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6B56F2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F37754">
            <w:pPr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6D5497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1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DF2C0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≥ 0.50 vs.&lt; 0.50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A982E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 xml:space="preserve">292 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(0.09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3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-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0.923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0EC643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0.0</w:t>
            </w:r>
            <w:r>
              <w:rPr>
                <w:rFonts w:hint="eastAsia" w:eastAsia="宋体" w:cs="Times New Roman"/>
                <w:color w:val="000000"/>
                <w:kern w:val="0"/>
                <w:szCs w:val="20"/>
                <w:lang w:bidi="ar"/>
              </w:rPr>
              <w:t>36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D8A79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0.194 (0.052-0.727)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349D8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Cs w:val="20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0.015</w:t>
            </w:r>
          </w:p>
        </w:tc>
      </w:tr>
      <w:tr w14:paraId="4D9DE6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355353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  <w:t>GSE75067 cohort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CA8EA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CFDEB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A0970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CDF0DB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</w:pPr>
          </w:p>
        </w:tc>
      </w:tr>
      <w:tr w14:paraId="022A6B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94971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Age</w:t>
            </w:r>
          </w:p>
        </w:tc>
        <w:tc>
          <w:tcPr>
            <w:tcW w:w="118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75AE38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62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A951C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B39C1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789CF6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</w:pPr>
          </w:p>
        </w:tc>
      </w:tr>
      <w:tr w14:paraId="66B307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6EAB71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&lt; 60/≥ 60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B3E63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0.677 (0.124-3.698)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94C15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0.652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CA5197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0.666 (0.122-13.642)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A8FB07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0.639</w:t>
            </w:r>
          </w:p>
        </w:tc>
      </w:tr>
      <w:tr w14:paraId="4DF66D9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45996B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1BA663">
            <w:pPr>
              <w:jc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CB225F">
            <w:pPr>
              <w:jc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F25A78">
            <w:pPr>
              <w:jc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85A422">
            <w:pPr>
              <w:jc w:val="center"/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</w:pPr>
          </w:p>
        </w:tc>
      </w:tr>
      <w:tr w14:paraId="653DBC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D801E5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&lt; 0.50/≥ 0.50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CD6A3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1.736 (0.318-9.484)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70600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0.524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21B9A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1.760 (0.322-9.626)</w:t>
            </w:r>
          </w:p>
        </w:tc>
        <w:tc>
          <w:tcPr>
            <w:tcW w:w="106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DCEB59">
            <w:pPr>
              <w:widowControl/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kern w:val="0"/>
                <w:szCs w:val="20"/>
                <w:lang w:bidi="ar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0.514</w:t>
            </w:r>
          </w:p>
        </w:tc>
      </w:tr>
    </w:tbl>
    <w:p w14:paraId="0C83CDD9">
      <w:pPr>
        <w:jc w:val="left"/>
        <w:rPr>
          <w:rFonts w:cs="Times New Roman"/>
          <w:bCs/>
          <w:szCs w:val="20"/>
        </w:rPr>
      </w:pPr>
      <w:r>
        <w:rPr>
          <w:rFonts w:eastAsia="宋体" w:cs="Times New Roman"/>
          <w:bCs/>
          <w:szCs w:val="20"/>
          <w:lang w:bidi="ar"/>
        </w:rPr>
        <w:t xml:space="preserve">Note: </w:t>
      </w:r>
      <w:r>
        <w:rPr>
          <w:rFonts w:eastAsia="宋体" w:cs="Times New Roman"/>
          <w:bCs/>
          <w:szCs w:val="20"/>
        </w:rPr>
        <w:t>The</w:t>
      </w:r>
      <w:r>
        <w:rPr>
          <w:rFonts w:cs="Times New Roman"/>
          <w:bCs/>
          <w:szCs w:val="20"/>
        </w:rPr>
        <w:t xml:space="preserve"> analysis was adjusted for age and stage</w:t>
      </w:r>
      <w:r>
        <w:rPr>
          <w:rFonts w:hint="eastAsia" w:cs="Times New Roman"/>
          <w:bCs/>
          <w:szCs w:val="20"/>
        </w:rPr>
        <w:t>, GSE72251 cohort lacked the stage information.</w:t>
      </w:r>
    </w:p>
    <w:p w14:paraId="0CEAF50E">
      <w:pPr>
        <w:jc w:val="left"/>
        <w:rPr>
          <w:rFonts w:cs="Times New Roman"/>
          <w:bCs/>
          <w:szCs w:val="20"/>
        </w:rPr>
      </w:pPr>
    </w:p>
    <w:p w14:paraId="2CC7CD0A">
      <w:pPr>
        <w:pStyle w:val="3"/>
      </w:pPr>
      <w:bookmarkStart w:id="144" w:name="_Toc199703935"/>
      <w:bookmarkStart w:id="145" w:name="_Toc199701038"/>
      <w:bookmarkStart w:id="146" w:name="_Toc199700810"/>
      <w:bookmarkStart w:id="147" w:name="_Toc199701103"/>
      <w:bookmarkStart w:id="148" w:name="_Toc199701209"/>
      <w:bookmarkStart w:id="149" w:name="_Toc199700837"/>
      <w:bookmarkStart w:id="150" w:name="_Toc199702340"/>
      <w:r>
        <w:rPr>
          <w:rFonts w:eastAsia="宋体"/>
          <w:lang w:bidi="ar"/>
        </w:rPr>
        <w:t>Table S</w:t>
      </w:r>
      <w:r>
        <w:rPr>
          <w:rFonts w:hint="eastAsia" w:eastAsia="宋体"/>
          <w:lang w:bidi="ar"/>
        </w:rPr>
        <w:t>11</w:t>
      </w:r>
      <w:r>
        <w:rPr>
          <w:rFonts w:eastAsia="宋体"/>
          <w:lang w:bidi="ar"/>
        </w:rPr>
        <w:t xml:space="preserve"> </w:t>
      </w:r>
      <w:r>
        <w:t>The mix preparation for one reaction</w:t>
      </w:r>
      <w:r>
        <w:rPr>
          <w:rFonts w:hint="eastAsia"/>
        </w:rPr>
        <w:t>.</w:t>
      </w:r>
      <w:bookmarkEnd w:id="144"/>
      <w:bookmarkEnd w:id="145"/>
      <w:bookmarkEnd w:id="146"/>
      <w:bookmarkEnd w:id="147"/>
      <w:bookmarkEnd w:id="148"/>
      <w:bookmarkEnd w:id="149"/>
      <w:bookmarkEnd w:id="150"/>
    </w:p>
    <w:tbl>
      <w:tblPr>
        <w:tblStyle w:val="10"/>
        <w:tblW w:w="4998" w:type="pct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3"/>
        <w:gridCol w:w="2384"/>
        <w:gridCol w:w="1396"/>
      </w:tblGrid>
      <w:tr w14:paraId="65468DF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tblHeader/>
        </w:trPr>
        <w:tc>
          <w:tcPr>
            <w:tcW w:w="2779" w:type="pct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 w14:paraId="0811BFE5">
            <w:pPr>
              <w:widowControl/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2220" w:type="pct"/>
            <w:gridSpan w:val="2"/>
            <w:tcBorders>
              <w:bottom w:val="single" w:color="000000" w:sz="8" w:space="0"/>
            </w:tcBorders>
            <w:shd w:val="clear" w:color="auto" w:fill="auto"/>
            <w:noWrap/>
            <w:vAlign w:val="center"/>
          </w:tcPr>
          <w:p w14:paraId="2BFB5DB4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Multiplex ddPCR assay</w:t>
            </w:r>
          </w:p>
        </w:tc>
      </w:tr>
      <w:tr w14:paraId="7955BFC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</w:trPr>
        <w:tc>
          <w:tcPr>
            <w:tcW w:w="2779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EC22DAD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Target region</w:t>
            </w:r>
          </w:p>
        </w:tc>
        <w:tc>
          <w:tcPr>
            <w:tcW w:w="1400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A5F2EF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cg06268921</w:t>
            </w:r>
          </w:p>
        </w:tc>
        <w:tc>
          <w:tcPr>
            <w:tcW w:w="819" w:type="pct"/>
            <w:tcBorders>
              <w:top w:val="single" w:color="000000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099DA3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cg23247845</w:t>
            </w:r>
          </w:p>
        </w:tc>
      </w:tr>
      <w:tr w14:paraId="13D53FF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AA4366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Forward (20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14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E89CA9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CEDBD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1629272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02E32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Reverse (20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14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150DE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83EA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4B213E8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CFAE67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Taqman probe 6FAM (10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14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6277D8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0.9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9C457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0.75</w:t>
            </w:r>
          </w:p>
        </w:tc>
      </w:tr>
      <w:tr w14:paraId="021AC66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6843D0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Taqman probe VIC (10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140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FE780D">
            <w:pPr>
              <w:widowControl/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505D5F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0.75</w:t>
            </w:r>
          </w:p>
        </w:tc>
      </w:tr>
      <w:tr w14:paraId="641BABD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3A1C6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ACTB (reference gene)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619EF3">
            <w:pPr>
              <w:widowControl/>
              <w:jc w:val="center"/>
              <w:rPr>
                <w:rFonts w:eastAsia="宋体" w:cs="Times New Roman"/>
                <w:color w:val="000000"/>
                <w:szCs w:val="20"/>
              </w:rPr>
            </w:pPr>
          </w:p>
        </w:tc>
      </w:tr>
      <w:tr w14:paraId="523432D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9C2F9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Forward (20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DAC7EA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453248BA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F9CAE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Reverse (20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7A7DA1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0.4</w:t>
            </w:r>
          </w:p>
        </w:tc>
      </w:tr>
      <w:tr w14:paraId="492B944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1CED1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 xml:space="preserve">Taqman probe VIC (10 </w:t>
            </w:r>
            <w:r>
              <w:rPr>
                <w:rFonts w:eastAsia="宋体" w:cs="Times New Roman"/>
                <w:szCs w:val="20"/>
              </w:rPr>
              <w:t>μM</w:t>
            </w: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0B6A5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0.3</w:t>
            </w:r>
          </w:p>
        </w:tc>
      </w:tr>
      <w:tr w14:paraId="3B50849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E38A4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2× ddPCR Supermix for Probes (no dUTP)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CD1FB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10</w:t>
            </w:r>
          </w:p>
        </w:tc>
      </w:tr>
      <w:tr w14:paraId="208227E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C7399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DNA template (sample, µL)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EB7206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5-6</w:t>
            </w:r>
          </w:p>
        </w:tc>
      </w:tr>
      <w:tr w14:paraId="2B52300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7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42571C">
            <w:pPr>
              <w:widowControl/>
              <w:jc w:val="left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Volume input for droplet generation for ddPCR (µL)</w:t>
            </w:r>
          </w:p>
        </w:tc>
        <w:tc>
          <w:tcPr>
            <w:tcW w:w="2220" w:type="pct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14A6DC">
            <w:pPr>
              <w:widowControl/>
              <w:jc w:val="center"/>
              <w:textAlignment w:val="center"/>
              <w:rPr>
                <w:rFonts w:eastAsia="宋体" w:cs="Times New Roman"/>
                <w:color w:val="000000"/>
                <w:szCs w:val="20"/>
              </w:rPr>
            </w:pPr>
            <w:r>
              <w:rPr>
                <w:rFonts w:eastAsia="宋体" w:cs="Times New Roman"/>
                <w:color w:val="000000"/>
                <w:kern w:val="0"/>
                <w:szCs w:val="20"/>
                <w:lang w:bidi="ar"/>
              </w:rPr>
              <w:t>21</w:t>
            </w:r>
          </w:p>
        </w:tc>
      </w:tr>
    </w:tbl>
    <w:p w14:paraId="0B091174">
      <w:pPr>
        <w:rPr>
          <w:rFonts w:cs="Times New Roman"/>
          <w:szCs w:val="20"/>
        </w:rPr>
      </w:pPr>
      <w:r>
        <w:rPr>
          <w:rFonts w:cs="Times New Roman"/>
          <w:szCs w:val="20"/>
        </w:rPr>
        <w:t>Note: The working concentrations of primers and probes are 20 μM and 10 μM, and the probe solutions should be protected from light.</w:t>
      </w:r>
    </w:p>
    <w:sectPr>
      <w:pgSz w:w="11906" w:h="16838"/>
      <w:pgMar w:top="1440" w:right="1803" w:bottom="1440" w:left="180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mODU0MTMwMDVjMTEyYmM1OWY0NGUyZTNiYTIyNDIifQ=="/>
  </w:docVars>
  <w:rsids>
    <w:rsidRoot w:val="004D527F"/>
    <w:rsid w:val="00044DA1"/>
    <w:rsid w:val="000500E0"/>
    <w:rsid w:val="000504AA"/>
    <w:rsid w:val="000B0178"/>
    <w:rsid w:val="000B117C"/>
    <w:rsid w:val="000F52EA"/>
    <w:rsid w:val="00143923"/>
    <w:rsid w:val="00144433"/>
    <w:rsid w:val="00165666"/>
    <w:rsid w:val="001B3C47"/>
    <w:rsid w:val="001F0EAF"/>
    <w:rsid w:val="00275126"/>
    <w:rsid w:val="0028654C"/>
    <w:rsid w:val="003B48D1"/>
    <w:rsid w:val="00404BB4"/>
    <w:rsid w:val="004803B3"/>
    <w:rsid w:val="004D527F"/>
    <w:rsid w:val="004F7CD0"/>
    <w:rsid w:val="00520E96"/>
    <w:rsid w:val="0055773A"/>
    <w:rsid w:val="00563A09"/>
    <w:rsid w:val="0060159A"/>
    <w:rsid w:val="006130F5"/>
    <w:rsid w:val="00620614"/>
    <w:rsid w:val="0067397E"/>
    <w:rsid w:val="006953CC"/>
    <w:rsid w:val="006C1F3A"/>
    <w:rsid w:val="006D31FE"/>
    <w:rsid w:val="007C2ACE"/>
    <w:rsid w:val="007E3E82"/>
    <w:rsid w:val="008523C3"/>
    <w:rsid w:val="008850EF"/>
    <w:rsid w:val="008D19C0"/>
    <w:rsid w:val="008F577A"/>
    <w:rsid w:val="0091056C"/>
    <w:rsid w:val="00924003"/>
    <w:rsid w:val="009646BF"/>
    <w:rsid w:val="009B6811"/>
    <w:rsid w:val="00A2349E"/>
    <w:rsid w:val="00A3179D"/>
    <w:rsid w:val="00B34657"/>
    <w:rsid w:val="00B479F3"/>
    <w:rsid w:val="00BC7265"/>
    <w:rsid w:val="00C045C3"/>
    <w:rsid w:val="00C048F3"/>
    <w:rsid w:val="00CC445C"/>
    <w:rsid w:val="00CE2AC4"/>
    <w:rsid w:val="00D50036"/>
    <w:rsid w:val="00D94F8B"/>
    <w:rsid w:val="00E01784"/>
    <w:rsid w:val="00E0703A"/>
    <w:rsid w:val="00E44E37"/>
    <w:rsid w:val="00EB778E"/>
    <w:rsid w:val="00EB7917"/>
    <w:rsid w:val="00FF5B75"/>
    <w:rsid w:val="03991DF6"/>
    <w:rsid w:val="046C3066"/>
    <w:rsid w:val="050B6D23"/>
    <w:rsid w:val="057738A2"/>
    <w:rsid w:val="05F319A2"/>
    <w:rsid w:val="06D53145"/>
    <w:rsid w:val="07B92A66"/>
    <w:rsid w:val="08F71A98"/>
    <w:rsid w:val="1318587A"/>
    <w:rsid w:val="14005579"/>
    <w:rsid w:val="18A8690B"/>
    <w:rsid w:val="19632832"/>
    <w:rsid w:val="1ECF44C6"/>
    <w:rsid w:val="1EFC175F"/>
    <w:rsid w:val="1F5865F8"/>
    <w:rsid w:val="222114DC"/>
    <w:rsid w:val="237F470C"/>
    <w:rsid w:val="23CD36CA"/>
    <w:rsid w:val="244145C7"/>
    <w:rsid w:val="26203C3F"/>
    <w:rsid w:val="270D434E"/>
    <w:rsid w:val="27932534"/>
    <w:rsid w:val="27F05BD9"/>
    <w:rsid w:val="2A433210"/>
    <w:rsid w:val="2E093297"/>
    <w:rsid w:val="2EFD2A57"/>
    <w:rsid w:val="2F5E5B1E"/>
    <w:rsid w:val="301B57BD"/>
    <w:rsid w:val="314F3970"/>
    <w:rsid w:val="31E57E30"/>
    <w:rsid w:val="31F97D80"/>
    <w:rsid w:val="33941B0E"/>
    <w:rsid w:val="34E24368"/>
    <w:rsid w:val="35F5068B"/>
    <w:rsid w:val="36732A16"/>
    <w:rsid w:val="37F70CE5"/>
    <w:rsid w:val="388D4D7E"/>
    <w:rsid w:val="389E342F"/>
    <w:rsid w:val="399D36E6"/>
    <w:rsid w:val="3BA945C4"/>
    <w:rsid w:val="3C7A1ABD"/>
    <w:rsid w:val="3FF658FE"/>
    <w:rsid w:val="416D0F3F"/>
    <w:rsid w:val="449107CB"/>
    <w:rsid w:val="44B738AE"/>
    <w:rsid w:val="459C0CF6"/>
    <w:rsid w:val="47482EE3"/>
    <w:rsid w:val="478427BD"/>
    <w:rsid w:val="47D44777"/>
    <w:rsid w:val="482852BB"/>
    <w:rsid w:val="491607A5"/>
    <w:rsid w:val="4A48146B"/>
    <w:rsid w:val="4AE7501C"/>
    <w:rsid w:val="4B1821C4"/>
    <w:rsid w:val="4E042EFD"/>
    <w:rsid w:val="50733E9C"/>
    <w:rsid w:val="52100AA2"/>
    <w:rsid w:val="52DE46FC"/>
    <w:rsid w:val="52F61A46"/>
    <w:rsid w:val="53B042EA"/>
    <w:rsid w:val="53D61877"/>
    <w:rsid w:val="54520EFE"/>
    <w:rsid w:val="55222FC6"/>
    <w:rsid w:val="552604D3"/>
    <w:rsid w:val="57915024"/>
    <w:rsid w:val="58B101BD"/>
    <w:rsid w:val="5C922E93"/>
    <w:rsid w:val="5F2B0CC9"/>
    <w:rsid w:val="5F362E97"/>
    <w:rsid w:val="60C74A21"/>
    <w:rsid w:val="613D4CE3"/>
    <w:rsid w:val="62402CDD"/>
    <w:rsid w:val="63303A76"/>
    <w:rsid w:val="63536A40"/>
    <w:rsid w:val="647C4132"/>
    <w:rsid w:val="653B3C30"/>
    <w:rsid w:val="66B9305E"/>
    <w:rsid w:val="686A63B0"/>
    <w:rsid w:val="6A42336B"/>
    <w:rsid w:val="6E0E1EE1"/>
    <w:rsid w:val="6F0E14BD"/>
    <w:rsid w:val="6F675D4D"/>
    <w:rsid w:val="7034534E"/>
    <w:rsid w:val="70BF17AC"/>
    <w:rsid w:val="71017ADB"/>
    <w:rsid w:val="71F238C8"/>
    <w:rsid w:val="722C2936"/>
    <w:rsid w:val="72444124"/>
    <w:rsid w:val="74A40EAA"/>
    <w:rsid w:val="74E27C24"/>
    <w:rsid w:val="755C3532"/>
    <w:rsid w:val="76717AB2"/>
    <w:rsid w:val="768E2568"/>
    <w:rsid w:val="79294073"/>
    <w:rsid w:val="795540C5"/>
    <w:rsid w:val="7A8F261A"/>
    <w:rsid w:val="7CA73C2D"/>
    <w:rsid w:val="7CB63E70"/>
    <w:rsid w:val="7D61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outlineLvl w:val="1"/>
    </w:pPr>
    <w:rPr>
      <w:rFonts w:eastAsia="Times New Roman" w:cstheme="majorBidi"/>
      <w:bCs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eastAsia="Times New Roman" w:cs="Times New Roman"/>
      <w:b/>
      <w:bCs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 w:asciiTheme="minorHAnsi" w:hAnsiTheme="minorHAnsi"/>
      <w:kern w:val="0"/>
      <w:sz w:val="22"/>
      <w:szCs w:val="22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39"/>
    <w:rPr>
      <w:rFonts w:eastAsia="Times New Roman"/>
    </w:rPr>
  </w:style>
  <w:style w:type="paragraph" w:styleId="9">
    <w:name w:val="toc 2"/>
    <w:basedOn w:val="1"/>
    <w:next w:val="1"/>
    <w:autoRedefine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6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7">
    <w:name w:val="font11"/>
    <w:basedOn w:val="11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18">
    <w:name w:val="font51"/>
    <w:basedOn w:val="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paragraph" w:customStyle="1" w:styleId="20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1">
    <w:name w:val="标题 2 字符"/>
    <w:basedOn w:val="11"/>
    <w:link w:val="3"/>
    <w:qFormat/>
    <w:uiPriority w:val="0"/>
    <w:rPr>
      <w:rFonts w:eastAsia="Times New Roman" w:cstheme="majorBidi"/>
      <w:bCs/>
      <w:kern w:val="2"/>
      <w:szCs w:val="32"/>
    </w:rPr>
  </w:style>
  <w:style w:type="character" w:customStyle="1" w:styleId="22">
    <w:name w:val="标题 1 字符"/>
    <w:basedOn w:val="11"/>
    <w:link w:val="2"/>
    <w:qFormat/>
    <w:uiPriority w:val="0"/>
    <w:rPr>
      <w:rFonts w:eastAsiaTheme="minorEastAsia" w:cstheme="minorBidi"/>
      <w:b/>
      <w:bCs/>
      <w:kern w:val="44"/>
      <w:sz w:val="44"/>
      <w:szCs w:val="44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E3199-05F6-43CB-9AD2-D6DF7757E9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1483</Words>
  <Characters>7228</Characters>
  <Lines>106</Lines>
  <Paragraphs>30</Paragraphs>
  <TotalTime>185</TotalTime>
  <ScaleCrop>false</ScaleCrop>
  <LinksUpToDate>false</LinksUpToDate>
  <CharactersWithSpaces>8210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2024-06-27T14:04:00Z</dcterms:created>
  <dc:creator>Gao_LiJing</dc:creator>
  <cp:lastModifiedBy>✨晶之链</cp:lastModifiedBy>
  <cp:lastPrinted>2024-12-11T01:32:00Z</cp:lastPrinted>
  <dcterms:modified xsi:type="dcterms:W3CDTF">2025-06-10T01:45:46Z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F8321F25D30C4EF7B2784348B928D206_13</vt:lpwstr>
  </property>
  <property fmtid="{D5CDD505-2E9C-101B-9397-08002B2CF9AE}" pid="4" name="KSOTemplateDocerSaveRecord">
    <vt:lpwstr>eyJoZGlkIjoiNmRmODU0MTMwMDVjMTEyYmM1OWY0NGUyZTNiYTIyNDIiLCJ1c2VySWQiOiIyMTgxMzA2MjQifQ==</vt:lpwstr>
  </property>
</Properties>
</file>