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8ADA4"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442A3748"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6862397E" w14:textId="77777777" w:rsidTr="00E341E9">
        <w:tc>
          <w:tcPr>
            <w:tcW w:w="1951" w:type="dxa"/>
          </w:tcPr>
          <w:p w14:paraId="2297A2AB"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2E4847F9"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25FDEABC"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1922E885"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6B3EEEF6" w14:textId="77777777" w:rsidR="00191A23" w:rsidRPr="0022554A" w:rsidRDefault="00517788" w:rsidP="00517788">
            <w:pPr>
              <w:pStyle w:val="TableHeader"/>
              <w:tabs>
                <w:tab w:val="left" w:pos="5400"/>
              </w:tabs>
              <w:jc w:val="center"/>
              <w:rPr>
                <w:bCs/>
                <w:sz w:val="20"/>
              </w:rPr>
            </w:pPr>
            <w:bookmarkStart w:id="9" w:name="OLE_LINK193"/>
            <w:r>
              <w:rPr>
                <w:bCs/>
                <w:sz w:val="20"/>
              </w:rPr>
              <w:t>Relevant t</w:t>
            </w:r>
            <w:r w:rsidR="00191A23">
              <w:rPr>
                <w:bCs/>
                <w:sz w:val="20"/>
              </w:rPr>
              <w:t>ext from manuscript</w:t>
            </w:r>
            <w:bookmarkEnd w:id="9"/>
          </w:p>
        </w:tc>
      </w:tr>
      <w:tr w:rsidR="00191A23" w:rsidRPr="0022554A" w14:paraId="7C5EDEA8" w14:textId="77777777" w:rsidTr="00E341E9">
        <w:tc>
          <w:tcPr>
            <w:tcW w:w="1951" w:type="dxa"/>
            <w:vMerge w:val="restart"/>
          </w:tcPr>
          <w:p w14:paraId="1B4486CB" w14:textId="77777777" w:rsidR="00191A23" w:rsidRPr="002602FB" w:rsidRDefault="00191A23" w:rsidP="0022554A">
            <w:pPr>
              <w:tabs>
                <w:tab w:val="left" w:pos="5400"/>
              </w:tabs>
              <w:rPr>
                <w:b/>
                <w:bCs/>
                <w:sz w:val="20"/>
              </w:rPr>
            </w:pPr>
            <w:bookmarkStart w:id="10" w:name="bold5"/>
            <w:bookmarkStart w:id="11" w:name="italic6"/>
            <w:bookmarkEnd w:id="0"/>
            <w:bookmarkEnd w:id="1"/>
            <w:bookmarkEnd w:id="2"/>
            <w:bookmarkEnd w:id="3"/>
            <w:bookmarkEnd w:id="4"/>
            <w:bookmarkEnd w:id="5"/>
            <w:bookmarkEnd w:id="6"/>
            <w:bookmarkEnd w:id="7"/>
            <w:bookmarkEnd w:id="8"/>
            <w:r w:rsidRPr="002602FB">
              <w:rPr>
                <w:b/>
                <w:sz w:val="20"/>
              </w:rPr>
              <w:t>Title and abstract</w:t>
            </w:r>
            <w:bookmarkEnd w:id="10"/>
            <w:bookmarkEnd w:id="11"/>
          </w:p>
        </w:tc>
        <w:tc>
          <w:tcPr>
            <w:tcW w:w="616" w:type="dxa"/>
            <w:vMerge w:val="restart"/>
          </w:tcPr>
          <w:p w14:paraId="2EF3E26E" w14:textId="77777777" w:rsidR="00191A23" w:rsidRPr="0022554A" w:rsidRDefault="00191A23" w:rsidP="0022554A">
            <w:pPr>
              <w:tabs>
                <w:tab w:val="left" w:pos="5400"/>
              </w:tabs>
              <w:jc w:val="center"/>
              <w:rPr>
                <w:sz w:val="20"/>
              </w:rPr>
            </w:pPr>
            <w:r w:rsidRPr="0022554A">
              <w:rPr>
                <w:sz w:val="20"/>
              </w:rPr>
              <w:t>1</w:t>
            </w:r>
          </w:p>
        </w:tc>
        <w:tc>
          <w:tcPr>
            <w:tcW w:w="8031" w:type="dxa"/>
          </w:tcPr>
          <w:p w14:paraId="5D4250C7"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5421D2AF" w14:textId="14AEE9BE" w:rsidR="00191A23" w:rsidRPr="0022554A" w:rsidRDefault="00A9621B" w:rsidP="00BB7286">
            <w:pPr>
              <w:tabs>
                <w:tab w:val="left" w:pos="5400"/>
              </w:tabs>
              <w:rPr>
                <w:sz w:val="20"/>
              </w:rPr>
            </w:pPr>
            <w:r>
              <w:rPr>
                <w:rFonts w:hint="eastAsia"/>
                <w:sz w:val="20"/>
                <w:lang w:eastAsia="zh-CN"/>
              </w:rPr>
              <w:t>1</w:t>
            </w:r>
          </w:p>
        </w:tc>
        <w:tc>
          <w:tcPr>
            <w:tcW w:w="2835" w:type="dxa"/>
          </w:tcPr>
          <w:p w14:paraId="309C6F19" w14:textId="4CBAA80B" w:rsidR="00191A23" w:rsidRPr="0022554A" w:rsidRDefault="00BB7286" w:rsidP="0022554A">
            <w:pPr>
              <w:tabs>
                <w:tab w:val="left" w:pos="5400"/>
              </w:tabs>
              <w:rPr>
                <w:sz w:val="20"/>
              </w:rPr>
            </w:pPr>
            <w:r w:rsidRPr="00BB7286">
              <w:rPr>
                <w:sz w:val="20"/>
              </w:rPr>
              <w:t>Inflammatory and nutritional indexes as predictors of acute kidney injury in patients with Immunoglobulin A nephropathy</w:t>
            </w:r>
          </w:p>
        </w:tc>
      </w:tr>
      <w:tr w:rsidR="00191A23" w:rsidRPr="0022554A" w14:paraId="7FABCE52" w14:textId="77777777" w:rsidTr="00E341E9">
        <w:tc>
          <w:tcPr>
            <w:tcW w:w="1951" w:type="dxa"/>
            <w:vMerge/>
          </w:tcPr>
          <w:p w14:paraId="5E90C54C" w14:textId="77777777" w:rsidR="00191A23" w:rsidRPr="0022554A" w:rsidRDefault="00191A23" w:rsidP="0022554A">
            <w:pPr>
              <w:tabs>
                <w:tab w:val="left" w:pos="5400"/>
              </w:tabs>
              <w:rPr>
                <w:bCs/>
                <w:sz w:val="20"/>
              </w:rPr>
            </w:pPr>
            <w:bookmarkStart w:id="12" w:name="bold6" w:colFirst="0" w:colLast="0"/>
            <w:bookmarkStart w:id="13" w:name="italic7" w:colFirst="0" w:colLast="0"/>
          </w:p>
        </w:tc>
        <w:tc>
          <w:tcPr>
            <w:tcW w:w="616" w:type="dxa"/>
            <w:vMerge/>
          </w:tcPr>
          <w:p w14:paraId="72EDCE98" w14:textId="77777777" w:rsidR="00191A23" w:rsidRPr="0022554A" w:rsidRDefault="00191A23" w:rsidP="0022554A">
            <w:pPr>
              <w:tabs>
                <w:tab w:val="left" w:pos="5400"/>
              </w:tabs>
              <w:jc w:val="center"/>
              <w:rPr>
                <w:sz w:val="20"/>
              </w:rPr>
            </w:pPr>
          </w:p>
        </w:tc>
        <w:tc>
          <w:tcPr>
            <w:tcW w:w="8031" w:type="dxa"/>
          </w:tcPr>
          <w:p w14:paraId="281BA331"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47505FF3" w14:textId="5CE39E51" w:rsidR="00191A23" w:rsidRPr="00E401AF" w:rsidRDefault="00BB7286" w:rsidP="00BB7286">
            <w:pPr>
              <w:tabs>
                <w:tab w:val="left" w:pos="5400"/>
              </w:tabs>
              <w:rPr>
                <w:sz w:val="20"/>
              </w:rPr>
            </w:pPr>
            <w:r w:rsidRPr="00E401AF">
              <w:rPr>
                <w:rFonts w:hint="eastAsia"/>
                <w:sz w:val="20"/>
                <w:lang w:eastAsia="zh-CN"/>
              </w:rPr>
              <w:t>1</w:t>
            </w:r>
            <w:r w:rsidR="00F0219A" w:rsidRPr="00E401AF">
              <w:rPr>
                <w:rFonts w:hint="eastAsia"/>
                <w:sz w:val="20"/>
                <w:lang w:eastAsia="zh-CN"/>
              </w:rPr>
              <w:t>-2</w:t>
            </w:r>
          </w:p>
        </w:tc>
        <w:tc>
          <w:tcPr>
            <w:tcW w:w="2835" w:type="dxa"/>
          </w:tcPr>
          <w:p w14:paraId="717DBC40" w14:textId="10802E16" w:rsidR="00191A23" w:rsidRPr="00E401AF" w:rsidRDefault="00BE018C" w:rsidP="007528AD">
            <w:pPr>
              <w:tabs>
                <w:tab w:val="left" w:pos="5400"/>
              </w:tabs>
              <w:rPr>
                <w:rFonts w:hint="eastAsia"/>
                <w:sz w:val="20"/>
                <w:lang w:eastAsia="zh-CN"/>
              </w:rPr>
            </w:pPr>
            <w:r w:rsidRPr="00E401AF">
              <w:rPr>
                <w:sz w:val="20"/>
              </w:rPr>
              <w:t>Line 1</w:t>
            </w:r>
            <w:r w:rsidRPr="00E401AF">
              <w:rPr>
                <w:rFonts w:hint="eastAsia"/>
                <w:sz w:val="20"/>
                <w:lang w:eastAsia="zh-CN"/>
              </w:rPr>
              <w:t>3</w:t>
            </w:r>
            <w:r w:rsidRPr="00E401AF">
              <w:rPr>
                <w:sz w:val="20"/>
              </w:rPr>
              <w:t>-</w:t>
            </w:r>
            <w:r w:rsidRPr="00E401AF">
              <w:rPr>
                <w:rFonts w:hint="eastAsia"/>
                <w:sz w:val="20"/>
                <w:lang w:eastAsia="zh-CN"/>
              </w:rPr>
              <w:t>37</w:t>
            </w:r>
            <w:r w:rsidRPr="00E401AF">
              <w:rPr>
                <w:sz w:val="20"/>
              </w:rPr>
              <w:t xml:space="preserve"> of the manuscript states, </w:t>
            </w:r>
            <w:r w:rsidRPr="00E401AF">
              <w:rPr>
                <w:sz w:val="20"/>
                <w:lang w:eastAsia="zh-CN"/>
              </w:rPr>
              <w:t>“</w:t>
            </w:r>
            <w:r w:rsidR="007528AD" w:rsidRPr="00E401AF">
              <w:rPr>
                <w:sz w:val="20"/>
              </w:rPr>
              <w:t>Background.</w:t>
            </w:r>
            <w:r w:rsidR="00E401AF" w:rsidRPr="00E401AF">
              <w:rPr>
                <w:rFonts w:hint="eastAsia"/>
                <w:sz w:val="20"/>
                <w:lang w:eastAsia="zh-CN"/>
              </w:rPr>
              <w:t xml:space="preserve"> </w:t>
            </w:r>
            <w:r w:rsidR="007528AD" w:rsidRPr="00E401AF">
              <w:rPr>
                <w:sz w:val="20"/>
              </w:rPr>
              <w:t>Immunoglobulin A nephropathy (</w:t>
            </w:r>
            <w:proofErr w:type="spellStart"/>
            <w:r w:rsidR="007528AD" w:rsidRPr="00E401AF">
              <w:rPr>
                <w:sz w:val="20"/>
              </w:rPr>
              <w:t>IgAN</w:t>
            </w:r>
            <w:proofErr w:type="spellEnd"/>
            <w:r w:rsidR="007528AD" w:rsidRPr="00E401AF">
              <w:rPr>
                <w:sz w:val="20"/>
              </w:rPr>
              <w:t xml:space="preserve">) patients with acute kidney injury (AKI) have elevated risk of adverse events and mortality. However, there is currently a lack of convenient and effective clinical tools to predict AKI risk in this population. The present study was conducted to creating such tools containing inflammatory and nutritional indexes. </w:t>
            </w:r>
            <w:r w:rsidR="007528AD" w:rsidRPr="00E401AF">
              <w:rPr>
                <w:rFonts w:hint="eastAsia"/>
                <w:sz w:val="20"/>
                <w:lang w:eastAsia="zh-CN"/>
              </w:rPr>
              <w:t xml:space="preserve"> </w:t>
            </w:r>
            <w:r w:rsidR="007528AD" w:rsidRPr="00E401AF">
              <w:rPr>
                <w:sz w:val="20"/>
              </w:rPr>
              <w:t xml:space="preserve">Method. Data from 720 adults diagnosed with </w:t>
            </w:r>
            <w:proofErr w:type="spellStart"/>
            <w:r w:rsidR="007528AD" w:rsidRPr="00E401AF">
              <w:rPr>
                <w:sz w:val="20"/>
              </w:rPr>
              <w:t>IgAN</w:t>
            </w:r>
            <w:proofErr w:type="spellEnd"/>
            <w:r w:rsidR="007528AD" w:rsidRPr="00E401AF">
              <w:rPr>
                <w:sz w:val="20"/>
              </w:rPr>
              <w:t xml:space="preserve"> by renal biopsy at the First Hospital of Jilin University were collected. They were randomly divided into a training set (n = 503) and a test set (n = 217) in a 7:3 ratio. Univariate and multivariate logistic regression analyses with backward selection were used to </w:t>
            </w:r>
            <w:r w:rsidR="007528AD" w:rsidRPr="00E401AF">
              <w:rPr>
                <w:sz w:val="20"/>
              </w:rPr>
              <w:lastRenderedPageBreak/>
              <w:t>identify risk factors, resulting in multiple prediction models. Least absolute shrinkage and selection operator (LASSO) regression was used to simplify the model. The models were presented using nomograms, and their performances were evaluated through receiver operating characteristic (ROC) curves, area under the curve (AUC), Hosmer-</w:t>
            </w:r>
            <w:proofErr w:type="spellStart"/>
            <w:r w:rsidR="007528AD" w:rsidRPr="00E401AF">
              <w:rPr>
                <w:sz w:val="20"/>
              </w:rPr>
              <w:t>Lemeshow</w:t>
            </w:r>
            <w:proofErr w:type="spellEnd"/>
            <w:r w:rsidR="007528AD" w:rsidRPr="00E401AF">
              <w:rPr>
                <w:sz w:val="20"/>
              </w:rPr>
              <w:t xml:space="preserve"> test, net reclassification improvement (NRI), integrated discrimination improvement (IDI), calibration curves, and clinical decision curve analysis (DCA).</w:t>
            </w:r>
            <w:r w:rsidR="007528AD" w:rsidRPr="00E401AF">
              <w:rPr>
                <w:rFonts w:hint="eastAsia"/>
                <w:sz w:val="20"/>
                <w:lang w:eastAsia="zh-CN"/>
              </w:rPr>
              <w:t xml:space="preserve"> </w:t>
            </w:r>
            <w:r w:rsidR="007528AD" w:rsidRPr="00E401AF">
              <w:rPr>
                <w:sz w:val="20"/>
              </w:rPr>
              <w:t xml:space="preserve">Results. Eleven risk factors related to </w:t>
            </w:r>
            <w:proofErr w:type="spellStart"/>
            <w:r w:rsidR="007528AD" w:rsidRPr="00E401AF">
              <w:rPr>
                <w:sz w:val="20"/>
              </w:rPr>
              <w:t>IgAN</w:t>
            </w:r>
            <w:proofErr w:type="spellEnd"/>
            <w:r w:rsidR="007528AD" w:rsidRPr="00E401AF">
              <w:rPr>
                <w:sz w:val="20"/>
              </w:rPr>
              <w:t xml:space="preserve"> with AKI were identified, including nephrotic syndrome (NS), T score from the Oxford histological classification, estimated glomerular filtration rate (eGFR), blood urea nitrogen (BUN), 24-hour urinary protein quantification (24h-UPRO), C-reactive protein (CRP), systemic inflammatory response index (SIRI), lymphocyte-to-monocyte ratio (LMR), platelet-to-lymphocyte </w:t>
            </w:r>
            <w:r w:rsidR="007528AD" w:rsidRPr="00E401AF">
              <w:rPr>
                <w:sz w:val="20"/>
              </w:rPr>
              <w:lastRenderedPageBreak/>
              <w:t>ratio (PLR), lymphocyte-to-CRP ratio (LCR), and prognostic nutritional index (PNI). These factors contributed to the development of seven prediction models. ROC curves indicated good predictive performance for all models, with the full model performing best. The Hosmer-</w:t>
            </w:r>
            <w:proofErr w:type="spellStart"/>
            <w:r w:rsidR="007528AD" w:rsidRPr="00E401AF">
              <w:rPr>
                <w:sz w:val="20"/>
              </w:rPr>
              <w:t>Lemeshow</w:t>
            </w:r>
            <w:proofErr w:type="spellEnd"/>
            <w:r w:rsidR="007528AD" w:rsidRPr="00E401AF">
              <w:rPr>
                <w:sz w:val="20"/>
              </w:rPr>
              <w:t xml:space="preserve"> test showed that six models, fit well in the test set. DCA results demonstrated significant clinical benefits for all models. Conclusion. This study developed and validated a series of novel and convenient AKI risk prediction models for patients with </w:t>
            </w:r>
            <w:proofErr w:type="spellStart"/>
            <w:r w:rsidR="007528AD" w:rsidRPr="00E401AF">
              <w:rPr>
                <w:sz w:val="20"/>
              </w:rPr>
              <w:t>IgAN</w:t>
            </w:r>
            <w:proofErr w:type="spellEnd"/>
            <w:r w:rsidR="007528AD" w:rsidRPr="00E401AF">
              <w:rPr>
                <w:sz w:val="20"/>
              </w:rPr>
              <w:t>, highlighting the importance of inflammatory status and nutritional condition in assessing AKI risk.</w:t>
            </w:r>
            <w:r w:rsidRPr="00E401AF">
              <w:rPr>
                <w:sz w:val="20"/>
                <w:lang w:eastAsia="zh-CN"/>
              </w:rPr>
              <w:t>”</w:t>
            </w:r>
          </w:p>
        </w:tc>
      </w:tr>
      <w:tr w:rsidR="00191A23" w:rsidRPr="0022554A" w14:paraId="53103D85" w14:textId="77777777" w:rsidTr="00E341E9">
        <w:tc>
          <w:tcPr>
            <w:tcW w:w="12157" w:type="dxa"/>
            <w:gridSpan w:val="4"/>
          </w:tcPr>
          <w:p w14:paraId="7D170F5B" w14:textId="77777777" w:rsidR="00191A23" w:rsidRPr="0022554A" w:rsidRDefault="00191A23" w:rsidP="0022554A">
            <w:pPr>
              <w:pStyle w:val="TableSubHead"/>
              <w:tabs>
                <w:tab w:val="left" w:pos="5400"/>
              </w:tabs>
              <w:rPr>
                <w:sz w:val="20"/>
              </w:rPr>
            </w:pPr>
            <w:bookmarkStart w:id="14" w:name="bold7"/>
            <w:bookmarkStart w:id="15" w:name="italic8"/>
            <w:bookmarkEnd w:id="12"/>
            <w:bookmarkEnd w:id="13"/>
            <w:r w:rsidRPr="0022554A">
              <w:rPr>
                <w:sz w:val="20"/>
              </w:rPr>
              <w:lastRenderedPageBreak/>
              <w:t>Introduction</w:t>
            </w:r>
          </w:p>
        </w:tc>
        <w:bookmarkEnd w:id="14"/>
        <w:bookmarkEnd w:id="15"/>
        <w:tc>
          <w:tcPr>
            <w:tcW w:w="2835" w:type="dxa"/>
          </w:tcPr>
          <w:p w14:paraId="78B501BA" w14:textId="77777777" w:rsidR="00191A23" w:rsidRPr="0022554A" w:rsidRDefault="00191A23" w:rsidP="0022554A">
            <w:pPr>
              <w:pStyle w:val="TableSubHead"/>
              <w:tabs>
                <w:tab w:val="left" w:pos="5400"/>
              </w:tabs>
              <w:rPr>
                <w:sz w:val="20"/>
              </w:rPr>
            </w:pPr>
          </w:p>
        </w:tc>
      </w:tr>
      <w:tr w:rsidR="00191A23" w:rsidRPr="0022554A" w14:paraId="6BDD9C08" w14:textId="77777777" w:rsidTr="00E341E9">
        <w:tc>
          <w:tcPr>
            <w:tcW w:w="1951" w:type="dxa"/>
          </w:tcPr>
          <w:p w14:paraId="31150862" w14:textId="77777777" w:rsidR="00191A23" w:rsidRPr="0022554A" w:rsidRDefault="00191A23" w:rsidP="0022554A">
            <w:pPr>
              <w:tabs>
                <w:tab w:val="left" w:pos="5400"/>
              </w:tabs>
              <w:rPr>
                <w:bCs/>
                <w:sz w:val="20"/>
              </w:rPr>
            </w:pPr>
            <w:bookmarkStart w:id="16" w:name="bold8"/>
            <w:bookmarkStart w:id="17" w:name="italic9"/>
            <w:bookmarkStart w:id="18" w:name="_Hlk190130287"/>
            <w:r w:rsidRPr="0022554A">
              <w:rPr>
                <w:bCs/>
                <w:sz w:val="20"/>
              </w:rPr>
              <w:t>Background/</w:t>
            </w:r>
            <w:bookmarkStart w:id="19" w:name="bold9"/>
            <w:bookmarkStart w:id="20" w:name="italic10"/>
            <w:bookmarkEnd w:id="16"/>
            <w:bookmarkEnd w:id="17"/>
            <w:r w:rsidRPr="0022554A">
              <w:rPr>
                <w:bCs/>
                <w:sz w:val="20"/>
              </w:rPr>
              <w:t>rationale</w:t>
            </w:r>
            <w:bookmarkEnd w:id="19"/>
            <w:bookmarkEnd w:id="20"/>
          </w:p>
        </w:tc>
        <w:tc>
          <w:tcPr>
            <w:tcW w:w="616" w:type="dxa"/>
          </w:tcPr>
          <w:p w14:paraId="0EEF751E" w14:textId="77777777" w:rsidR="00191A23" w:rsidRPr="0022554A" w:rsidRDefault="00191A23" w:rsidP="0022554A">
            <w:pPr>
              <w:tabs>
                <w:tab w:val="left" w:pos="5400"/>
              </w:tabs>
              <w:jc w:val="center"/>
              <w:rPr>
                <w:sz w:val="20"/>
              </w:rPr>
            </w:pPr>
            <w:r w:rsidRPr="0022554A">
              <w:rPr>
                <w:sz w:val="20"/>
              </w:rPr>
              <w:t>2</w:t>
            </w:r>
          </w:p>
        </w:tc>
        <w:tc>
          <w:tcPr>
            <w:tcW w:w="8031" w:type="dxa"/>
          </w:tcPr>
          <w:p w14:paraId="136CA764"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4A5E503D" w14:textId="196C1242" w:rsidR="00191A23" w:rsidRPr="0022554A" w:rsidRDefault="00F0219A" w:rsidP="0022554A">
            <w:pPr>
              <w:tabs>
                <w:tab w:val="left" w:pos="5400"/>
              </w:tabs>
              <w:rPr>
                <w:rFonts w:hint="eastAsia"/>
                <w:sz w:val="20"/>
              </w:rPr>
            </w:pPr>
            <w:r>
              <w:rPr>
                <w:rFonts w:hint="eastAsia"/>
                <w:sz w:val="20"/>
                <w:lang w:eastAsia="zh-CN"/>
              </w:rPr>
              <w:t>2</w:t>
            </w:r>
            <w:r w:rsidR="007528AD">
              <w:rPr>
                <w:rFonts w:hint="eastAsia"/>
                <w:sz w:val="20"/>
                <w:lang w:eastAsia="zh-CN"/>
              </w:rPr>
              <w:t>-3</w:t>
            </w:r>
          </w:p>
        </w:tc>
        <w:tc>
          <w:tcPr>
            <w:tcW w:w="2835" w:type="dxa"/>
          </w:tcPr>
          <w:p w14:paraId="1F3914BF" w14:textId="2ECC50AE" w:rsidR="00191A23" w:rsidRPr="007528AD" w:rsidRDefault="007528AD" w:rsidP="0022554A">
            <w:pPr>
              <w:tabs>
                <w:tab w:val="left" w:pos="5400"/>
              </w:tabs>
              <w:rPr>
                <w:sz w:val="20"/>
              </w:rPr>
            </w:pPr>
            <w:r w:rsidRPr="007528AD">
              <w:rPr>
                <w:sz w:val="20"/>
              </w:rPr>
              <w:t xml:space="preserve">Lines 39 to 83 of the manuscript elaborate in detail on IgA nephropathy, acute kidney injury (AKI), and the relationship between them, and </w:t>
            </w:r>
            <w:proofErr w:type="spellStart"/>
            <w:r w:rsidRPr="007528AD">
              <w:rPr>
                <w:sz w:val="20"/>
              </w:rPr>
              <w:t>analyze</w:t>
            </w:r>
            <w:proofErr w:type="spellEnd"/>
            <w:r w:rsidRPr="007528AD">
              <w:rPr>
                <w:sz w:val="20"/>
              </w:rPr>
              <w:t xml:space="preserve"> the current state of research. It points out that the current research is flawed in that </w:t>
            </w:r>
            <w:r w:rsidRPr="007528AD">
              <w:rPr>
                <w:sz w:val="20"/>
              </w:rPr>
              <w:lastRenderedPageBreak/>
              <w:t>it fails to provide a convenient and effective clinical tool for rapidly identifying high - risk patients with IgA nephropathy complicated by AKI. In addition, it also explores the relatively new risk factors in current research.</w:t>
            </w:r>
          </w:p>
        </w:tc>
      </w:tr>
      <w:tr w:rsidR="00191A23" w:rsidRPr="0022554A" w14:paraId="6F13F5DA" w14:textId="77777777" w:rsidTr="00E341E9">
        <w:tc>
          <w:tcPr>
            <w:tcW w:w="1951" w:type="dxa"/>
          </w:tcPr>
          <w:p w14:paraId="2FB7C509" w14:textId="77777777" w:rsidR="00191A23" w:rsidRPr="0022554A" w:rsidRDefault="00191A23" w:rsidP="0022554A">
            <w:pPr>
              <w:tabs>
                <w:tab w:val="left" w:pos="5400"/>
              </w:tabs>
              <w:rPr>
                <w:bCs/>
                <w:sz w:val="20"/>
              </w:rPr>
            </w:pPr>
            <w:bookmarkStart w:id="21" w:name="bold10" w:colFirst="0" w:colLast="0"/>
            <w:bookmarkStart w:id="22" w:name="italic11" w:colFirst="0" w:colLast="0"/>
            <w:bookmarkEnd w:id="18"/>
            <w:r w:rsidRPr="0022554A">
              <w:rPr>
                <w:bCs/>
                <w:sz w:val="20"/>
              </w:rPr>
              <w:lastRenderedPageBreak/>
              <w:t>Objectives</w:t>
            </w:r>
          </w:p>
        </w:tc>
        <w:tc>
          <w:tcPr>
            <w:tcW w:w="616" w:type="dxa"/>
          </w:tcPr>
          <w:p w14:paraId="380EB3ED" w14:textId="77777777" w:rsidR="00191A23" w:rsidRPr="0022554A" w:rsidRDefault="00191A23" w:rsidP="0022554A">
            <w:pPr>
              <w:tabs>
                <w:tab w:val="left" w:pos="5400"/>
              </w:tabs>
              <w:jc w:val="center"/>
              <w:rPr>
                <w:sz w:val="20"/>
              </w:rPr>
            </w:pPr>
            <w:r w:rsidRPr="0022554A">
              <w:rPr>
                <w:sz w:val="20"/>
              </w:rPr>
              <w:t>3</w:t>
            </w:r>
          </w:p>
        </w:tc>
        <w:tc>
          <w:tcPr>
            <w:tcW w:w="8031" w:type="dxa"/>
          </w:tcPr>
          <w:p w14:paraId="271953C8"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11AFDA7A" w14:textId="1BB03F45" w:rsidR="00191A23" w:rsidRPr="0022554A" w:rsidRDefault="00F0219A" w:rsidP="0022554A">
            <w:pPr>
              <w:tabs>
                <w:tab w:val="left" w:pos="5400"/>
              </w:tabs>
              <w:rPr>
                <w:sz w:val="20"/>
              </w:rPr>
            </w:pPr>
            <w:r>
              <w:rPr>
                <w:rFonts w:hint="eastAsia"/>
                <w:sz w:val="20"/>
                <w:lang w:eastAsia="zh-CN"/>
              </w:rPr>
              <w:t>3</w:t>
            </w:r>
          </w:p>
        </w:tc>
        <w:tc>
          <w:tcPr>
            <w:tcW w:w="2835" w:type="dxa"/>
          </w:tcPr>
          <w:p w14:paraId="225D445A" w14:textId="35D4F47E" w:rsidR="00191A23" w:rsidRPr="0022554A" w:rsidRDefault="00F0219A" w:rsidP="0022554A">
            <w:pPr>
              <w:tabs>
                <w:tab w:val="left" w:pos="5400"/>
              </w:tabs>
              <w:rPr>
                <w:sz w:val="20"/>
              </w:rPr>
            </w:pPr>
            <w:r>
              <w:rPr>
                <w:rFonts w:hint="eastAsia"/>
                <w:sz w:val="20"/>
                <w:lang w:eastAsia="zh-CN"/>
              </w:rPr>
              <w:t>Th</w:t>
            </w:r>
            <w:r w:rsidRPr="00F0219A">
              <w:rPr>
                <w:sz w:val="20"/>
              </w:rPr>
              <w:t xml:space="preserve">e present study was conducted to identify the new risk factors of AKI in </w:t>
            </w:r>
            <w:proofErr w:type="spellStart"/>
            <w:r w:rsidRPr="00F0219A">
              <w:rPr>
                <w:sz w:val="20"/>
              </w:rPr>
              <w:t>IgAN</w:t>
            </w:r>
            <w:proofErr w:type="spellEnd"/>
            <w:r w:rsidRPr="00F0219A">
              <w:rPr>
                <w:sz w:val="20"/>
              </w:rPr>
              <w:t xml:space="preserve"> patients and creating clinical tools for AKI prediction.</w:t>
            </w:r>
          </w:p>
        </w:tc>
      </w:tr>
      <w:tr w:rsidR="00191A23" w:rsidRPr="0022554A" w14:paraId="3676C021" w14:textId="77777777" w:rsidTr="00E341E9">
        <w:tc>
          <w:tcPr>
            <w:tcW w:w="12157" w:type="dxa"/>
            <w:gridSpan w:val="4"/>
          </w:tcPr>
          <w:p w14:paraId="6BCB9F22" w14:textId="77777777" w:rsidR="00191A23" w:rsidRPr="0022554A" w:rsidRDefault="00191A23" w:rsidP="0022554A">
            <w:pPr>
              <w:pStyle w:val="TableSubHead"/>
              <w:tabs>
                <w:tab w:val="left" w:pos="5400"/>
              </w:tabs>
              <w:rPr>
                <w:sz w:val="20"/>
              </w:rPr>
            </w:pPr>
            <w:bookmarkStart w:id="23" w:name="bold11"/>
            <w:bookmarkStart w:id="24" w:name="italic12"/>
            <w:bookmarkEnd w:id="21"/>
            <w:bookmarkEnd w:id="22"/>
            <w:r w:rsidRPr="0022554A">
              <w:rPr>
                <w:sz w:val="20"/>
              </w:rPr>
              <w:t>Methods</w:t>
            </w:r>
          </w:p>
        </w:tc>
        <w:bookmarkEnd w:id="23"/>
        <w:bookmarkEnd w:id="24"/>
        <w:tc>
          <w:tcPr>
            <w:tcW w:w="2835" w:type="dxa"/>
          </w:tcPr>
          <w:p w14:paraId="7DA4CDC3" w14:textId="77777777" w:rsidR="00191A23" w:rsidRPr="0022554A" w:rsidRDefault="00191A23" w:rsidP="0022554A">
            <w:pPr>
              <w:pStyle w:val="TableSubHead"/>
              <w:tabs>
                <w:tab w:val="left" w:pos="5400"/>
              </w:tabs>
              <w:rPr>
                <w:sz w:val="20"/>
              </w:rPr>
            </w:pPr>
          </w:p>
        </w:tc>
      </w:tr>
      <w:tr w:rsidR="00191A23" w:rsidRPr="0022554A" w14:paraId="5D6DBB43" w14:textId="77777777" w:rsidTr="00E341E9">
        <w:tc>
          <w:tcPr>
            <w:tcW w:w="1951" w:type="dxa"/>
          </w:tcPr>
          <w:p w14:paraId="04B5896F" w14:textId="77777777" w:rsidR="00191A23" w:rsidRPr="0022554A" w:rsidRDefault="00191A23" w:rsidP="0022554A">
            <w:pPr>
              <w:tabs>
                <w:tab w:val="left" w:pos="5400"/>
              </w:tabs>
              <w:rPr>
                <w:bCs/>
                <w:sz w:val="20"/>
              </w:rPr>
            </w:pPr>
            <w:bookmarkStart w:id="25" w:name="bold12" w:colFirst="0" w:colLast="0"/>
            <w:bookmarkStart w:id="26" w:name="italic13" w:colFirst="0" w:colLast="0"/>
            <w:bookmarkStart w:id="27" w:name="_Hlk190129905"/>
            <w:bookmarkStart w:id="28" w:name="_Hlk190130592"/>
            <w:r w:rsidRPr="0022554A">
              <w:rPr>
                <w:bCs/>
                <w:sz w:val="20"/>
              </w:rPr>
              <w:t>Study design</w:t>
            </w:r>
          </w:p>
        </w:tc>
        <w:tc>
          <w:tcPr>
            <w:tcW w:w="616" w:type="dxa"/>
          </w:tcPr>
          <w:p w14:paraId="436619D3" w14:textId="77777777" w:rsidR="00191A23" w:rsidRPr="0022554A" w:rsidRDefault="00191A23" w:rsidP="0022554A">
            <w:pPr>
              <w:tabs>
                <w:tab w:val="left" w:pos="5400"/>
              </w:tabs>
              <w:jc w:val="center"/>
              <w:rPr>
                <w:sz w:val="20"/>
              </w:rPr>
            </w:pPr>
            <w:r w:rsidRPr="0022554A">
              <w:rPr>
                <w:sz w:val="20"/>
              </w:rPr>
              <w:t>4</w:t>
            </w:r>
          </w:p>
        </w:tc>
        <w:tc>
          <w:tcPr>
            <w:tcW w:w="8031" w:type="dxa"/>
          </w:tcPr>
          <w:p w14:paraId="3EF99DD3"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09289042" w14:textId="0E5C60D5" w:rsidR="00191A23" w:rsidRPr="0022554A" w:rsidRDefault="007D60E5" w:rsidP="0022554A">
            <w:pPr>
              <w:tabs>
                <w:tab w:val="left" w:pos="5400"/>
              </w:tabs>
              <w:rPr>
                <w:sz w:val="20"/>
                <w:lang w:eastAsia="zh-CN"/>
              </w:rPr>
            </w:pPr>
            <w:r>
              <w:rPr>
                <w:rFonts w:hint="eastAsia"/>
                <w:sz w:val="20"/>
                <w:lang w:eastAsia="zh-CN"/>
              </w:rPr>
              <w:t>3</w:t>
            </w:r>
          </w:p>
        </w:tc>
        <w:tc>
          <w:tcPr>
            <w:tcW w:w="2835" w:type="dxa"/>
          </w:tcPr>
          <w:p w14:paraId="7432D6F7" w14:textId="2643EA5D" w:rsidR="00191A23" w:rsidRPr="0022554A" w:rsidRDefault="008A190E" w:rsidP="0022554A">
            <w:pPr>
              <w:tabs>
                <w:tab w:val="left" w:pos="5400"/>
              </w:tabs>
              <w:rPr>
                <w:sz w:val="20"/>
              </w:rPr>
            </w:pPr>
            <w:r w:rsidRPr="008A190E">
              <w:rPr>
                <w:sz w:val="20"/>
              </w:rPr>
              <w:t>Located on lines 88-89 of the manuscript</w:t>
            </w:r>
            <w:r w:rsidR="00A07E10" w:rsidRPr="00A07E10">
              <w:rPr>
                <w:rFonts w:hint="eastAsia"/>
                <w:sz w:val="20"/>
              </w:rPr>
              <w:t>: "</w:t>
            </w:r>
            <w:r w:rsidR="00A07E10">
              <w:rPr>
                <w:rFonts w:hint="eastAsia"/>
              </w:rPr>
              <w:t xml:space="preserve"> </w:t>
            </w:r>
            <w:r w:rsidR="00A07E10" w:rsidRPr="00A07E10">
              <w:rPr>
                <w:rFonts w:hint="eastAsia"/>
                <w:sz w:val="20"/>
              </w:rPr>
              <w:t xml:space="preserve">We conducted a retrospective analysis of adults (age </w:t>
            </w:r>
            <w:r w:rsidR="00A07E10" w:rsidRPr="00A07E10">
              <w:rPr>
                <w:rFonts w:hint="eastAsia"/>
                <w:sz w:val="20"/>
              </w:rPr>
              <w:t>≥</w:t>
            </w:r>
            <w:r w:rsidR="00A07E10" w:rsidRPr="00A07E10">
              <w:rPr>
                <w:rFonts w:hint="eastAsia"/>
                <w:sz w:val="20"/>
              </w:rPr>
              <w:t xml:space="preserve"> 18 years) diagnosed with </w:t>
            </w:r>
            <w:proofErr w:type="spellStart"/>
            <w:r w:rsidR="00A07E10" w:rsidRPr="00A07E10">
              <w:rPr>
                <w:rFonts w:hint="eastAsia"/>
                <w:sz w:val="20"/>
              </w:rPr>
              <w:t>IgAN</w:t>
            </w:r>
            <w:proofErr w:type="spellEnd"/>
            <w:r w:rsidR="00A07E10" w:rsidRPr="00A07E10">
              <w:rPr>
                <w:rFonts w:hint="eastAsia"/>
                <w:sz w:val="20"/>
              </w:rPr>
              <w:t xml:space="preserve"> through kidney biopsy at the First Hospital of Jilin University from January 2010 to October 2022." This content clarifies that the study design is a retrospective analysis, elaborates on the selection criteria of the research subjects (adults diagnosed with </w:t>
            </w:r>
            <w:proofErr w:type="spellStart"/>
            <w:r w:rsidR="00A07E10" w:rsidRPr="00A07E10">
              <w:rPr>
                <w:rFonts w:hint="eastAsia"/>
                <w:sz w:val="20"/>
              </w:rPr>
              <w:t>IgAN</w:t>
            </w:r>
            <w:proofErr w:type="spellEnd"/>
            <w:r w:rsidR="00A07E10" w:rsidRPr="00A07E10">
              <w:rPr>
                <w:rFonts w:hint="eastAsia"/>
                <w:sz w:val="20"/>
              </w:rPr>
              <w:t xml:space="preserve"> through kidney biopsy at the First Hospital of Jilin University and aged </w:t>
            </w:r>
            <w:r w:rsidR="00A07E10" w:rsidRPr="00A07E10">
              <w:rPr>
                <w:rFonts w:hint="eastAsia"/>
                <w:sz w:val="20"/>
              </w:rPr>
              <w:t>≥</w:t>
            </w:r>
            <w:r w:rsidR="00A07E10" w:rsidRPr="00A07E10">
              <w:rPr>
                <w:rFonts w:hint="eastAsia"/>
                <w:sz w:val="20"/>
              </w:rPr>
              <w:t xml:space="preserve"> 1</w:t>
            </w:r>
            <w:r w:rsidR="00A07E10" w:rsidRPr="00A07E10">
              <w:rPr>
                <w:sz w:val="20"/>
              </w:rPr>
              <w:t xml:space="preserve">8 years), and presents the time </w:t>
            </w:r>
            <w:r w:rsidR="00A07E10" w:rsidRPr="00A07E10">
              <w:rPr>
                <w:sz w:val="20"/>
              </w:rPr>
              <w:lastRenderedPageBreak/>
              <w:t>frame of the study (from January 2010 to October 2022), preliminarily presenting the key elements of the study design.</w:t>
            </w:r>
          </w:p>
        </w:tc>
      </w:tr>
      <w:tr w:rsidR="00191A23" w:rsidRPr="0022554A" w14:paraId="74DDE0A6" w14:textId="77777777" w:rsidTr="00E341E9">
        <w:tc>
          <w:tcPr>
            <w:tcW w:w="1951" w:type="dxa"/>
          </w:tcPr>
          <w:p w14:paraId="55B5EB28" w14:textId="77777777" w:rsidR="00191A23" w:rsidRPr="0022554A" w:rsidRDefault="00191A23" w:rsidP="0022554A">
            <w:pPr>
              <w:tabs>
                <w:tab w:val="left" w:pos="5400"/>
              </w:tabs>
              <w:rPr>
                <w:bCs/>
                <w:sz w:val="20"/>
              </w:rPr>
            </w:pPr>
            <w:bookmarkStart w:id="29" w:name="bold13" w:colFirst="0" w:colLast="0"/>
            <w:bookmarkStart w:id="30" w:name="italic14" w:colFirst="0" w:colLast="0"/>
            <w:bookmarkEnd w:id="25"/>
            <w:bookmarkEnd w:id="26"/>
            <w:bookmarkEnd w:id="27"/>
            <w:r w:rsidRPr="0022554A">
              <w:rPr>
                <w:bCs/>
                <w:sz w:val="20"/>
              </w:rPr>
              <w:lastRenderedPageBreak/>
              <w:t>Setting</w:t>
            </w:r>
          </w:p>
        </w:tc>
        <w:tc>
          <w:tcPr>
            <w:tcW w:w="616" w:type="dxa"/>
          </w:tcPr>
          <w:p w14:paraId="3F0B3400" w14:textId="77777777" w:rsidR="00191A23" w:rsidRPr="0022554A" w:rsidRDefault="00191A23" w:rsidP="0022554A">
            <w:pPr>
              <w:tabs>
                <w:tab w:val="left" w:pos="5400"/>
              </w:tabs>
              <w:jc w:val="center"/>
              <w:rPr>
                <w:sz w:val="20"/>
              </w:rPr>
            </w:pPr>
            <w:r w:rsidRPr="0022554A">
              <w:rPr>
                <w:sz w:val="20"/>
              </w:rPr>
              <w:t>5</w:t>
            </w:r>
          </w:p>
        </w:tc>
        <w:tc>
          <w:tcPr>
            <w:tcW w:w="8031" w:type="dxa"/>
          </w:tcPr>
          <w:p w14:paraId="2BD6AF01"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66048C62" w14:textId="0ACD263C" w:rsidR="00191A23" w:rsidRPr="0022554A" w:rsidRDefault="00731D54" w:rsidP="0022554A">
            <w:pPr>
              <w:tabs>
                <w:tab w:val="left" w:pos="5400"/>
              </w:tabs>
              <w:rPr>
                <w:rFonts w:hint="eastAsia"/>
                <w:sz w:val="20"/>
                <w:lang w:eastAsia="zh-CN"/>
              </w:rPr>
            </w:pPr>
            <w:r>
              <w:rPr>
                <w:rFonts w:hint="eastAsia"/>
                <w:sz w:val="20"/>
                <w:lang w:eastAsia="zh-CN"/>
              </w:rPr>
              <w:t>3-4</w:t>
            </w:r>
            <w:r w:rsidR="002D2804">
              <w:rPr>
                <w:rFonts w:hint="eastAsia"/>
                <w:sz w:val="20"/>
                <w:lang w:eastAsia="zh-CN"/>
              </w:rPr>
              <w:t xml:space="preserve"> and </w:t>
            </w:r>
            <w:r w:rsidR="008A190E">
              <w:rPr>
                <w:rFonts w:hint="eastAsia"/>
                <w:sz w:val="20"/>
                <w:lang w:eastAsia="zh-CN"/>
              </w:rPr>
              <w:t>6</w:t>
            </w:r>
          </w:p>
        </w:tc>
        <w:tc>
          <w:tcPr>
            <w:tcW w:w="2835" w:type="dxa"/>
          </w:tcPr>
          <w:p w14:paraId="12C71452" w14:textId="47DB67F4" w:rsidR="008A190E" w:rsidRPr="008A190E" w:rsidRDefault="008A190E" w:rsidP="008A190E">
            <w:pPr>
              <w:tabs>
                <w:tab w:val="left" w:pos="5400"/>
              </w:tabs>
              <w:rPr>
                <w:rFonts w:hint="eastAsia"/>
                <w:sz w:val="20"/>
                <w:lang w:val="en-US" w:eastAsia="zh-CN"/>
              </w:rPr>
            </w:pPr>
            <w:r w:rsidRPr="008A190E">
              <w:rPr>
                <w:rFonts w:hint="eastAsia"/>
                <w:sz w:val="20"/>
                <w:lang w:val="en-US" w:eastAsia="zh-CN"/>
              </w:rPr>
              <w:t xml:space="preserve">Located on lines 88 - 89 of the manuscript: </w:t>
            </w:r>
            <w:r w:rsidR="00705140">
              <w:rPr>
                <w:sz w:val="20"/>
                <w:lang w:val="en-US" w:eastAsia="zh-CN"/>
              </w:rPr>
              <w:t>“</w:t>
            </w:r>
            <w:r w:rsidRPr="008A190E">
              <w:rPr>
                <w:rFonts w:hint="eastAsia"/>
                <w:sz w:val="20"/>
                <w:lang w:val="en-US" w:eastAsia="zh-CN"/>
              </w:rPr>
              <w:t xml:space="preserve">We conducted a retrospective analysis of adults (age </w:t>
            </w:r>
            <w:r w:rsidRPr="008A190E">
              <w:rPr>
                <w:rFonts w:hint="eastAsia"/>
                <w:sz w:val="20"/>
                <w:lang w:val="en-US" w:eastAsia="zh-CN"/>
              </w:rPr>
              <w:t>≥</w:t>
            </w:r>
            <w:r w:rsidRPr="008A190E">
              <w:rPr>
                <w:rFonts w:hint="eastAsia"/>
                <w:sz w:val="20"/>
                <w:lang w:val="en-US" w:eastAsia="zh-CN"/>
              </w:rPr>
              <w:t xml:space="preserve"> 18 years) diagnosed with </w:t>
            </w:r>
            <w:proofErr w:type="spellStart"/>
            <w:r w:rsidRPr="008A190E">
              <w:rPr>
                <w:rFonts w:hint="eastAsia"/>
                <w:sz w:val="20"/>
                <w:lang w:val="en-US" w:eastAsia="zh-CN"/>
              </w:rPr>
              <w:t>IgAN</w:t>
            </w:r>
            <w:proofErr w:type="spellEnd"/>
            <w:r w:rsidRPr="008A190E">
              <w:rPr>
                <w:rFonts w:hint="eastAsia"/>
                <w:sz w:val="20"/>
                <w:lang w:val="en-US" w:eastAsia="zh-CN"/>
              </w:rPr>
              <w:t xml:space="preserve"> through kidney biopsy at the First Hospital of Jilin University from January 2010 to October 2022.</w:t>
            </w:r>
            <w:r w:rsidR="00705140">
              <w:rPr>
                <w:sz w:val="20"/>
                <w:lang w:val="en-US" w:eastAsia="zh-CN"/>
              </w:rPr>
              <w:t>”</w:t>
            </w:r>
            <w:r w:rsidRPr="008A190E">
              <w:rPr>
                <w:rFonts w:hint="eastAsia"/>
                <w:sz w:val="20"/>
                <w:lang w:val="en-US" w:eastAsia="zh-CN"/>
              </w:rPr>
              <w:t xml:space="preserve"> This part clearly defines </w:t>
            </w:r>
            <w:r w:rsidRPr="008A190E">
              <w:rPr>
                <w:sz w:val="20"/>
                <w:lang w:val="en-US" w:eastAsia="zh-CN"/>
              </w:rPr>
              <w:t>the research location as the First Hospital of Jilin University, and the data collection period (which is equivalent to the exposure time in a retrospective study) is from January 2010 to October 2022. Since this is a retrospective study, there is no prosp</w:t>
            </w:r>
            <w:r w:rsidRPr="008A190E">
              <w:rPr>
                <w:rFonts w:hint="eastAsia"/>
                <w:sz w:val="20"/>
                <w:lang w:val="en-US" w:eastAsia="zh-CN"/>
              </w:rPr>
              <w:t xml:space="preserve">ective recruitment period. Instead, eligible adult </w:t>
            </w:r>
            <w:proofErr w:type="spellStart"/>
            <w:r w:rsidRPr="008A190E">
              <w:rPr>
                <w:rFonts w:hint="eastAsia"/>
                <w:sz w:val="20"/>
                <w:lang w:val="en-US" w:eastAsia="zh-CN"/>
              </w:rPr>
              <w:t>IgAN</w:t>
            </w:r>
            <w:proofErr w:type="spellEnd"/>
            <w:r w:rsidRPr="008A190E">
              <w:rPr>
                <w:rFonts w:hint="eastAsia"/>
                <w:sz w:val="20"/>
                <w:lang w:val="en-US" w:eastAsia="zh-CN"/>
              </w:rPr>
              <w:t xml:space="preserve"> patients (aged </w:t>
            </w:r>
            <w:r w:rsidRPr="008A190E">
              <w:rPr>
                <w:rFonts w:hint="eastAsia"/>
                <w:sz w:val="20"/>
                <w:lang w:val="en-US" w:eastAsia="zh-CN"/>
              </w:rPr>
              <w:t>≥</w:t>
            </w:r>
            <w:r w:rsidRPr="008A190E">
              <w:rPr>
                <w:rFonts w:hint="eastAsia"/>
                <w:sz w:val="20"/>
                <w:lang w:val="en-US" w:eastAsia="zh-CN"/>
              </w:rPr>
              <w:t xml:space="preserve"> 18 years and diagnosed with </w:t>
            </w:r>
            <w:proofErr w:type="spellStart"/>
            <w:r w:rsidRPr="008A190E">
              <w:rPr>
                <w:rFonts w:hint="eastAsia"/>
                <w:sz w:val="20"/>
                <w:lang w:val="en-US" w:eastAsia="zh-CN"/>
              </w:rPr>
              <w:t>IgAN</w:t>
            </w:r>
            <w:proofErr w:type="spellEnd"/>
            <w:r w:rsidRPr="008A190E">
              <w:rPr>
                <w:rFonts w:hint="eastAsia"/>
                <w:sz w:val="20"/>
                <w:lang w:val="en-US" w:eastAsia="zh-CN"/>
              </w:rPr>
              <w:t xml:space="preserve"> through kidney biopsy) were selected from existing medical records.</w:t>
            </w:r>
          </w:p>
          <w:p w14:paraId="7A633C04" w14:textId="2265944A" w:rsidR="008A190E" w:rsidRPr="008A190E" w:rsidRDefault="008A190E" w:rsidP="008A190E">
            <w:pPr>
              <w:tabs>
                <w:tab w:val="left" w:pos="5400"/>
              </w:tabs>
              <w:rPr>
                <w:sz w:val="20"/>
                <w:lang w:val="en-US" w:eastAsia="zh-CN"/>
              </w:rPr>
            </w:pPr>
            <w:r w:rsidRPr="008A190E">
              <w:rPr>
                <w:sz w:val="20"/>
                <w:lang w:val="en-US" w:eastAsia="zh-CN"/>
              </w:rPr>
              <w:t xml:space="preserve">Located on line 153 of the manuscript: </w:t>
            </w:r>
            <w:r w:rsidR="00705140">
              <w:rPr>
                <w:sz w:val="20"/>
                <w:lang w:val="en-US" w:eastAsia="zh-CN"/>
              </w:rPr>
              <w:t>“</w:t>
            </w:r>
            <w:r w:rsidRPr="008A190E">
              <w:rPr>
                <w:sz w:val="20"/>
                <w:lang w:val="en-US" w:eastAsia="zh-CN"/>
              </w:rPr>
              <w:t>Follow-up time was reported in months.</w:t>
            </w:r>
            <w:r w:rsidR="00705140">
              <w:rPr>
                <w:sz w:val="20"/>
                <w:lang w:val="en-US" w:eastAsia="zh-CN"/>
              </w:rPr>
              <w:t>”</w:t>
            </w:r>
            <w:r w:rsidRPr="008A190E">
              <w:rPr>
                <w:sz w:val="20"/>
                <w:lang w:val="en-US" w:eastAsia="zh-CN"/>
              </w:rPr>
              <w:t xml:space="preserve"> This indicates that the unit of measurement for the follow-up </w:t>
            </w:r>
            <w:r w:rsidRPr="008A190E">
              <w:rPr>
                <w:sz w:val="20"/>
                <w:lang w:val="en-US" w:eastAsia="zh-CN"/>
              </w:rPr>
              <w:lastRenderedPageBreak/>
              <w:t xml:space="preserve">time is months, and the follow-up starts from the time when patients were diagnosed with </w:t>
            </w:r>
            <w:proofErr w:type="spellStart"/>
            <w:r w:rsidRPr="008A190E">
              <w:rPr>
                <w:sz w:val="20"/>
                <w:lang w:val="en-US" w:eastAsia="zh-CN"/>
              </w:rPr>
              <w:t>IgAN</w:t>
            </w:r>
            <w:proofErr w:type="spellEnd"/>
            <w:r w:rsidRPr="008A190E">
              <w:rPr>
                <w:sz w:val="20"/>
                <w:lang w:val="en-US" w:eastAsia="zh-CN"/>
              </w:rPr>
              <w:t xml:space="preserve"> (during the period from January 2010 to October 2022).</w:t>
            </w:r>
          </w:p>
          <w:p w14:paraId="578A6F54" w14:textId="65188C8E" w:rsidR="00191A23" w:rsidRPr="008A190E" w:rsidRDefault="008A190E" w:rsidP="008A190E">
            <w:pPr>
              <w:tabs>
                <w:tab w:val="left" w:pos="5400"/>
              </w:tabs>
              <w:rPr>
                <w:rFonts w:hint="eastAsia"/>
                <w:sz w:val="20"/>
                <w:lang w:val="en-US" w:eastAsia="zh-CN"/>
              </w:rPr>
            </w:pPr>
            <w:r w:rsidRPr="008A190E">
              <w:rPr>
                <w:sz w:val="20"/>
                <w:lang w:val="en-US" w:eastAsia="zh-CN"/>
              </w:rPr>
              <w:t xml:space="preserve">Located on lines 206 - 207 of the manuscript: </w:t>
            </w:r>
            <w:r w:rsidR="00705140">
              <w:rPr>
                <w:sz w:val="20"/>
                <w:lang w:val="en-US" w:eastAsia="zh-CN"/>
              </w:rPr>
              <w:t>“</w:t>
            </w:r>
            <w:r w:rsidRPr="008A190E">
              <w:rPr>
                <w:sz w:val="20"/>
                <w:lang w:val="en-US" w:eastAsia="zh-CN"/>
              </w:rPr>
              <w:t>The median follow-up time of participants was 26.00 months.</w:t>
            </w:r>
            <w:r w:rsidR="00705140">
              <w:rPr>
                <w:sz w:val="20"/>
                <w:lang w:val="en-US" w:eastAsia="zh-CN"/>
              </w:rPr>
              <w:t>”</w:t>
            </w:r>
            <w:r w:rsidRPr="008A190E">
              <w:rPr>
                <w:sz w:val="20"/>
                <w:lang w:val="en-US" w:eastAsia="zh-CN"/>
              </w:rPr>
              <w:t xml:space="preserve"> This supplements crucial information, determining that the median follow-up duration of the participants is 26.00 months. Overall, this study was conducted at the First Hospital of Jilin University, focusing on </w:t>
            </w:r>
            <w:proofErr w:type="spellStart"/>
            <w:r w:rsidRPr="008A190E">
              <w:rPr>
                <w:sz w:val="20"/>
                <w:lang w:val="en-US" w:eastAsia="zh-CN"/>
              </w:rPr>
              <w:t>IgAN</w:t>
            </w:r>
            <w:proofErr w:type="spellEnd"/>
            <w:r w:rsidRPr="008A190E">
              <w:rPr>
                <w:sz w:val="20"/>
                <w:lang w:val="en-US" w:eastAsia="zh-CN"/>
              </w:rPr>
              <w:t xml:space="preserve"> patients diagnosed from January 2010 to October 2022. It has clearly defined the research location, the scope of data collection time, the unit of measurement for follow-up time, and the median follow-up duration, which are all related to the research setting</w:t>
            </w:r>
            <w:r>
              <w:rPr>
                <w:rFonts w:hint="eastAsia"/>
                <w:sz w:val="20"/>
                <w:lang w:val="en-US" w:eastAsia="zh-CN"/>
              </w:rPr>
              <w:t>.</w:t>
            </w:r>
          </w:p>
        </w:tc>
      </w:tr>
      <w:tr w:rsidR="00191A23" w:rsidRPr="0022554A" w14:paraId="619ED08E" w14:textId="77777777" w:rsidTr="00E341E9">
        <w:tc>
          <w:tcPr>
            <w:tcW w:w="1951" w:type="dxa"/>
            <w:vMerge w:val="restart"/>
          </w:tcPr>
          <w:p w14:paraId="7F003929" w14:textId="77777777" w:rsidR="00191A23" w:rsidRPr="0022554A" w:rsidRDefault="00191A23" w:rsidP="0022554A">
            <w:pPr>
              <w:tabs>
                <w:tab w:val="left" w:pos="5400"/>
              </w:tabs>
              <w:rPr>
                <w:bCs/>
                <w:sz w:val="20"/>
              </w:rPr>
            </w:pPr>
            <w:bookmarkStart w:id="31" w:name="_Hlk190131365"/>
            <w:bookmarkEnd w:id="28"/>
            <w:bookmarkEnd w:id="29"/>
            <w:bookmarkEnd w:id="30"/>
            <w:r w:rsidRPr="0022554A">
              <w:rPr>
                <w:bCs/>
                <w:sz w:val="20"/>
              </w:rPr>
              <w:lastRenderedPageBreak/>
              <w:t>Participants</w:t>
            </w:r>
          </w:p>
        </w:tc>
        <w:tc>
          <w:tcPr>
            <w:tcW w:w="616" w:type="dxa"/>
            <w:vMerge w:val="restart"/>
          </w:tcPr>
          <w:p w14:paraId="469DD9A6" w14:textId="77777777" w:rsidR="00191A23" w:rsidRPr="0022554A" w:rsidRDefault="00191A23" w:rsidP="0022554A">
            <w:pPr>
              <w:tabs>
                <w:tab w:val="left" w:pos="5400"/>
              </w:tabs>
              <w:jc w:val="center"/>
              <w:rPr>
                <w:sz w:val="20"/>
              </w:rPr>
            </w:pPr>
            <w:r w:rsidRPr="0022554A">
              <w:rPr>
                <w:sz w:val="20"/>
              </w:rPr>
              <w:t>6</w:t>
            </w:r>
          </w:p>
        </w:tc>
        <w:tc>
          <w:tcPr>
            <w:tcW w:w="8031" w:type="dxa"/>
          </w:tcPr>
          <w:p w14:paraId="30B3839B"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71CCA407"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52BD8EC3"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4D1AB02C" w14:textId="1936BA3C" w:rsidR="00191A23" w:rsidRPr="0022554A" w:rsidRDefault="007D60E5" w:rsidP="0022554A">
            <w:pPr>
              <w:tabs>
                <w:tab w:val="left" w:pos="5400"/>
              </w:tabs>
              <w:rPr>
                <w:sz w:val="20"/>
                <w:lang w:eastAsia="zh-CN"/>
              </w:rPr>
            </w:pPr>
            <w:r>
              <w:rPr>
                <w:rFonts w:hint="eastAsia"/>
                <w:sz w:val="20"/>
                <w:lang w:eastAsia="zh-CN"/>
              </w:rPr>
              <w:t>3</w:t>
            </w:r>
          </w:p>
        </w:tc>
        <w:tc>
          <w:tcPr>
            <w:tcW w:w="2835" w:type="dxa"/>
          </w:tcPr>
          <w:p w14:paraId="13E55FF4" w14:textId="5F961CE0" w:rsidR="00191A23" w:rsidRPr="008A190E" w:rsidRDefault="008A190E" w:rsidP="0022554A">
            <w:pPr>
              <w:tabs>
                <w:tab w:val="left" w:pos="5400"/>
              </w:tabs>
              <w:rPr>
                <w:rFonts w:hint="eastAsia"/>
                <w:sz w:val="20"/>
                <w:lang w:eastAsia="zh-CN"/>
              </w:rPr>
            </w:pPr>
            <w:bookmarkStart w:id="32" w:name="OLE_LINK39"/>
            <w:r w:rsidRPr="008A190E">
              <w:rPr>
                <w:sz w:val="20"/>
              </w:rPr>
              <w:t xml:space="preserve">Located on lines 90 - 95 of the manuscript: </w:t>
            </w:r>
            <w:bookmarkEnd w:id="32"/>
            <w:r w:rsidR="00705140">
              <w:rPr>
                <w:sz w:val="20"/>
                <w:lang w:eastAsia="zh-CN"/>
              </w:rPr>
              <w:t>“</w:t>
            </w:r>
            <w:r w:rsidRPr="008A190E">
              <w:rPr>
                <w:sz w:val="20"/>
              </w:rPr>
              <w:t xml:space="preserve">Among the initial 1,077 patients, 357 were excluded based on specific criteria: (1) estimated glomerular filtration rate (eGFR) &lt; 15 mL/min/1.73 m² (n </w:t>
            </w:r>
            <w:r w:rsidRPr="008A190E">
              <w:rPr>
                <w:sz w:val="20"/>
              </w:rPr>
              <w:lastRenderedPageBreak/>
              <w:t xml:space="preserve">= 31); (2) presence of autoimmune diseases (n = 14); (3) secondary </w:t>
            </w:r>
            <w:proofErr w:type="spellStart"/>
            <w:r w:rsidRPr="008A190E">
              <w:rPr>
                <w:sz w:val="20"/>
              </w:rPr>
              <w:t>IgAN</w:t>
            </w:r>
            <w:proofErr w:type="spellEnd"/>
            <w:r w:rsidRPr="008A190E">
              <w:rPr>
                <w:sz w:val="20"/>
              </w:rPr>
              <w:t xml:space="preserve"> conditions, such as hepatitis virus - related glomerulonephritis and allergic purpura nephritis (n = 96); (4) acute infectious diseases or cancer (n = 14); (5) incomplete or missing study data (n = 202). Ultimately, 720 eligible </w:t>
            </w:r>
            <w:proofErr w:type="spellStart"/>
            <w:r w:rsidRPr="008A190E">
              <w:rPr>
                <w:sz w:val="20"/>
              </w:rPr>
              <w:t>IgAN</w:t>
            </w:r>
            <w:proofErr w:type="spellEnd"/>
            <w:r w:rsidRPr="008A190E">
              <w:rPr>
                <w:sz w:val="20"/>
              </w:rPr>
              <w:t xml:space="preserve"> patients were included in the study (Fig. S1).</w:t>
            </w:r>
            <w:r w:rsidR="00705140">
              <w:rPr>
                <w:sz w:val="20"/>
                <w:lang w:eastAsia="zh-CN"/>
              </w:rPr>
              <w:t>”</w:t>
            </w:r>
            <w:r w:rsidRPr="008A190E">
              <w:rPr>
                <w:sz w:val="20"/>
              </w:rPr>
              <w:t xml:space="preserve"> Although this part does not directly elaborate on the inclusion criteria, it implies them through the exclusion criteria.</w:t>
            </w:r>
          </w:p>
        </w:tc>
      </w:tr>
      <w:tr w:rsidR="00191A23" w:rsidRPr="0022554A" w14:paraId="18664B12" w14:textId="77777777" w:rsidTr="00E341E9">
        <w:tc>
          <w:tcPr>
            <w:tcW w:w="1951" w:type="dxa"/>
            <w:vMerge/>
          </w:tcPr>
          <w:p w14:paraId="24B3CB47" w14:textId="77777777" w:rsidR="00191A23" w:rsidRPr="0022554A" w:rsidRDefault="00191A23" w:rsidP="0022554A">
            <w:pPr>
              <w:tabs>
                <w:tab w:val="left" w:pos="5400"/>
              </w:tabs>
              <w:rPr>
                <w:bCs/>
                <w:sz w:val="20"/>
              </w:rPr>
            </w:pPr>
            <w:bookmarkStart w:id="33" w:name="bold14" w:colFirst="0" w:colLast="0"/>
            <w:bookmarkStart w:id="34" w:name="italic15" w:colFirst="0" w:colLast="0"/>
          </w:p>
        </w:tc>
        <w:tc>
          <w:tcPr>
            <w:tcW w:w="616" w:type="dxa"/>
            <w:vMerge/>
          </w:tcPr>
          <w:p w14:paraId="208A27A8" w14:textId="77777777" w:rsidR="00191A23" w:rsidRPr="0022554A" w:rsidRDefault="00191A23" w:rsidP="0022554A">
            <w:pPr>
              <w:tabs>
                <w:tab w:val="left" w:pos="5400"/>
              </w:tabs>
              <w:jc w:val="center"/>
              <w:rPr>
                <w:sz w:val="20"/>
              </w:rPr>
            </w:pPr>
          </w:p>
        </w:tc>
        <w:tc>
          <w:tcPr>
            <w:tcW w:w="8031" w:type="dxa"/>
          </w:tcPr>
          <w:p w14:paraId="6F2008BB" w14:textId="77777777" w:rsidR="00191A23" w:rsidRPr="0022554A" w:rsidRDefault="00191A23" w:rsidP="0022554A">
            <w:pPr>
              <w:tabs>
                <w:tab w:val="left" w:pos="5400"/>
              </w:tabs>
              <w:rPr>
                <w:sz w:val="20"/>
              </w:rPr>
            </w:pPr>
            <w:r w:rsidRPr="0022554A">
              <w:rPr>
                <w:sz w:val="20"/>
              </w:rPr>
              <w:t>(</w:t>
            </w:r>
            <w:bookmarkStart w:id="35" w:name="OLE_LINK18"/>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3AFBF0AF"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bookmarkEnd w:id="35"/>
          </w:p>
        </w:tc>
        <w:tc>
          <w:tcPr>
            <w:tcW w:w="1559" w:type="dxa"/>
          </w:tcPr>
          <w:p w14:paraId="6E4D4210" w14:textId="7DB9A21E" w:rsidR="00191A23" w:rsidRPr="0022554A" w:rsidRDefault="008A190E" w:rsidP="0022554A">
            <w:pPr>
              <w:tabs>
                <w:tab w:val="left" w:pos="5400"/>
              </w:tabs>
              <w:rPr>
                <w:sz w:val="20"/>
                <w:lang w:eastAsia="zh-CN"/>
              </w:rPr>
            </w:pPr>
            <w:bookmarkStart w:id="36" w:name="OLE_LINK45"/>
            <w:r w:rsidRPr="008A190E">
              <w:rPr>
                <w:sz w:val="20"/>
                <w:lang w:eastAsia="zh-CN"/>
              </w:rPr>
              <w:t>Not applicable</w:t>
            </w:r>
            <w:bookmarkEnd w:id="36"/>
          </w:p>
        </w:tc>
        <w:tc>
          <w:tcPr>
            <w:tcW w:w="2835" w:type="dxa"/>
          </w:tcPr>
          <w:p w14:paraId="24EC4D82" w14:textId="575C265E" w:rsidR="00191A23" w:rsidRPr="008A190E" w:rsidRDefault="008A190E" w:rsidP="0022554A">
            <w:pPr>
              <w:tabs>
                <w:tab w:val="left" w:pos="5400"/>
              </w:tabs>
              <w:rPr>
                <w:sz w:val="20"/>
              </w:rPr>
            </w:pPr>
            <w:r w:rsidRPr="008A190E">
              <w:rPr>
                <w:sz w:val="20"/>
              </w:rPr>
              <w:t>This study is not a matched study.</w:t>
            </w:r>
          </w:p>
        </w:tc>
      </w:tr>
      <w:tr w:rsidR="00191A23" w:rsidRPr="0022554A" w14:paraId="0CD571BB" w14:textId="77777777" w:rsidTr="00E341E9">
        <w:tc>
          <w:tcPr>
            <w:tcW w:w="1951" w:type="dxa"/>
          </w:tcPr>
          <w:p w14:paraId="275AB906" w14:textId="77777777" w:rsidR="00191A23" w:rsidRPr="0022554A" w:rsidRDefault="00191A23" w:rsidP="0022554A">
            <w:pPr>
              <w:tabs>
                <w:tab w:val="left" w:pos="5400"/>
              </w:tabs>
              <w:rPr>
                <w:bCs/>
                <w:sz w:val="20"/>
              </w:rPr>
            </w:pPr>
            <w:bookmarkStart w:id="37" w:name="bold16" w:colFirst="0" w:colLast="0"/>
            <w:bookmarkStart w:id="38" w:name="italic17" w:colFirst="0" w:colLast="0"/>
            <w:bookmarkEnd w:id="31"/>
            <w:bookmarkEnd w:id="33"/>
            <w:bookmarkEnd w:id="34"/>
            <w:r w:rsidRPr="0022554A">
              <w:rPr>
                <w:bCs/>
                <w:sz w:val="20"/>
              </w:rPr>
              <w:t>Variables</w:t>
            </w:r>
          </w:p>
        </w:tc>
        <w:tc>
          <w:tcPr>
            <w:tcW w:w="616" w:type="dxa"/>
          </w:tcPr>
          <w:p w14:paraId="5E78D998" w14:textId="77777777" w:rsidR="00191A23" w:rsidRPr="0022554A" w:rsidRDefault="00191A23" w:rsidP="0022554A">
            <w:pPr>
              <w:tabs>
                <w:tab w:val="left" w:pos="5400"/>
              </w:tabs>
              <w:jc w:val="center"/>
              <w:rPr>
                <w:sz w:val="20"/>
              </w:rPr>
            </w:pPr>
            <w:r w:rsidRPr="0022554A">
              <w:rPr>
                <w:sz w:val="20"/>
              </w:rPr>
              <w:t>7</w:t>
            </w:r>
          </w:p>
        </w:tc>
        <w:tc>
          <w:tcPr>
            <w:tcW w:w="8031" w:type="dxa"/>
          </w:tcPr>
          <w:p w14:paraId="5D4081D2"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0EC13AD2" w14:textId="3C76950A" w:rsidR="00191A23" w:rsidRPr="0022554A" w:rsidRDefault="007D60E5" w:rsidP="0022554A">
            <w:pPr>
              <w:tabs>
                <w:tab w:val="left" w:pos="5400"/>
              </w:tabs>
              <w:rPr>
                <w:sz w:val="20"/>
                <w:lang w:eastAsia="zh-CN"/>
              </w:rPr>
            </w:pPr>
            <w:r>
              <w:rPr>
                <w:rFonts w:hint="eastAsia"/>
                <w:sz w:val="20"/>
                <w:lang w:eastAsia="zh-CN"/>
              </w:rPr>
              <w:t>3-4</w:t>
            </w:r>
          </w:p>
        </w:tc>
        <w:tc>
          <w:tcPr>
            <w:tcW w:w="2835" w:type="dxa"/>
          </w:tcPr>
          <w:p w14:paraId="25FA427D" w14:textId="4292F482" w:rsidR="00191A23" w:rsidRPr="00705140" w:rsidRDefault="00705140" w:rsidP="0022554A">
            <w:pPr>
              <w:tabs>
                <w:tab w:val="left" w:pos="5400"/>
              </w:tabs>
              <w:rPr>
                <w:rFonts w:hint="eastAsia"/>
                <w:sz w:val="20"/>
                <w:lang w:val="en-US" w:eastAsia="zh-CN"/>
              </w:rPr>
            </w:pPr>
            <w:r w:rsidRPr="00705140">
              <w:rPr>
                <w:sz w:val="20"/>
              </w:rPr>
              <w:t>Lines 97 - 112 of this manuscript elaborate in detail on the collection of clinical and laboratory data, covering various clinical indicators and laboratory test data relevant to the study. Lines 113 - 117 of the manuscript introduce the methods and indicators for renal pathological assessment.</w:t>
            </w:r>
            <w:r>
              <w:rPr>
                <w:rFonts w:hint="eastAsia"/>
                <w:sz w:val="20"/>
                <w:lang w:eastAsia="zh-CN"/>
              </w:rPr>
              <w:t xml:space="preserve"> </w:t>
            </w:r>
            <w:r w:rsidRPr="00705140">
              <w:rPr>
                <w:sz w:val="20"/>
                <w:lang w:val="en-US" w:eastAsia="zh-CN"/>
              </w:rPr>
              <w:t xml:space="preserve">Lines 119 - 128 of the manuscript introduce the diagnostic </w:t>
            </w:r>
            <w:r w:rsidRPr="00705140">
              <w:rPr>
                <w:sz w:val="20"/>
                <w:lang w:val="en-US" w:eastAsia="zh-CN"/>
              </w:rPr>
              <w:lastRenderedPageBreak/>
              <w:t>definition of the outcome event AKI</w:t>
            </w:r>
            <w:r>
              <w:rPr>
                <w:rFonts w:hint="eastAsia"/>
                <w:sz w:val="20"/>
                <w:lang w:val="en-US" w:eastAsia="zh-CN"/>
              </w:rPr>
              <w:t xml:space="preserve">: </w:t>
            </w:r>
            <w:r>
              <w:rPr>
                <w:sz w:val="20"/>
                <w:lang w:val="en-US" w:eastAsia="zh-CN"/>
              </w:rPr>
              <w:t>“</w:t>
            </w:r>
            <w:r w:rsidRPr="00705140">
              <w:rPr>
                <w:rFonts w:hint="eastAsia"/>
                <w:sz w:val="20"/>
                <w:lang w:val="en-US" w:eastAsia="zh-CN"/>
              </w:rPr>
              <w:t xml:space="preserve">Acute kidney injury (AKI)is defined according to the Kidney Disease(Kellum &amp; </w:t>
            </w:r>
            <w:proofErr w:type="spellStart"/>
            <w:r w:rsidRPr="00705140">
              <w:rPr>
                <w:rFonts w:hint="eastAsia"/>
                <w:sz w:val="20"/>
                <w:lang w:val="en-US" w:eastAsia="zh-CN"/>
              </w:rPr>
              <w:t>Lameire</w:t>
            </w:r>
            <w:proofErr w:type="spellEnd"/>
            <w:r w:rsidRPr="00705140">
              <w:rPr>
                <w:rFonts w:hint="eastAsia"/>
                <w:sz w:val="20"/>
                <w:lang w:val="en-US" w:eastAsia="zh-CN"/>
              </w:rPr>
              <w:t xml:space="preserve"> 2013): Improving Global Outcomes (KDIGO) criteria: an increase in </w:t>
            </w:r>
            <w:proofErr w:type="spellStart"/>
            <w:r w:rsidRPr="00705140">
              <w:rPr>
                <w:rFonts w:hint="eastAsia"/>
                <w:sz w:val="20"/>
                <w:lang w:val="en-US" w:eastAsia="zh-CN"/>
              </w:rPr>
              <w:t>SCr</w:t>
            </w:r>
            <w:proofErr w:type="spellEnd"/>
            <w:r w:rsidRPr="00705140">
              <w:rPr>
                <w:rFonts w:hint="eastAsia"/>
                <w:sz w:val="20"/>
                <w:lang w:val="en-US" w:eastAsia="zh-CN"/>
              </w:rPr>
              <w:t xml:space="preserve"> of </w:t>
            </w:r>
            <w:r w:rsidRPr="00705140">
              <w:rPr>
                <w:rFonts w:hint="eastAsia"/>
                <w:sz w:val="20"/>
                <w:lang w:val="en-US" w:eastAsia="zh-CN"/>
              </w:rPr>
              <w:t>≥</w:t>
            </w:r>
            <w:r w:rsidRPr="00705140">
              <w:rPr>
                <w:rFonts w:hint="eastAsia"/>
                <w:sz w:val="20"/>
                <w:lang w:val="en-US" w:eastAsia="zh-CN"/>
              </w:rPr>
              <w:t xml:space="preserve"> 0.3 mg/dl (</w:t>
            </w:r>
            <w:r w:rsidRPr="00705140">
              <w:rPr>
                <w:rFonts w:hint="eastAsia"/>
                <w:sz w:val="20"/>
                <w:lang w:val="en-US" w:eastAsia="zh-CN"/>
              </w:rPr>
              <w:t>≥</w:t>
            </w:r>
            <w:r w:rsidRPr="00705140">
              <w:rPr>
                <w:rFonts w:hint="eastAsia"/>
                <w:sz w:val="20"/>
                <w:lang w:val="en-US" w:eastAsia="zh-CN"/>
              </w:rPr>
              <w:t xml:space="preserve"> 26.5 </w:t>
            </w:r>
            <w:r w:rsidRPr="00705140">
              <w:rPr>
                <w:rFonts w:hint="eastAsia"/>
                <w:sz w:val="20"/>
                <w:lang w:val="en-US" w:eastAsia="zh-CN"/>
              </w:rPr>
              <w:t>μ</w:t>
            </w:r>
            <w:r w:rsidRPr="00705140">
              <w:rPr>
                <w:rFonts w:hint="eastAsia"/>
                <w:sz w:val="20"/>
                <w:lang w:val="en-US" w:eastAsia="zh-CN"/>
              </w:rPr>
              <w:t xml:space="preserve">mol/l) within 48 hours; an increase in </w:t>
            </w:r>
            <w:proofErr w:type="spellStart"/>
            <w:r w:rsidRPr="00705140">
              <w:rPr>
                <w:rFonts w:hint="eastAsia"/>
                <w:sz w:val="20"/>
                <w:lang w:val="en-US" w:eastAsia="zh-CN"/>
              </w:rPr>
              <w:t>SCr</w:t>
            </w:r>
            <w:proofErr w:type="spellEnd"/>
            <w:r w:rsidRPr="00705140">
              <w:rPr>
                <w:rFonts w:hint="eastAsia"/>
                <w:sz w:val="20"/>
                <w:lang w:val="en-US" w:eastAsia="zh-CN"/>
              </w:rPr>
              <w:t xml:space="preserve"> of </w:t>
            </w:r>
            <w:r w:rsidRPr="00705140">
              <w:rPr>
                <w:rFonts w:hint="eastAsia"/>
                <w:sz w:val="20"/>
                <w:lang w:val="en-US" w:eastAsia="zh-CN"/>
              </w:rPr>
              <w:t>≥</w:t>
            </w:r>
            <w:r w:rsidRPr="00705140">
              <w:rPr>
                <w:rFonts w:hint="eastAsia"/>
                <w:sz w:val="20"/>
                <w:lang w:val="en-US" w:eastAsia="zh-CN"/>
              </w:rPr>
              <w:t xml:space="preserve"> 1.5 times baseline, known or </w:t>
            </w:r>
            <w:r w:rsidRPr="00705140">
              <w:rPr>
                <w:sz w:val="20"/>
                <w:lang w:val="en-US" w:eastAsia="zh-CN"/>
              </w:rPr>
              <w:t xml:space="preserve">presumed to have occurred within the past 7 days; or a urine output of &lt; 0.5 ml/kg/h for more than 6 hours. Due to the difficulty in obtaining urine output measurements, AKI is diagnosed based on changes in </w:t>
            </w:r>
            <w:proofErr w:type="spellStart"/>
            <w:r w:rsidRPr="00705140">
              <w:rPr>
                <w:sz w:val="20"/>
                <w:lang w:val="en-US" w:eastAsia="zh-CN"/>
              </w:rPr>
              <w:t>SCr</w:t>
            </w:r>
            <w:proofErr w:type="spellEnd"/>
            <w:r w:rsidRPr="00705140">
              <w:rPr>
                <w:sz w:val="20"/>
                <w:lang w:val="en-US" w:eastAsia="zh-CN"/>
              </w:rPr>
              <w:t xml:space="preserve"> levels in this study. For patients with AKI, all data were collected both before and after the onset of the condition. Each patient was hospitalized at least once between 2010 and 2020, with the first hospitalization during this period defined as the index admission. Since AKI may begin to develop prior to the index admission, the baseline </w:t>
            </w:r>
            <w:proofErr w:type="spellStart"/>
            <w:r w:rsidRPr="00705140">
              <w:rPr>
                <w:sz w:val="20"/>
                <w:lang w:val="en-US" w:eastAsia="zh-CN"/>
              </w:rPr>
              <w:t>SCr</w:t>
            </w:r>
            <w:proofErr w:type="spellEnd"/>
            <w:r w:rsidRPr="00705140">
              <w:rPr>
                <w:sz w:val="20"/>
                <w:lang w:val="en-US" w:eastAsia="zh-CN"/>
              </w:rPr>
              <w:t xml:space="preserve"> assessment period was extended to include outpatient values obtained </w:t>
            </w:r>
            <w:r w:rsidRPr="00705140">
              <w:rPr>
                <w:sz w:val="20"/>
                <w:lang w:val="en-US" w:eastAsia="zh-CN"/>
              </w:rPr>
              <w:lastRenderedPageBreak/>
              <w:t>before hospitalization.</w:t>
            </w:r>
            <w:r>
              <w:rPr>
                <w:sz w:val="20"/>
                <w:lang w:val="en-US" w:eastAsia="zh-CN"/>
              </w:rPr>
              <w:t>”</w:t>
            </w:r>
            <w:r w:rsidR="00787DE5">
              <w:t xml:space="preserve"> </w:t>
            </w:r>
            <w:r w:rsidR="00787DE5" w:rsidRPr="00787DE5">
              <w:rPr>
                <w:sz w:val="20"/>
                <w:lang w:val="en-US" w:eastAsia="zh-CN"/>
              </w:rPr>
              <w:t>Lines 133 - 150 introduce the definitions and calculation methods of other composite indicators, namely Systemic immune - inflammation index (SII), Systemic inflammation response index (SIRI), The pan - immune inflammation value (PIV), lymphocyte to C - reactive protein ratio (LCR), neutrophil to lymphocyte ratio (NLR), lymphocyte to monocyte ratio (LMR), platelet to lymphocyte ratio (PLR), neutrophil to high - density lipoprotein cholesterol ratio (NHR), monocyte to high - density lipoprotein cholesterol ratio (MHR), lymphocyte to high - density lipoprotein cholesterol ratio (LHR), platelet to high - density lipoprotein cholesterol ratio (PHR), The prognostic nutritional index (PNI), The geriatric nutritional risk index (GNRI).</w:t>
            </w:r>
          </w:p>
        </w:tc>
      </w:tr>
      <w:tr w:rsidR="00191A23" w:rsidRPr="0022554A" w14:paraId="60F7E29A" w14:textId="77777777" w:rsidTr="00E341E9">
        <w:trPr>
          <w:trHeight w:val="294"/>
        </w:trPr>
        <w:tc>
          <w:tcPr>
            <w:tcW w:w="1951" w:type="dxa"/>
          </w:tcPr>
          <w:p w14:paraId="7378CEE0" w14:textId="77777777" w:rsidR="00191A23" w:rsidRPr="0022554A" w:rsidRDefault="00191A23" w:rsidP="0022554A">
            <w:pPr>
              <w:tabs>
                <w:tab w:val="left" w:pos="5400"/>
              </w:tabs>
              <w:rPr>
                <w:bCs/>
                <w:sz w:val="20"/>
              </w:rPr>
            </w:pPr>
            <w:bookmarkStart w:id="39" w:name="bold17"/>
            <w:bookmarkStart w:id="40" w:name="italic18"/>
            <w:bookmarkEnd w:id="37"/>
            <w:bookmarkEnd w:id="38"/>
            <w:r w:rsidRPr="0022554A">
              <w:rPr>
                <w:bCs/>
                <w:sz w:val="20"/>
              </w:rPr>
              <w:lastRenderedPageBreak/>
              <w:t>Data sources/</w:t>
            </w:r>
            <w:bookmarkStart w:id="41" w:name="bold18"/>
            <w:bookmarkStart w:id="42" w:name="italic19"/>
            <w:bookmarkEnd w:id="39"/>
            <w:bookmarkEnd w:id="40"/>
            <w:r>
              <w:rPr>
                <w:bCs/>
                <w:sz w:val="20"/>
              </w:rPr>
              <w:t xml:space="preserve"> </w:t>
            </w:r>
            <w:r w:rsidRPr="0022554A">
              <w:rPr>
                <w:bCs/>
                <w:sz w:val="20"/>
              </w:rPr>
              <w:t>measurement</w:t>
            </w:r>
            <w:bookmarkEnd w:id="41"/>
            <w:bookmarkEnd w:id="42"/>
          </w:p>
        </w:tc>
        <w:tc>
          <w:tcPr>
            <w:tcW w:w="616" w:type="dxa"/>
          </w:tcPr>
          <w:p w14:paraId="7CA54D33" w14:textId="77777777" w:rsidR="00191A23" w:rsidRPr="0022554A" w:rsidRDefault="00191A23" w:rsidP="0022554A">
            <w:pPr>
              <w:tabs>
                <w:tab w:val="left" w:pos="5400"/>
              </w:tabs>
              <w:jc w:val="center"/>
              <w:rPr>
                <w:sz w:val="20"/>
              </w:rPr>
            </w:pPr>
            <w:r w:rsidRPr="0022554A">
              <w:rPr>
                <w:sz w:val="20"/>
              </w:rPr>
              <w:t>8</w:t>
            </w:r>
            <w:bookmarkStart w:id="43" w:name="bold19"/>
            <w:r w:rsidRPr="0022554A">
              <w:rPr>
                <w:bCs/>
                <w:sz w:val="20"/>
              </w:rPr>
              <w:t>*</w:t>
            </w:r>
            <w:bookmarkEnd w:id="43"/>
          </w:p>
        </w:tc>
        <w:tc>
          <w:tcPr>
            <w:tcW w:w="8031" w:type="dxa"/>
          </w:tcPr>
          <w:p w14:paraId="6C8F9808"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5BC86A82" w14:textId="4BC8B5A2" w:rsidR="00191A23" w:rsidRPr="00E1011D" w:rsidRDefault="007D60E5" w:rsidP="0022554A">
            <w:pPr>
              <w:tabs>
                <w:tab w:val="left" w:pos="5400"/>
              </w:tabs>
              <w:rPr>
                <w:iCs/>
                <w:sz w:val="20"/>
                <w:lang w:eastAsia="zh-CN"/>
              </w:rPr>
            </w:pPr>
            <w:r w:rsidRPr="00E1011D">
              <w:rPr>
                <w:rFonts w:hint="eastAsia"/>
                <w:iCs/>
                <w:sz w:val="20"/>
                <w:lang w:eastAsia="zh-CN"/>
              </w:rPr>
              <w:t>4</w:t>
            </w:r>
          </w:p>
        </w:tc>
        <w:tc>
          <w:tcPr>
            <w:tcW w:w="2835" w:type="dxa"/>
          </w:tcPr>
          <w:p w14:paraId="32AAE3F4" w14:textId="31BBEEFB" w:rsidR="00191A23" w:rsidRPr="00E1011D" w:rsidRDefault="00787DE5" w:rsidP="0022554A">
            <w:pPr>
              <w:tabs>
                <w:tab w:val="left" w:pos="5400"/>
              </w:tabs>
              <w:rPr>
                <w:rFonts w:hint="eastAsia"/>
                <w:iCs/>
                <w:sz w:val="20"/>
                <w:lang w:val="en-US" w:eastAsia="zh-CN"/>
              </w:rPr>
            </w:pPr>
            <w:r w:rsidRPr="00E1011D">
              <w:rPr>
                <w:iCs/>
                <w:sz w:val="20"/>
              </w:rPr>
              <w:t>Lines 124 - 128 of the manuscript indicate the time period for data collection required for the diagnosis of AKI</w:t>
            </w:r>
            <w:r w:rsidRPr="00E1011D">
              <w:rPr>
                <w:rFonts w:hint="eastAsia"/>
                <w:iCs/>
                <w:sz w:val="20"/>
                <w:lang w:eastAsia="zh-CN"/>
              </w:rPr>
              <w:t>:</w:t>
            </w:r>
            <w:r w:rsidRPr="00E1011D">
              <w:rPr>
                <w:iCs/>
                <w:sz w:val="20"/>
                <w:lang w:eastAsia="zh-CN"/>
              </w:rPr>
              <w:t>”</w:t>
            </w:r>
            <w:r w:rsidRPr="00E1011D">
              <w:rPr>
                <w:rFonts w:ascii="Times" w:hAnsi="Times"/>
                <w:iCs/>
                <w:lang w:val="de-CH" w:eastAsia="de-CH"/>
              </w:rPr>
              <w:t xml:space="preserve"> </w:t>
            </w:r>
            <w:r w:rsidRPr="00E1011D">
              <w:rPr>
                <w:iCs/>
                <w:sz w:val="20"/>
                <w:lang w:val="de-CH" w:eastAsia="zh-CN"/>
              </w:rPr>
              <w:t xml:space="preserve">For patients with AKI, </w:t>
            </w:r>
            <w:r w:rsidRPr="00E1011D">
              <w:rPr>
                <w:iCs/>
                <w:sz w:val="20"/>
                <w:lang w:val="de-CH" w:eastAsia="zh-CN"/>
              </w:rPr>
              <w:lastRenderedPageBreak/>
              <w:t>all data were collected both before and after the onset of the condition. Each patient was hospitalized at least once between 2010 and 2020, with the first hospitalization during this period defined as the index admission. Since AKI may begin to develop prior to the index admission, the baseline SCr assessment period was extended to include outpatient values obtained before hospitalization.</w:t>
            </w:r>
            <w:r w:rsidRPr="00E1011D">
              <w:rPr>
                <w:iCs/>
                <w:sz w:val="20"/>
                <w:lang w:eastAsia="zh-CN"/>
              </w:rPr>
              <w:t>”</w:t>
            </w:r>
          </w:p>
        </w:tc>
      </w:tr>
      <w:tr w:rsidR="00191A23" w:rsidRPr="0022554A" w14:paraId="6A5A3F92" w14:textId="77777777" w:rsidTr="00E341E9">
        <w:tc>
          <w:tcPr>
            <w:tcW w:w="1951" w:type="dxa"/>
          </w:tcPr>
          <w:p w14:paraId="20BD1B6B" w14:textId="77777777" w:rsidR="00191A23" w:rsidRPr="0022554A" w:rsidRDefault="00191A23" w:rsidP="0022554A">
            <w:pPr>
              <w:tabs>
                <w:tab w:val="left" w:pos="5400"/>
              </w:tabs>
              <w:rPr>
                <w:bCs/>
                <w:color w:val="000000"/>
                <w:sz w:val="20"/>
              </w:rPr>
            </w:pPr>
            <w:bookmarkStart w:id="44" w:name="bold20" w:colFirst="0" w:colLast="0"/>
            <w:bookmarkStart w:id="45" w:name="italic20" w:colFirst="0" w:colLast="0"/>
            <w:r w:rsidRPr="0022554A">
              <w:rPr>
                <w:bCs/>
                <w:color w:val="000000"/>
                <w:sz w:val="20"/>
              </w:rPr>
              <w:lastRenderedPageBreak/>
              <w:t>Bias</w:t>
            </w:r>
          </w:p>
        </w:tc>
        <w:tc>
          <w:tcPr>
            <w:tcW w:w="616" w:type="dxa"/>
          </w:tcPr>
          <w:p w14:paraId="11D199D0" w14:textId="77777777" w:rsidR="00191A23" w:rsidRPr="0022554A" w:rsidRDefault="00191A23" w:rsidP="0022554A">
            <w:pPr>
              <w:tabs>
                <w:tab w:val="left" w:pos="5400"/>
              </w:tabs>
              <w:jc w:val="center"/>
              <w:rPr>
                <w:sz w:val="20"/>
              </w:rPr>
            </w:pPr>
            <w:r w:rsidRPr="0022554A">
              <w:rPr>
                <w:sz w:val="20"/>
              </w:rPr>
              <w:t>9</w:t>
            </w:r>
          </w:p>
        </w:tc>
        <w:tc>
          <w:tcPr>
            <w:tcW w:w="8031" w:type="dxa"/>
          </w:tcPr>
          <w:p w14:paraId="31066E0C"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5EB87FA6" w14:textId="6BE41AFA" w:rsidR="00191A23" w:rsidRPr="0022554A" w:rsidRDefault="007D60E5" w:rsidP="0022554A">
            <w:pPr>
              <w:tabs>
                <w:tab w:val="left" w:pos="5400"/>
              </w:tabs>
              <w:rPr>
                <w:color w:val="000000"/>
                <w:sz w:val="20"/>
                <w:lang w:eastAsia="zh-CN"/>
              </w:rPr>
            </w:pPr>
            <w:r>
              <w:rPr>
                <w:rFonts w:hint="eastAsia"/>
                <w:color w:val="000000"/>
                <w:sz w:val="20"/>
                <w:lang w:eastAsia="zh-CN"/>
              </w:rPr>
              <w:t>5</w:t>
            </w:r>
          </w:p>
        </w:tc>
        <w:tc>
          <w:tcPr>
            <w:tcW w:w="2835" w:type="dxa"/>
          </w:tcPr>
          <w:p w14:paraId="6705F378" w14:textId="0317F34E" w:rsidR="00191A23" w:rsidRPr="0022554A" w:rsidRDefault="00F155B8" w:rsidP="0022554A">
            <w:pPr>
              <w:tabs>
                <w:tab w:val="left" w:pos="5400"/>
              </w:tabs>
              <w:rPr>
                <w:rFonts w:hint="eastAsia"/>
                <w:color w:val="000000"/>
                <w:sz w:val="20"/>
                <w:lang w:eastAsia="zh-CN"/>
              </w:rPr>
            </w:pPr>
            <w:r w:rsidRPr="00F155B8">
              <w:rPr>
                <w:color w:val="000000"/>
                <w:sz w:val="20"/>
              </w:rPr>
              <w:t xml:space="preserve">Located on lines </w:t>
            </w:r>
            <w:r>
              <w:rPr>
                <w:rFonts w:hint="eastAsia"/>
                <w:color w:val="000000"/>
                <w:sz w:val="20"/>
                <w:lang w:eastAsia="zh-CN"/>
              </w:rPr>
              <w:t>179</w:t>
            </w:r>
            <w:r w:rsidRPr="00F155B8">
              <w:rPr>
                <w:color w:val="000000"/>
                <w:sz w:val="20"/>
              </w:rPr>
              <w:t xml:space="preserve"> - </w:t>
            </w:r>
            <w:r>
              <w:rPr>
                <w:rFonts w:hint="eastAsia"/>
                <w:color w:val="000000"/>
                <w:sz w:val="20"/>
                <w:lang w:eastAsia="zh-CN"/>
              </w:rPr>
              <w:t>181</w:t>
            </w:r>
            <w:r w:rsidRPr="00F155B8">
              <w:rPr>
                <w:color w:val="000000"/>
                <w:sz w:val="20"/>
              </w:rPr>
              <w:t xml:space="preserve"> of the manuscript:</w:t>
            </w:r>
            <w:r w:rsidR="002C3983" w:rsidRPr="002C3983">
              <w:rPr>
                <w:color w:val="000000"/>
                <w:sz w:val="20"/>
              </w:rPr>
              <w:t xml:space="preserve"> </w:t>
            </w:r>
            <w:r w:rsidR="002C3983">
              <w:rPr>
                <w:color w:val="000000"/>
                <w:sz w:val="20"/>
                <w:lang w:eastAsia="zh-CN"/>
              </w:rPr>
              <w:t>“</w:t>
            </w:r>
            <w:r w:rsidRPr="00F155B8">
              <w:rPr>
                <w:color w:val="000000"/>
                <w:sz w:val="20"/>
                <w:lang w:eastAsia="zh-CN"/>
              </w:rPr>
              <w:t>To enhance the reliability of the assessment, both calibration curves and DCA were performed with 1000 iterations using the bootstrap method.</w:t>
            </w:r>
            <w:r w:rsidR="002C3983">
              <w:rPr>
                <w:color w:val="000000"/>
                <w:sz w:val="20"/>
                <w:lang w:eastAsia="zh-CN"/>
              </w:rPr>
              <w:t>”</w:t>
            </w:r>
          </w:p>
        </w:tc>
      </w:tr>
      <w:tr w:rsidR="00191A23" w:rsidRPr="0022554A" w14:paraId="7C690786" w14:textId="77777777" w:rsidTr="00E341E9">
        <w:tc>
          <w:tcPr>
            <w:tcW w:w="1951" w:type="dxa"/>
          </w:tcPr>
          <w:p w14:paraId="2345C358" w14:textId="77777777" w:rsidR="00191A23" w:rsidRPr="0022554A" w:rsidRDefault="00191A23" w:rsidP="0022554A">
            <w:pPr>
              <w:tabs>
                <w:tab w:val="left" w:pos="5400"/>
              </w:tabs>
              <w:rPr>
                <w:bCs/>
                <w:sz w:val="20"/>
              </w:rPr>
            </w:pPr>
            <w:bookmarkStart w:id="46" w:name="bold21" w:colFirst="0" w:colLast="0"/>
            <w:bookmarkStart w:id="47" w:name="italic21" w:colFirst="0" w:colLast="0"/>
            <w:bookmarkEnd w:id="44"/>
            <w:bookmarkEnd w:id="45"/>
            <w:r w:rsidRPr="0022554A">
              <w:rPr>
                <w:bCs/>
                <w:sz w:val="20"/>
              </w:rPr>
              <w:t>Study size</w:t>
            </w:r>
          </w:p>
        </w:tc>
        <w:tc>
          <w:tcPr>
            <w:tcW w:w="616" w:type="dxa"/>
          </w:tcPr>
          <w:p w14:paraId="4663D1BF" w14:textId="77777777" w:rsidR="00191A23" w:rsidRPr="0022554A" w:rsidRDefault="00191A23" w:rsidP="0022554A">
            <w:pPr>
              <w:tabs>
                <w:tab w:val="left" w:pos="5400"/>
              </w:tabs>
              <w:jc w:val="center"/>
              <w:rPr>
                <w:sz w:val="20"/>
              </w:rPr>
            </w:pPr>
            <w:r w:rsidRPr="0022554A">
              <w:rPr>
                <w:sz w:val="20"/>
              </w:rPr>
              <w:t>10</w:t>
            </w:r>
          </w:p>
        </w:tc>
        <w:tc>
          <w:tcPr>
            <w:tcW w:w="8031" w:type="dxa"/>
          </w:tcPr>
          <w:p w14:paraId="7E7270DD"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0760BE62" w14:textId="0C02025A" w:rsidR="00191A23" w:rsidRPr="0022554A" w:rsidRDefault="007D60E5" w:rsidP="0022554A">
            <w:pPr>
              <w:tabs>
                <w:tab w:val="left" w:pos="5400"/>
              </w:tabs>
              <w:rPr>
                <w:sz w:val="20"/>
                <w:lang w:eastAsia="zh-CN"/>
              </w:rPr>
            </w:pPr>
            <w:r>
              <w:rPr>
                <w:rFonts w:hint="eastAsia"/>
                <w:sz w:val="20"/>
                <w:lang w:eastAsia="zh-CN"/>
              </w:rPr>
              <w:t>3</w:t>
            </w:r>
          </w:p>
        </w:tc>
        <w:tc>
          <w:tcPr>
            <w:tcW w:w="2835" w:type="dxa"/>
          </w:tcPr>
          <w:p w14:paraId="25745EE4" w14:textId="47EBD621" w:rsidR="00191A23" w:rsidRPr="0022554A" w:rsidRDefault="00F155B8" w:rsidP="0022554A">
            <w:pPr>
              <w:tabs>
                <w:tab w:val="left" w:pos="5400"/>
              </w:tabs>
              <w:rPr>
                <w:rFonts w:hint="eastAsia"/>
                <w:sz w:val="20"/>
                <w:lang w:eastAsia="zh-CN"/>
              </w:rPr>
            </w:pPr>
            <w:bookmarkStart w:id="48" w:name="OLE_LINK59"/>
            <w:r w:rsidRPr="00F155B8">
              <w:rPr>
                <w:sz w:val="20"/>
                <w:lang w:eastAsia="zh-CN"/>
              </w:rPr>
              <w:t xml:space="preserve">Located on lines 90 - 95 of the manuscript: </w:t>
            </w:r>
            <w:r>
              <w:rPr>
                <w:sz w:val="20"/>
                <w:lang w:eastAsia="zh-CN"/>
              </w:rPr>
              <w:t>“</w:t>
            </w:r>
            <w:r w:rsidRPr="00F155B8">
              <w:rPr>
                <w:sz w:val="20"/>
                <w:lang w:eastAsia="zh-CN"/>
              </w:rPr>
              <w:t xml:space="preserve">Among the initial 1,077 patients, 357 were excluded based on specific criteria: (1) estimated glomerular filtration rate (eGFR) &lt; 15 mL/min/1.73 m² (n = 31); (2) presence of autoimmune diseases (n = 14); (3) secondary </w:t>
            </w:r>
            <w:proofErr w:type="spellStart"/>
            <w:r w:rsidRPr="00F155B8">
              <w:rPr>
                <w:sz w:val="20"/>
                <w:lang w:eastAsia="zh-CN"/>
              </w:rPr>
              <w:t>IgAN</w:t>
            </w:r>
            <w:proofErr w:type="spellEnd"/>
            <w:r w:rsidRPr="00F155B8">
              <w:rPr>
                <w:sz w:val="20"/>
                <w:lang w:eastAsia="zh-CN"/>
              </w:rPr>
              <w:t xml:space="preserve"> conditions, such as hepatitis virus-related </w:t>
            </w:r>
            <w:r w:rsidRPr="00F155B8">
              <w:rPr>
                <w:sz w:val="20"/>
                <w:lang w:eastAsia="zh-CN"/>
              </w:rPr>
              <w:lastRenderedPageBreak/>
              <w:t xml:space="preserve">glomerulonephritis and allergic purpura nephritis (n = 96); (4) acute infectious diseases or cancer (n = 14); (5) incomplete or missing study data (n = 202). Ultimately, 720 eligible </w:t>
            </w:r>
            <w:proofErr w:type="spellStart"/>
            <w:r w:rsidRPr="00F155B8">
              <w:rPr>
                <w:sz w:val="20"/>
                <w:lang w:eastAsia="zh-CN"/>
              </w:rPr>
              <w:t>IgAN</w:t>
            </w:r>
            <w:proofErr w:type="spellEnd"/>
            <w:r w:rsidRPr="00F155B8">
              <w:rPr>
                <w:sz w:val="20"/>
                <w:lang w:eastAsia="zh-CN"/>
              </w:rPr>
              <w:t xml:space="preserve"> patients were included in the study (Fig. S1).</w:t>
            </w:r>
            <w:r>
              <w:rPr>
                <w:sz w:val="20"/>
                <w:lang w:eastAsia="zh-CN"/>
              </w:rPr>
              <w:t>”</w:t>
            </w:r>
            <w:bookmarkEnd w:id="48"/>
          </w:p>
        </w:tc>
      </w:tr>
    </w:tbl>
    <w:p w14:paraId="64529072" w14:textId="77777777" w:rsidR="00191A23" w:rsidRDefault="00191A23">
      <w:bookmarkStart w:id="49" w:name="bold22"/>
      <w:bookmarkStart w:id="50" w:name="italic22"/>
      <w:bookmarkEnd w:id="46"/>
      <w:bookmarkEnd w:id="47"/>
      <w:r w:rsidRPr="004A32C8">
        <w:rPr>
          <w:sz w:val="16"/>
          <w:szCs w:val="16"/>
        </w:rPr>
        <w:lastRenderedPageBreak/>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7FEFA824" w14:textId="77777777" w:rsidTr="00517788">
        <w:tc>
          <w:tcPr>
            <w:tcW w:w="1521" w:type="dxa"/>
          </w:tcPr>
          <w:p w14:paraId="4E7C4D7D" w14:textId="77777777" w:rsidR="00191A23" w:rsidRPr="0022554A" w:rsidRDefault="00191A23" w:rsidP="00191A23">
            <w:pPr>
              <w:tabs>
                <w:tab w:val="left" w:pos="5400"/>
              </w:tabs>
              <w:rPr>
                <w:bCs/>
                <w:sz w:val="20"/>
              </w:rPr>
            </w:pPr>
            <w:r w:rsidRPr="0022554A">
              <w:rPr>
                <w:bCs/>
                <w:sz w:val="20"/>
              </w:rPr>
              <w:lastRenderedPageBreak/>
              <w:t>Quantitative</w:t>
            </w:r>
            <w:bookmarkStart w:id="51" w:name="bold23"/>
            <w:bookmarkStart w:id="52" w:name="italic23"/>
            <w:bookmarkEnd w:id="49"/>
            <w:bookmarkEnd w:id="50"/>
            <w:r w:rsidRPr="0022554A">
              <w:rPr>
                <w:bCs/>
                <w:sz w:val="20"/>
              </w:rPr>
              <w:t xml:space="preserve"> variables</w:t>
            </w:r>
            <w:bookmarkEnd w:id="51"/>
            <w:bookmarkEnd w:id="52"/>
          </w:p>
        </w:tc>
        <w:tc>
          <w:tcPr>
            <w:tcW w:w="749" w:type="dxa"/>
          </w:tcPr>
          <w:p w14:paraId="11B599B7" w14:textId="77777777" w:rsidR="00191A23" w:rsidRPr="0022554A" w:rsidRDefault="00191A23" w:rsidP="00191A23">
            <w:pPr>
              <w:tabs>
                <w:tab w:val="left" w:pos="5400"/>
              </w:tabs>
              <w:jc w:val="center"/>
              <w:rPr>
                <w:sz w:val="20"/>
              </w:rPr>
            </w:pPr>
            <w:r w:rsidRPr="0022554A">
              <w:rPr>
                <w:sz w:val="20"/>
              </w:rPr>
              <w:t>11</w:t>
            </w:r>
          </w:p>
        </w:tc>
        <w:tc>
          <w:tcPr>
            <w:tcW w:w="8328" w:type="dxa"/>
          </w:tcPr>
          <w:p w14:paraId="7ED6CB22"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113BC666" w14:textId="256AA1AA" w:rsidR="00191A23" w:rsidRPr="0022554A" w:rsidRDefault="000D2A6A" w:rsidP="00191A23">
            <w:pPr>
              <w:tabs>
                <w:tab w:val="left" w:pos="5400"/>
              </w:tabs>
              <w:rPr>
                <w:sz w:val="20"/>
                <w:lang w:eastAsia="zh-CN"/>
              </w:rPr>
            </w:pPr>
            <w:r>
              <w:rPr>
                <w:rFonts w:hint="eastAsia"/>
                <w:sz w:val="20"/>
                <w:lang w:eastAsia="zh-CN"/>
              </w:rPr>
              <w:t>3</w:t>
            </w:r>
            <w:r w:rsidR="002D2804">
              <w:rPr>
                <w:rFonts w:hint="eastAsia"/>
                <w:sz w:val="20"/>
                <w:lang w:eastAsia="zh-CN"/>
              </w:rPr>
              <w:t xml:space="preserve"> and</w:t>
            </w:r>
            <w:r>
              <w:rPr>
                <w:rFonts w:hint="eastAsia"/>
                <w:sz w:val="20"/>
                <w:lang w:eastAsia="zh-CN"/>
              </w:rPr>
              <w:t xml:space="preserve"> </w:t>
            </w:r>
            <w:r w:rsidR="007D60E5">
              <w:rPr>
                <w:rFonts w:hint="eastAsia"/>
                <w:sz w:val="20"/>
                <w:lang w:eastAsia="zh-CN"/>
              </w:rPr>
              <w:t>5</w:t>
            </w:r>
          </w:p>
        </w:tc>
        <w:tc>
          <w:tcPr>
            <w:tcW w:w="3118" w:type="dxa"/>
          </w:tcPr>
          <w:p w14:paraId="06D71DD4" w14:textId="5CBB8ED1" w:rsidR="000D2A6A" w:rsidRDefault="000D2A6A" w:rsidP="00191A23">
            <w:pPr>
              <w:tabs>
                <w:tab w:val="left" w:pos="5400"/>
              </w:tabs>
              <w:rPr>
                <w:rFonts w:hint="eastAsia"/>
                <w:sz w:val="20"/>
                <w:lang w:eastAsia="zh-CN"/>
              </w:rPr>
            </w:pPr>
            <w:r w:rsidRPr="000D2A6A">
              <w:rPr>
                <w:sz w:val="20"/>
              </w:rPr>
              <w:t>Located on lines 9</w:t>
            </w:r>
            <w:r>
              <w:rPr>
                <w:rFonts w:hint="eastAsia"/>
                <w:sz w:val="20"/>
                <w:lang w:eastAsia="zh-CN"/>
              </w:rPr>
              <w:t>9</w:t>
            </w:r>
            <w:r w:rsidRPr="000D2A6A">
              <w:rPr>
                <w:sz w:val="20"/>
              </w:rPr>
              <w:t xml:space="preserve"> - </w:t>
            </w:r>
            <w:r>
              <w:rPr>
                <w:rFonts w:hint="eastAsia"/>
                <w:sz w:val="20"/>
                <w:lang w:eastAsia="zh-CN"/>
              </w:rPr>
              <w:t>100</w:t>
            </w:r>
            <w:r w:rsidRPr="000D2A6A">
              <w:rPr>
                <w:sz w:val="20"/>
              </w:rPr>
              <w:t xml:space="preserve"> of the manuscript</w:t>
            </w:r>
            <w:r>
              <w:rPr>
                <w:rFonts w:hint="eastAsia"/>
                <w:sz w:val="20"/>
                <w:lang w:eastAsia="zh-CN"/>
              </w:rPr>
              <w:t>:</w:t>
            </w:r>
            <w:r>
              <w:rPr>
                <w:sz w:val="20"/>
                <w:lang w:eastAsia="zh-CN"/>
              </w:rPr>
              <w:t xml:space="preserve"> </w:t>
            </w:r>
            <w:r w:rsidR="00CD77CF">
              <w:rPr>
                <w:sz w:val="20"/>
                <w:lang w:eastAsia="zh-CN"/>
              </w:rPr>
              <w:t>“</w:t>
            </w:r>
            <w:r w:rsidRPr="000D2A6A">
              <w:rPr>
                <w:sz w:val="20"/>
                <w:lang w:eastAsia="zh-CN"/>
              </w:rPr>
              <w:t>bo</w:t>
            </w:r>
            <w:r>
              <w:rPr>
                <w:rFonts w:hint="eastAsia"/>
                <w:sz w:val="20"/>
                <w:lang w:eastAsia="zh-CN"/>
              </w:rPr>
              <w:t>d</w:t>
            </w:r>
            <w:r w:rsidRPr="000D2A6A">
              <w:rPr>
                <w:sz w:val="20"/>
                <w:lang w:eastAsia="zh-CN"/>
              </w:rPr>
              <w:t>y mass index [BMI, categorized into underweight (&lt; 18.5), normal (18.5 to 24.9), overweight (25 to 29.9), and obese (≥ 30)]</w:t>
            </w:r>
            <w:r>
              <w:rPr>
                <w:sz w:val="20"/>
                <w:lang w:eastAsia="zh-CN"/>
              </w:rPr>
              <w:t>”</w:t>
            </w:r>
            <w:r>
              <w:rPr>
                <w:rFonts w:hint="eastAsia"/>
                <w:sz w:val="20"/>
                <w:lang w:eastAsia="zh-CN"/>
              </w:rPr>
              <w:t>.</w:t>
            </w:r>
          </w:p>
          <w:p w14:paraId="3D36F206" w14:textId="657DB8C2" w:rsidR="00191A23" w:rsidRPr="0022554A" w:rsidRDefault="004C1B56" w:rsidP="00191A23">
            <w:pPr>
              <w:tabs>
                <w:tab w:val="left" w:pos="5400"/>
              </w:tabs>
              <w:rPr>
                <w:rFonts w:hint="eastAsia"/>
                <w:sz w:val="20"/>
                <w:lang w:eastAsia="zh-CN"/>
              </w:rPr>
            </w:pPr>
            <w:r w:rsidRPr="004C1B56">
              <w:rPr>
                <w:sz w:val="20"/>
              </w:rPr>
              <w:t xml:space="preserve">Located on lines </w:t>
            </w:r>
            <w:r>
              <w:rPr>
                <w:rFonts w:hint="eastAsia"/>
                <w:sz w:val="20"/>
                <w:lang w:eastAsia="zh-CN"/>
              </w:rPr>
              <w:t>157</w:t>
            </w:r>
            <w:r w:rsidRPr="004C1B56">
              <w:rPr>
                <w:sz w:val="20"/>
              </w:rPr>
              <w:t xml:space="preserve"> </w:t>
            </w:r>
            <w:r>
              <w:rPr>
                <w:sz w:val="20"/>
              </w:rPr>
              <w:t>–</w:t>
            </w:r>
            <w:r w:rsidRPr="004C1B56">
              <w:rPr>
                <w:sz w:val="20"/>
              </w:rPr>
              <w:t xml:space="preserve"> </w:t>
            </w:r>
            <w:r>
              <w:rPr>
                <w:rFonts w:hint="eastAsia"/>
                <w:sz w:val="20"/>
                <w:lang w:eastAsia="zh-CN"/>
              </w:rPr>
              <w:t xml:space="preserve">159 </w:t>
            </w:r>
            <w:r w:rsidRPr="004C1B56">
              <w:rPr>
                <w:sz w:val="20"/>
              </w:rPr>
              <w:t>of the manuscript:</w:t>
            </w:r>
            <w:r>
              <w:rPr>
                <w:rFonts w:hint="eastAsia"/>
                <w:sz w:val="20"/>
                <w:lang w:eastAsia="zh-CN"/>
              </w:rPr>
              <w:t xml:space="preserve"> </w:t>
            </w:r>
            <w:r>
              <w:rPr>
                <w:sz w:val="20"/>
                <w:lang w:eastAsia="zh-CN"/>
              </w:rPr>
              <w:t>“</w:t>
            </w:r>
            <w:r w:rsidRPr="004C1B56">
              <w:rPr>
                <w:sz w:val="20"/>
                <w:lang w:eastAsia="zh-CN"/>
              </w:rPr>
              <w:t>Continuous variables were described using median (interquartile range). Categorical variables were expressed as percentages.</w:t>
            </w:r>
            <w:r w:rsidR="00CD77CF">
              <w:rPr>
                <w:sz w:val="20"/>
                <w:lang w:eastAsia="zh-CN"/>
              </w:rPr>
              <w:t>”</w:t>
            </w:r>
          </w:p>
        </w:tc>
      </w:tr>
      <w:tr w:rsidR="00191A23" w:rsidRPr="0022554A" w14:paraId="3691C63E" w14:textId="77777777" w:rsidTr="00517788">
        <w:tc>
          <w:tcPr>
            <w:tcW w:w="1521" w:type="dxa"/>
            <w:vMerge w:val="restart"/>
          </w:tcPr>
          <w:p w14:paraId="281276B9" w14:textId="77777777" w:rsidR="00191A23" w:rsidRPr="0022554A" w:rsidRDefault="00191A23" w:rsidP="00191A23">
            <w:pPr>
              <w:tabs>
                <w:tab w:val="left" w:pos="5400"/>
              </w:tabs>
              <w:rPr>
                <w:sz w:val="20"/>
              </w:rPr>
            </w:pPr>
            <w:bookmarkStart w:id="53" w:name="italic24"/>
            <w:r w:rsidRPr="0022554A">
              <w:rPr>
                <w:sz w:val="20"/>
              </w:rPr>
              <w:t>Statistical</w:t>
            </w:r>
            <w:bookmarkStart w:id="54" w:name="italic25"/>
            <w:bookmarkEnd w:id="53"/>
            <w:r w:rsidRPr="0022554A">
              <w:rPr>
                <w:sz w:val="20"/>
              </w:rPr>
              <w:t xml:space="preserve"> methods</w:t>
            </w:r>
            <w:bookmarkEnd w:id="54"/>
          </w:p>
        </w:tc>
        <w:tc>
          <w:tcPr>
            <w:tcW w:w="749" w:type="dxa"/>
            <w:vMerge w:val="restart"/>
          </w:tcPr>
          <w:p w14:paraId="6761649B" w14:textId="77777777" w:rsidR="00191A23" w:rsidRPr="0022554A" w:rsidRDefault="00191A23" w:rsidP="00191A23">
            <w:pPr>
              <w:tabs>
                <w:tab w:val="left" w:pos="5400"/>
              </w:tabs>
              <w:jc w:val="center"/>
              <w:rPr>
                <w:sz w:val="20"/>
              </w:rPr>
            </w:pPr>
            <w:r w:rsidRPr="0022554A">
              <w:rPr>
                <w:sz w:val="20"/>
              </w:rPr>
              <w:t>12</w:t>
            </w:r>
          </w:p>
        </w:tc>
        <w:tc>
          <w:tcPr>
            <w:tcW w:w="8328" w:type="dxa"/>
          </w:tcPr>
          <w:p w14:paraId="1E5D8080"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w:t>
            </w:r>
            <w:bookmarkStart w:id="55" w:name="OLE_LINK43"/>
            <w:r w:rsidRPr="0022554A">
              <w:rPr>
                <w:sz w:val="20"/>
              </w:rPr>
              <w:t xml:space="preserve"> all statistical methods</w:t>
            </w:r>
            <w:bookmarkEnd w:id="55"/>
            <w:r w:rsidRPr="0022554A">
              <w:rPr>
                <w:sz w:val="20"/>
              </w:rPr>
              <w:t>, including those used to control for confounding</w:t>
            </w:r>
          </w:p>
        </w:tc>
        <w:tc>
          <w:tcPr>
            <w:tcW w:w="1276" w:type="dxa"/>
          </w:tcPr>
          <w:p w14:paraId="04178173" w14:textId="5B359A3F" w:rsidR="00191A23" w:rsidRPr="0022554A" w:rsidRDefault="007D60E5" w:rsidP="00191A23">
            <w:pPr>
              <w:tabs>
                <w:tab w:val="left" w:pos="5400"/>
              </w:tabs>
              <w:rPr>
                <w:sz w:val="20"/>
                <w:lang w:eastAsia="zh-CN"/>
              </w:rPr>
            </w:pPr>
            <w:r>
              <w:rPr>
                <w:rFonts w:hint="eastAsia"/>
                <w:sz w:val="20"/>
                <w:lang w:eastAsia="zh-CN"/>
              </w:rPr>
              <w:t>5</w:t>
            </w:r>
          </w:p>
        </w:tc>
        <w:tc>
          <w:tcPr>
            <w:tcW w:w="3118" w:type="dxa"/>
          </w:tcPr>
          <w:p w14:paraId="14CDCF2E" w14:textId="3F06CA24" w:rsidR="00191A23" w:rsidRPr="0032451B" w:rsidRDefault="0032451B" w:rsidP="00191A23">
            <w:pPr>
              <w:tabs>
                <w:tab w:val="left" w:pos="5400"/>
              </w:tabs>
              <w:rPr>
                <w:rFonts w:hint="eastAsia"/>
                <w:sz w:val="20"/>
                <w:lang w:eastAsia="zh-CN"/>
              </w:rPr>
            </w:pPr>
            <w:r w:rsidRPr="0032451B">
              <w:rPr>
                <w:sz w:val="20"/>
              </w:rPr>
              <w:t>Lines 154 - 183 of the manuscript describe in detail all statistical methods</w:t>
            </w:r>
            <w:r>
              <w:rPr>
                <w:rFonts w:hint="eastAsia"/>
                <w:sz w:val="20"/>
                <w:lang w:eastAsia="zh-CN"/>
              </w:rPr>
              <w:t xml:space="preserve">. </w:t>
            </w:r>
          </w:p>
        </w:tc>
      </w:tr>
      <w:tr w:rsidR="002D2804" w:rsidRPr="0022554A" w14:paraId="664A2985" w14:textId="77777777" w:rsidTr="00517788">
        <w:tc>
          <w:tcPr>
            <w:tcW w:w="1521" w:type="dxa"/>
            <w:vMerge/>
          </w:tcPr>
          <w:p w14:paraId="116F0AA6" w14:textId="77777777" w:rsidR="002D2804" w:rsidRPr="0022554A" w:rsidRDefault="002D2804" w:rsidP="002D2804">
            <w:pPr>
              <w:tabs>
                <w:tab w:val="left" w:pos="5400"/>
              </w:tabs>
              <w:rPr>
                <w:bCs/>
                <w:sz w:val="20"/>
              </w:rPr>
            </w:pPr>
            <w:bookmarkStart w:id="56" w:name="bold24" w:colFirst="0" w:colLast="0"/>
            <w:bookmarkStart w:id="57" w:name="italic26" w:colFirst="0" w:colLast="0"/>
            <w:bookmarkStart w:id="58" w:name="_Hlk190135659"/>
          </w:p>
        </w:tc>
        <w:tc>
          <w:tcPr>
            <w:tcW w:w="749" w:type="dxa"/>
            <w:vMerge/>
          </w:tcPr>
          <w:p w14:paraId="6BF838C6" w14:textId="77777777" w:rsidR="002D2804" w:rsidRPr="0022554A" w:rsidRDefault="002D2804" w:rsidP="002D2804">
            <w:pPr>
              <w:tabs>
                <w:tab w:val="left" w:pos="5400"/>
              </w:tabs>
              <w:jc w:val="center"/>
              <w:rPr>
                <w:sz w:val="20"/>
              </w:rPr>
            </w:pPr>
          </w:p>
        </w:tc>
        <w:tc>
          <w:tcPr>
            <w:tcW w:w="8328" w:type="dxa"/>
          </w:tcPr>
          <w:p w14:paraId="2CA70628" w14:textId="77777777" w:rsidR="002D2804" w:rsidRPr="0022554A" w:rsidRDefault="002D2804" w:rsidP="002D2804">
            <w:pPr>
              <w:tabs>
                <w:tab w:val="left" w:pos="5400"/>
              </w:tabs>
              <w:rPr>
                <w:sz w:val="20"/>
              </w:rPr>
            </w:pPr>
            <w:r w:rsidRPr="0022554A">
              <w:rPr>
                <w:sz w:val="20"/>
              </w:rPr>
              <w:t>(</w:t>
            </w:r>
            <w:r w:rsidRPr="0022554A">
              <w:rPr>
                <w:i/>
                <w:sz w:val="20"/>
              </w:rPr>
              <w:t>b</w:t>
            </w:r>
            <w:r w:rsidRPr="0022554A">
              <w:rPr>
                <w:sz w:val="20"/>
              </w:rPr>
              <w:t xml:space="preserve">) </w:t>
            </w:r>
            <w:bookmarkStart w:id="59" w:name="OLE_LINK44"/>
            <w:r w:rsidRPr="0022554A">
              <w:rPr>
                <w:sz w:val="20"/>
              </w:rPr>
              <w:t>Describe any methods used to examine subgroups and interactions</w:t>
            </w:r>
            <w:bookmarkEnd w:id="59"/>
          </w:p>
        </w:tc>
        <w:tc>
          <w:tcPr>
            <w:tcW w:w="1276" w:type="dxa"/>
          </w:tcPr>
          <w:p w14:paraId="1EA3FAAF" w14:textId="6FF91067" w:rsidR="002D2804" w:rsidRPr="0022554A" w:rsidRDefault="002D2804" w:rsidP="002D2804">
            <w:pPr>
              <w:tabs>
                <w:tab w:val="left" w:pos="5400"/>
              </w:tabs>
              <w:rPr>
                <w:rFonts w:hint="eastAsia"/>
                <w:sz w:val="20"/>
                <w:lang w:eastAsia="zh-CN"/>
              </w:rPr>
            </w:pPr>
            <w:r w:rsidRPr="008A190E">
              <w:rPr>
                <w:sz w:val="20"/>
                <w:lang w:eastAsia="zh-CN"/>
              </w:rPr>
              <w:t>Not applicable</w:t>
            </w:r>
          </w:p>
        </w:tc>
        <w:tc>
          <w:tcPr>
            <w:tcW w:w="3118" w:type="dxa"/>
          </w:tcPr>
          <w:p w14:paraId="13D4D05D" w14:textId="64F94E22" w:rsidR="002D2804" w:rsidRPr="0022554A" w:rsidRDefault="002D2804" w:rsidP="002D2804">
            <w:pPr>
              <w:tabs>
                <w:tab w:val="left" w:pos="5400"/>
              </w:tabs>
              <w:rPr>
                <w:rFonts w:hint="eastAsia"/>
                <w:sz w:val="20"/>
                <w:lang w:eastAsia="zh-CN"/>
              </w:rPr>
            </w:pPr>
            <w:r w:rsidRPr="00577004">
              <w:rPr>
                <w:sz w:val="20"/>
              </w:rPr>
              <w:t>There were no methods used to examine subgroups and interactions in this study</w:t>
            </w:r>
            <w:r>
              <w:rPr>
                <w:rFonts w:hint="eastAsia"/>
                <w:sz w:val="20"/>
                <w:lang w:eastAsia="zh-CN"/>
              </w:rPr>
              <w:t>.</w:t>
            </w:r>
          </w:p>
        </w:tc>
      </w:tr>
      <w:tr w:rsidR="002D2804" w:rsidRPr="0022554A" w14:paraId="548AB9A4" w14:textId="77777777" w:rsidTr="00517788">
        <w:tc>
          <w:tcPr>
            <w:tcW w:w="1521" w:type="dxa"/>
            <w:vMerge/>
          </w:tcPr>
          <w:p w14:paraId="4627B3D3" w14:textId="77777777" w:rsidR="002D2804" w:rsidRPr="0022554A" w:rsidRDefault="002D2804" w:rsidP="002D2804">
            <w:pPr>
              <w:tabs>
                <w:tab w:val="left" w:pos="5400"/>
              </w:tabs>
              <w:rPr>
                <w:bCs/>
                <w:sz w:val="20"/>
              </w:rPr>
            </w:pPr>
            <w:bookmarkStart w:id="60" w:name="bold25" w:colFirst="0" w:colLast="0"/>
            <w:bookmarkStart w:id="61" w:name="italic27" w:colFirst="0" w:colLast="0"/>
            <w:bookmarkEnd w:id="56"/>
            <w:bookmarkEnd w:id="57"/>
            <w:bookmarkEnd w:id="58"/>
          </w:p>
        </w:tc>
        <w:tc>
          <w:tcPr>
            <w:tcW w:w="749" w:type="dxa"/>
            <w:vMerge/>
          </w:tcPr>
          <w:p w14:paraId="7C2A7DB1" w14:textId="77777777" w:rsidR="002D2804" w:rsidRPr="0022554A" w:rsidRDefault="002D2804" w:rsidP="002D2804">
            <w:pPr>
              <w:tabs>
                <w:tab w:val="left" w:pos="5400"/>
              </w:tabs>
              <w:jc w:val="center"/>
              <w:rPr>
                <w:sz w:val="20"/>
              </w:rPr>
            </w:pPr>
          </w:p>
        </w:tc>
        <w:tc>
          <w:tcPr>
            <w:tcW w:w="8328" w:type="dxa"/>
          </w:tcPr>
          <w:p w14:paraId="0524D98E" w14:textId="77777777" w:rsidR="002D2804" w:rsidRPr="0022554A" w:rsidRDefault="002D2804" w:rsidP="002D2804">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71BABF93" w14:textId="48E73971" w:rsidR="002D2804" w:rsidRPr="0022554A" w:rsidRDefault="002D2804" w:rsidP="002D2804">
            <w:pPr>
              <w:tabs>
                <w:tab w:val="left" w:pos="5400"/>
              </w:tabs>
              <w:rPr>
                <w:sz w:val="20"/>
                <w:lang w:eastAsia="zh-CN"/>
              </w:rPr>
            </w:pPr>
            <w:r>
              <w:rPr>
                <w:rFonts w:hint="eastAsia"/>
                <w:sz w:val="20"/>
                <w:lang w:eastAsia="zh-CN"/>
              </w:rPr>
              <w:t>3</w:t>
            </w:r>
          </w:p>
        </w:tc>
        <w:tc>
          <w:tcPr>
            <w:tcW w:w="3118" w:type="dxa"/>
          </w:tcPr>
          <w:p w14:paraId="245463F0" w14:textId="73697FA1" w:rsidR="002D2804" w:rsidRPr="0022554A" w:rsidRDefault="002D2804" w:rsidP="002D2804">
            <w:pPr>
              <w:tabs>
                <w:tab w:val="left" w:pos="5400"/>
              </w:tabs>
              <w:rPr>
                <w:sz w:val="20"/>
              </w:rPr>
            </w:pPr>
            <w:bookmarkStart w:id="62" w:name="OLE_LINK58"/>
            <w:r w:rsidRPr="002E7EE4">
              <w:rPr>
                <w:sz w:val="20"/>
              </w:rPr>
              <w:t>During the inclusion and exclusion phase of the study, for the handling of missing data, we adopted a deletion strategy. Specifically, detailed explanations can be found in line 94 of the manuscript: "Incomplete or missing study data (n = 202)".</w:t>
            </w:r>
            <w:bookmarkEnd w:id="62"/>
          </w:p>
        </w:tc>
      </w:tr>
      <w:tr w:rsidR="002D2804" w:rsidRPr="0022554A" w14:paraId="4FDDFF83" w14:textId="77777777" w:rsidTr="00517788">
        <w:tc>
          <w:tcPr>
            <w:tcW w:w="1521" w:type="dxa"/>
            <w:vMerge/>
          </w:tcPr>
          <w:p w14:paraId="69009F0B" w14:textId="77777777" w:rsidR="002D2804" w:rsidRPr="0022554A" w:rsidRDefault="002D2804" w:rsidP="002D2804">
            <w:pPr>
              <w:tabs>
                <w:tab w:val="left" w:pos="5400"/>
              </w:tabs>
              <w:rPr>
                <w:bCs/>
                <w:sz w:val="20"/>
              </w:rPr>
            </w:pPr>
            <w:bookmarkStart w:id="63" w:name="bold26" w:colFirst="0" w:colLast="0"/>
            <w:bookmarkStart w:id="64" w:name="italic28" w:colFirst="0" w:colLast="0"/>
            <w:bookmarkEnd w:id="60"/>
            <w:bookmarkEnd w:id="61"/>
          </w:p>
        </w:tc>
        <w:tc>
          <w:tcPr>
            <w:tcW w:w="749" w:type="dxa"/>
            <w:vMerge/>
          </w:tcPr>
          <w:p w14:paraId="57E25A5D" w14:textId="77777777" w:rsidR="002D2804" w:rsidRPr="0022554A" w:rsidRDefault="002D2804" w:rsidP="002D2804">
            <w:pPr>
              <w:tabs>
                <w:tab w:val="left" w:pos="5400"/>
              </w:tabs>
              <w:jc w:val="center"/>
              <w:rPr>
                <w:sz w:val="20"/>
              </w:rPr>
            </w:pPr>
          </w:p>
        </w:tc>
        <w:tc>
          <w:tcPr>
            <w:tcW w:w="8328" w:type="dxa"/>
          </w:tcPr>
          <w:p w14:paraId="21B174CF" w14:textId="77777777" w:rsidR="002D2804" w:rsidRPr="0022554A" w:rsidRDefault="002D2804" w:rsidP="002D2804">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2FDAE691" w14:textId="77777777" w:rsidR="002D2804" w:rsidRPr="0022554A" w:rsidRDefault="002D2804" w:rsidP="002D2804">
            <w:pPr>
              <w:tabs>
                <w:tab w:val="left" w:pos="5400"/>
              </w:tabs>
              <w:rPr>
                <w:sz w:val="20"/>
              </w:rPr>
            </w:pPr>
            <w:r w:rsidRPr="0022554A">
              <w:rPr>
                <w:bCs/>
                <w:i/>
                <w:sz w:val="20"/>
              </w:rPr>
              <w:t>Case-control study</w:t>
            </w:r>
            <w:r w:rsidRPr="0022554A">
              <w:rPr>
                <w:sz w:val="20"/>
              </w:rPr>
              <w:t>—If applicable, explain how matching of cases and controls was addressed</w:t>
            </w:r>
          </w:p>
          <w:p w14:paraId="7BCC1972" w14:textId="77777777" w:rsidR="002D2804" w:rsidRPr="0022554A" w:rsidRDefault="002D2804" w:rsidP="002D2804">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5FF92346" w14:textId="261DC318" w:rsidR="002D2804" w:rsidRPr="0022554A" w:rsidRDefault="002D2804" w:rsidP="002D2804">
            <w:pPr>
              <w:tabs>
                <w:tab w:val="left" w:pos="5400"/>
              </w:tabs>
              <w:rPr>
                <w:sz w:val="20"/>
                <w:lang w:eastAsia="zh-CN"/>
              </w:rPr>
            </w:pPr>
            <w:r>
              <w:rPr>
                <w:rFonts w:hint="eastAsia"/>
                <w:sz w:val="20"/>
                <w:lang w:eastAsia="zh-CN"/>
              </w:rPr>
              <w:t>5</w:t>
            </w:r>
          </w:p>
        </w:tc>
        <w:tc>
          <w:tcPr>
            <w:tcW w:w="3118" w:type="dxa"/>
          </w:tcPr>
          <w:p w14:paraId="73CB0DD1" w14:textId="5BB77EE3" w:rsidR="002D2804" w:rsidRPr="0022554A" w:rsidRDefault="002D2804" w:rsidP="002D2804">
            <w:pPr>
              <w:tabs>
                <w:tab w:val="left" w:pos="5400"/>
              </w:tabs>
              <w:rPr>
                <w:sz w:val="20"/>
              </w:rPr>
            </w:pPr>
            <w:r w:rsidRPr="002E7EE4">
              <w:rPr>
                <w:sz w:val="20"/>
              </w:rPr>
              <w:t xml:space="preserve">During the inclusion and exclusion phase of the study, for the handling of missing data, we adopted a deletion strategy. Specifically, detailed explanations can be found </w:t>
            </w:r>
            <w:r w:rsidRPr="002E7EE4">
              <w:rPr>
                <w:sz w:val="20"/>
              </w:rPr>
              <w:lastRenderedPageBreak/>
              <w:t>in lines 90 - 95 of the manuscript.</w:t>
            </w:r>
          </w:p>
        </w:tc>
      </w:tr>
      <w:tr w:rsidR="002D2804" w:rsidRPr="0022554A" w14:paraId="70219686" w14:textId="77777777" w:rsidTr="00517788">
        <w:tc>
          <w:tcPr>
            <w:tcW w:w="1521" w:type="dxa"/>
            <w:vMerge/>
          </w:tcPr>
          <w:p w14:paraId="12A036B5" w14:textId="77777777" w:rsidR="002D2804" w:rsidRPr="0022554A" w:rsidRDefault="002D2804" w:rsidP="002D2804">
            <w:pPr>
              <w:tabs>
                <w:tab w:val="left" w:pos="5400"/>
              </w:tabs>
              <w:rPr>
                <w:bCs/>
                <w:sz w:val="20"/>
              </w:rPr>
            </w:pPr>
            <w:bookmarkStart w:id="65" w:name="bold27" w:colFirst="0" w:colLast="0"/>
            <w:bookmarkStart w:id="66" w:name="italic29" w:colFirst="0" w:colLast="0"/>
            <w:bookmarkEnd w:id="63"/>
            <w:bookmarkEnd w:id="64"/>
          </w:p>
        </w:tc>
        <w:tc>
          <w:tcPr>
            <w:tcW w:w="749" w:type="dxa"/>
            <w:vMerge/>
          </w:tcPr>
          <w:p w14:paraId="275F89BC" w14:textId="77777777" w:rsidR="002D2804" w:rsidRPr="0022554A" w:rsidRDefault="002D2804" w:rsidP="002D2804">
            <w:pPr>
              <w:tabs>
                <w:tab w:val="left" w:pos="5400"/>
              </w:tabs>
              <w:jc w:val="center"/>
              <w:rPr>
                <w:sz w:val="20"/>
              </w:rPr>
            </w:pPr>
          </w:p>
        </w:tc>
        <w:tc>
          <w:tcPr>
            <w:tcW w:w="8328" w:type="dxa"/>
          </w:tcPr>
          <w:p w14:paraId="1733ABD2" w14:textId="77777777" w:rsidR="002D2804" w:rsidRPr="0022554A" w:rsidRDefault="002D2804" w:rsidP="002D2804">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34534572" w14:textId="6B173709" w:rsidR="002D2804" w:rsidRPr="0022554A" w:rsidRDefault="002D2804" w:rsidP="002D2804">
            <w:pPr>
              <w:tabs>
                <w:tab w:val="left" w:pos="5400"/>
              </w:tabs>
              <w:rPr>
                <w:sz w:val="20"/>
                <w:lang w:eastAsia="zh-CN"/>
              </w:rPr>
            </w:pPr>
            <w:bookmarkStart w:id="67" w:name="OLE_LINK78"/>
            <w:r w:rsidRPr="0032451B">
              <w:rPr>
                <w:sz w:val="20"/>
                <w:lang w:eastAsia="zh-CN"/>
              </w:rPr>
              <w:t>Not applicable</w:t>
            </w:r>
            <w:bookmarkEnd w:id="67"/>
          </w:p>
        </w:tc>
        <w:tc>
          <w:tcPr>
            <w:tcW w:w="3118" w:type="dxa"/>
          </w:tcPr>
          <w:p w14:paraId="799BFC0E" w14:textId="5E241C0B" w:rsidR="002D2804" w:rsidRPr="002E7EE4" w:rsidRDefault="002D2804" w:rsidP="002D2804">
            <w:pPr>
              <w:tabs>
                <w:tab w:val="left" w:pos="5400"/>
              </w:tabs>
              <w:rPr>
                <w:sz w:val="20"/>
              </w:rPr>
            </w:pPr>
            <w:r w:rsidRPr="002E7EE4">
              <w:rPr>
                <w:sz w:val="20"/>
              </w:rPr>
              <w:t>Sensitivity analysis was not performed in this study.</w:t>
            </w:r>
          </w:p>
        </w:tc>
      </w:tr>
      <w:bookmarkEnd w:id="65"/>
      <w:bookmarkEnd w:id="66"/>
      <w:tr w:rsidR="002D2804" w:rsidRPr="0022554A" w14:paraId="1F533955" w14:textId="77777777" w:rsidTr="00191A23">
        <w:tc>
          <w:tcPr>
            <w:tcW w:w="14992" w:type="dxa"/>
            <w:gridSpan w:val="5"/>
          </w:tcPr>
          <w:p w14:paraId="5398932E" w14:textId="77777777" w:rsidR="002D2804" w:rsidRPr="0022554A" w:rsidRDefault="002D2804" w:rsidP="002D2804">
            <w:pPr>
              <w:pStyle w:val="TableSubHead"/>
              <w:tabs>
                <w:tab w:val="left" w:pos="5400"/>
              </w:tabs>
              <w:rPr>
                <w:sz w:val="20"/>
              </w:rPr>
            </w:pPr>
            <w:r w:rsidRPr="0022554A">
              <w:rPr>
                <w:sz w:val="20"/>
              </w:rPr>
              <w:t>Results</w:t>
            </w:r>
          </w:p>
        </w:tc>
      </w:tr>
      <w:tr w:rsidR="002D2804" w:rsidRPr="0022554A" w14:paraId="151B6BCB" w14:textId="77777777" w:rsidTr="00517788">
        <w:tc>
          <w:tcPr>
            <w:tcW w:w="0" w:type="auto"/>
            <w:vMerge w:val="restart"/>
          </w:tcPr>
          <w:p w14:paraId="56CB41C0" w14:textId="77777777" w:rsidR="002D2804" w:rsidRPr="0022554A" w:rsidRDefault="002D2804" w:rsidP="002D2804">
            <w:pPr>
              <w:tabs>
                <w:tab w:val="left" w:pos="5400"/>
              </w:tabs>
              <w:rPr>
                <w:bCs/>
                <w:sz w:val="20"/>
              </w:rPr>
            </w:pPr>
            <w:bookmarkStart w:id="68" w:name="bold29"/>
            <w:bookmarkStart w:id="69" w:name="italic31"/>
            <w:r w:rsidRPr="0022554A">
              <w:rPr>
                <w:bCs/>
                <w:sz w:val="20"/>
              </w:rPr>
              <w:t>Participants</w:t>
            </w:r>
            <w:bookmarkEnd w:id="68"/>
            <w:bookmarkEnd w:id="69"/>
          </w:p>
        </w:tc>
        <w:tc>
          <w:tcPr>
            <w:tcW w:w="0" w:type="auto"/>
            <w:vMerge w:val="restart"/>
          </w:tcPr>
          <w:p w14:paraId="4EA654B7" w14:textId="77777777" w:rsidR="002D2804" w:rsidRPr="0022554A" w:rsidRDefault="002D2804" w:rsidP="002D2804">
            <w:pPr>
              <w:tabs>
                <w:tab w:val="left" w:pos="5400"/>
              </w:tabs>
              <w:jc w:val="center"/>
              <w:rPr>
                <w:sz w:val="20"/>
              </w:rPr>
            </w:pPr>
            <w:r w:rsidRPr="0022554A">
              <w:rPr>
                <w:sz w:val="20"/>
              </w:rPr>
              <w:t>13</w:t>
            </w:r>
            <w:bookmarkStart w:id="70" w:name="bold30"/>
            <w:r w:rsidRPr="0022554A">
              <w:rPr>
                <w:bCs/>
                <w:sz w:val="20"/>
              </w:rPr>
              <w:t>*</w:t>
            </w:r>
            <w:bookmarkEnd w:id="70"/>
          </w:p>
        </w:tc>
        <w:tc>
          <w:tcPr>
            <w:tcW w:w="8328" w:type="dxa"/>
          </w:tcPr>
          <w:p w14:paraId="5E0CD4E2" w14:textId="77777777" w:rsidR="002D2804" w:rsidRPr="0022554A" w:rsidRDefault="002D2804" w:rsidP="002D2804">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2D4FCB3A" w14:textId="0BF2A4AB" w:rsidR="002D2804" w:rsidRDefault="002D2804" w:rsidP="002D2804">
            <w:pPr>
              <w:tabs>
                <w:tab w:val="left" w:pos="5400"/>
              </w:tabs>
              <w:rPr>
                <w:sz w:val="20"/>
                <w:lang w:eastAsia="zh-CN"/>
              </w:rPr>
            </w:pPr>
            <w:r>
              <w:rPr>
                <w:rFonts w:hint="eastAsia"/>
                <w:sz w:val="20"/>
                <w:lang w:eastAsia="zh-CN"/>
              </w:rPr>
              <w:t>3</w:t>
            </w:r>
          </w:p>
        </w:tc>
        <w:tc>
          <w:tcPr>
            <w:tcW w:w="3118" w:type="dxa"/>
          </w:tcPr>
          <w:p w14:paraId="693443D7" w14:textId="64EF2A90" w:rsidR="002D2804" w:rsidRDefault="002D2804" w:rsidP="002D2804">
            <w:pPr>
              <w:tabs>
                <w:tab w:val="left" w:pos="5400"/>
              </w:tabs>
              <w:rPr>
                <w:sz w:val="20"/>
              </w:rPr>
            </w:pPr>
            <w:r w:rsidRPr="002E7EE4">
              <w:rPr>
                <w:sz w:val="20"/>
              </w:rPr>
              <w:t>Located on lines 90 - 95 of the manuscript</w:t>
            </w:r>
            <w:bookmarkStart w:id="71" w:name="OLE_LINK61"/>
            <w:r w:rsidRPr="002E7EE4">
              <w:rPr>
                <w:sz w:val="20"/>
              </w:rPr>
              <w:t xml:space="preserve">: “Among the initial 1,077 patients, 357 were excluded based on specific criteria: (1) estimated glomerular filtration rate (eGFR) &lt; 15 mL/min/1.73 m² (n = 31); (2) presence of autoimmune diseases (n = 14); (3) secondary </w:t>
            </w:r>
            <w:proofErr w:type="spellStart"/>
            <w:r w:rsidRPr="002E7EE4">
              <w:rPr>
                <w:sz w:val="20"/>
              </w:rPr>
              <w:t>IgAN</w:t>
            </w:r>
            <w:proofErr w:type="spellEnd"/>
            <w:r w:rsidRPr="002E7EE4">
              <w:rPr>
                <w:sz w:val="20"/>
              </w:rPr>
              <w:t xml:space="preserve"> conditions, such as hepatitis virus-related glomerulonephritis and allergic purpura nephritis (n = 96); (4) acute infectious diseases or cancer (n = 14); (5) incomplete or missing study data (n = 202). Ultimately, 720 eligible </w:t>
            </w:r>
            <w:proofErr w:type="spellStart"/>
            <w:r w:rsidRPr="002E7EE4">
              <w:rPr>
                <w:sz w:val="20"/>
              </w:rPr>
              <w:t>IgAN</w:t>
            </w:r>
            <w:proofErr w:type="spellEnd"/>
            <w:r w:rsidRPr="002E7EE4">
              <w:rPr>
                <w:sz w:val="20"/>
              </w:rPr>
              <w:t xml:space="preserve"> patients were included in the study (Fig. S1).”</w:t>
            </w:r>
            <w:bookmarkEnd w:id="71"/>
          </w:p>
        </w:tc>
      </w:tr>
      <w:tr w:rsidR="002D2804" w:rsidRPr="0022554A" w14:paraId="23964D9F" w14:textId="77777777" w:rsidTr="00517788">
        <w:tc>
          <w:tcPr>
            <w:tcW w:w="0" w:type="auto"/>
            <w:vMerge/>
          </w:tcPr>
          <w:p w14:paraId="580318AC" w14:textId="77777777" w:rsidR="002D2804" w:rsidRPr="0022554A" w:rsidRDefault="002D2804" w:rsidP="002D2804">
            <w:pPr>
              <w:tabs>
                <w:tab w:val="left" w:pos="5400"/>
              </w:tabs>
              <w:rPr>
                <w:bCs/>
                <w:sz w:val="20"/>
              </w:rPr>
            </w:pPr>
            <w:bookmarkStart w:id="72" w:name="bold31" w:colFirst="0" w:colLast="0"/>
            <w:bookmarkStart w:id="73" w:name="italic32" w:colFirst="0" w:colLast="0"/>
          </w:p>
        </w:tc>
        <w:tc>
          <w:tcPr>
            <w:tcW w:w="0" w:type="auto"/>
            <w:vMerge/>
          </w:tcPr>
          <w:p w14:paraId="09D654BB" w14:textId="77777777" w:rsidR="002D2804" w:rsidRPr="0022554A" w:rsidRDefault="002D2804" w:rsidP="002D2804">
            <w:pPr>
              <w:tabs>
                <w:tab w:val="left" w:pos="5400"/>
              </w:tabs>
              <w:jc w:val="center"/>
              <w:rPr>
                <w:sz w:val="20"/>
              </w:rPr>
            </w:pPr>
          </w:p>
        </w:tc>
        <w:tc>
          <w:tcPr>
            <w:tcW w:w="8328" w:type="dxa"/>
          </w:tcPr>
          <w:p w14:paraId="7E7D4007" w14:textId="77777777" w:rsidR="002D2804" w:rsidRPr="0022554A" w:rsidRDefault="002D2804" w:rsidP="002D2804">
            <w:pPr>
              <w:tabs>
                <w:tab w:val="left" w:pos="5400"/>
              </w:tabs>
              <w:rPr>
                <w:sz w:val="20"/>
              </w:rPr>
            </w:pPr>
            <w:r>
              <w:rPr>
                <w:sz w:val="20"/>
              </w:rPr>
              <w:t xml:space="preserve">(b) </w:t>
            </w:r>
            <w:r w:rsidRPr="0022554A">
              <w:rPr>
                <w:sz w:val="20"/>
              </w:rPr>
              <w:t>Give reasons for non-participation at each stage</w:t>
            </w:r>
          </w:p>
        </w:tc>
        <w:tc>
          <w:tcPr>
            <w:tcW w:w="1276" w:type="dxa"/>
          </w:tcPr>
          <w:p w14:paraId="260E524B" w14:textId="1C580DF1" w:rsidR="002D2804" w:rsidRDefault="002D2804" w:rsidP="002D2804">
            <w:pPr>
              <w:tabs>
                <w:tab w:val="left" w:pos="5400"/>
              </w:tabs>
              <w:rPr>
                <w:sz w:val="20"/>
                <w:lang w:eastAsia="zh-CN"/>
              </w:rPr>
            </w:pPr>
            <w:r>
              <w:rPr>
                <w:rFonts w:hint="eastAsia"/>
                <w:sz w:val="20"/>
                <w:lang w:eastAsia="zh-CN"/>
              </w:rPr>
              <w:t>3</w:t>
            </w:r>
          </w:p>
        </w:tc>
        <w:tc>
          <w:tcPr>
            <w:tcW w:w="3118" w:type="dxa"/>
          </w:tcPr>
          <w:p w14:paraId="0E77C391" w14:textId="506DCAEF" w:rsidR="002D2804" w:rsidRDefault="002D2804" w:rsidP="002D2804">
            <w:pPr>
              <w:tabs>
                <w:tab w:val="left" w:pos="5400"/>
              </w:tabs>
              <w:rPr>
                <w:sz w:val="20"/>
              </w:rPr>
            </w:pPr>
            <w:r w:rsidRPr="002E7EE4">
              <w:rPr>
                <w:sz w:val="20"/>
              </w:rPr>
              <w:t xml:space="preserve">Located on lines 90 - 95 of the manuscript: “Among the initial 1,077 patients, 357 were excluded based on specific criteria: (1) estimated glomerular filtration rate (eGFR) &lt; 15 mL/min/1.73 m² (n = 31); (2) presence of autoimmune diseases (n = 14); (3) secondary </w:t>
            </w:r>
            <w:proofErr w:type="spellStart"/>
            <w:r w:rsidRPr="002E7EE4">
              <w:rPr>
                <w:sz w:val="20"/>
              </w:rPr>
              <w:t>IgAN</w:t>
            </w:r>
            <w:proofErr w:type="spellEnd"/>
            <w:r w:rsidRPr="002E7EE4">
              <w:rPr>
                <w:sz w:val="20"/>
              </w:rPr>
              <w:t xml:space="preserve"> conditions, such as hepatitis virus-related glomerulonephritis </w:t>
            </w:r>
            <w:r w:rsidRPr="002E7EE4">
              <w:rPr>
                <w:sz w:val="20"/>
              </w:rPr>
              <w:lastRenderedPageBreak/>
              <w:t xml:space="preserve">and allergic purpura nephritis (n = 96); (4) acute infectious diseases or cancer (n = 14); (5) incomplete or missing study data (n = 202). Ultimately, 720 eligible </w:t>
            </w:r>
            <w:proofErr w:type="spellStart"/>
            <w:r w:rsidRPr="002E7EE4">
              <w:rPr>
                <w:sz w:val="20"/>
              </w:rPr>
              <w:t>IgAN</w:t>
            </w:r>
            <w:proofErr w:type="spellEnd"/>
            <w:r w:rsidRPr="002E7EE4">
              <w:rPr>
                <w:sz w:val="20"/>
              </w:rPr>
              <w:t xml:space="preserve"> patients were included in the study (Fig. S1).”</w:t>
            </w:r>
          </w:p>
        </w:tc>
      </w:tr>
      <w:tr w:rsidR="002D2804" w:rsidRPr="0022554A" w14:paraId="131B4A96" w14:textId="77777777" w:rsidTr="00517788">
        <w:tc>
          <w:tcPr>
            <w:tcW w:w="0" w:type="auto"/>
            <w:vMerge/>
          </w:tcPr>
          <w:p w14:paraId="582C8C3A" w14:textId="77777777" w:rsidR="002D2804" w:rsidRPr="0022554A" w:rsidRDefault="002D2804" w:rsidP="002D2804">
            <w:pPr>
              <w:tabs>
                <w:tab w:val="left" w:pos="5400"/>
              </w:tabs>
              <w:rPr>
                <w:bCs/>
                <w:sz w:val="20"/>
              </w:rPr>
            </w:pPr>
            <w:bookmarkStart w:id="74" w:name="bold32" w:colFirst="0" w:colLast="0"/>
            <w:bookmarkStart w:id="75" w:name="italic33" w:colFirst="0" w:colLast="0"/>
            <w:bookmarkEnd w:id="72"/>
            <w:bookmarkEnd w:id="73"/>
          </w:p>
        </w:tc>
        <w:tc>
          <w:tcPr>
            <w:tcW w:w="0" w:type="auto"/>
            <w:vMerge/>
          </w:tcPr>
          <w:p w14:paraId="400C6124" w14:textId="77777777" w:rsidR="002D2804" w:rsidRPr="0022554A" w:rsidRDefault="002D2804" w:rsidP="002D2804">
            <w:pPr>
              <w:tabs>
                <w:tab w:val="left" w:pos="5400"/>
              </w:tabs>
              <w:jc w:val="center"/>
              <w:rPr>
                <w:sz w:val="20"/>
              </w:rPr>
            </w:pPr>
          </w:p>
        </w:tc>
        <w:tc>
          <w:tcPr>
            <w:tcW w:w="8328" w:type="dxa"/>
          </w:tcPr>
          <w:p w14:paraId="35F77447" w14:textId="77777777" w:rsidR="002D2804" w:rsidRPr="0022554A" w:rsidRDefault="002D2804" w:rsidP="002D2804">
            <w:pPr>
              <w:tabs>
                <w:tab w:val="left" w:pos="5400"/>
              </w:tabs>
              <w:rPr>
                <w:sz w:val="20"/>
              </w:rPr>
            </w:pPr>
            <w:bookmarkStart w:id="76" w:name="OLE_LINK4"/>
            <w:r>
              <w:rPr>
                <w:sz w:val="20"/>
              </w:rPr>
              <w:t xml:space="preserve">(c) </w:t>
            </w:r>
            <w:r w:rsidRPr="0022554A">
              <w:rPr>
                <w:sz w:val="20"/>
              </w:rPr>
              <w:t>Consider use of a flow diagram</w:t>
            </w:r>
            <w:bookmarkEnd w:id="76"/>
          </w:p>
        </w:tc>
        <w:tc>
          <w:tcPr>
            <w:tcW w:w="1276" w:type="dxa"/>
          </w:tcPr>
          <w:p w14:paraId="7134853B" w14:textId="0518B8B6" w:rsidR="002D2804" w:rsidRDefault="002D2804" w:rsidP="002D2804">
            <w:pPr>
              <w:tabs>
                <w:tab w:val="left" w:pos="5400"/>
              </w:tabs>
              <w:rPr>
                <w:sz w:val="20"/>
                <w:lang w:eastAsia="zh-CN"/>
              </w:rPr>
            </w:pPr>
            <w:r>
              <w:rPr>
                <w:rFonts w:hint="eastAsia"/>
                <w:sz w:val="20"/>
                <w:lang w:eastAsia="zh-CN"/>
              </w:rPr>
              <w:t>3</w:t>
            </w:r>
          </w:p>
        </w:tc>
        <w:tc>
          <w:tcPr>
            <w:tcW w:w="3118" w:type="dxa"/>
          </w:tcPr>
          <w:p w14:paraId="06E8268B" w14:textId="21284ADA" w:rsidR="002D2804" w:rsidRDefault="002D2804" w:rsidP="002D2804">
            <w:pPr>
              <w:tabs>
                <w:tab w:val="left" w:pos="5400"/>
              </w:tabs>
              <w:rPr>
                <w:sz w:val="20"/>
                <w:lang w:eastAsia="zh-CN"/>
              </w:rPr>
            </w:pPr>
            <w:r w:rsidRPr="00D65FC3">
              <w:rPr>
                <w:sz w:val="20"/>
              </w:rPr>
              <w:t>The flowchart for screening eligible participants can be seen in</w:t>
            </w:r>
            <w:r>
              <w:rPr>
                <w:rFonts w:hint="eastAsia"/>
                <w:sz w:val="20"/>
                <w:lang w:eastAsia="zh-CN"/>
              </w:rPr>
              <w:t xml:space="preserve"> </w:t>
            </w:r>
            <w:r w:rsidRPr="00D65FC3">
              <w:rPr>
                <w:sz w:val="20"/>
              </w:rPr>
              <w:t>Supplementary Figure S1</w:t>
            </w:r>
            <w:r>
              <w:rPr>
                <w:rFonts w:hint="eastAsia"/>
                <w:sz w:val="20"/>
                <w:lang w:eastAsia="zh-CN"/>
              </w:rPr>
              <w:t>.</w:t>
            </w:r>
          </w:p>
        </w:tc>
      </w:tr>
      <w:tr w:rsidR="002D2804" w:rsidRPr="0022554A" w14:paraId="4163A616" w14:textId="77777777" w:rsidTr="00517788">
        <w:tc>
          <w:tcPr>
            <w:tcW w:w="0" w:type="auto"/>
            <w:vMerge w:val="restart"/>
          </w:tcPr>
          <w:p w14:paraId="190916CA" w14:textId="77777777" w:rsidR="002D2804" w:rsidRPr="0022554A" w:rsidRDefault="002D2804" w:rsidP="002D2804">
            <w:pPr>
              <w:tabs>
                <w:tab w:val="left" w:pos="5400"/>
              </w:tabs>
              <w:rPr>
                <w:bCs/>
                <w:sz w:val="20"/>
              </w:rPr>
            </w:pPr>
            <w:bookmarkStart w:id="77" w:name="bold33"/>
            <w:bookmarkStart w:id="78" w:name="italic34"/>
            <w:bookmarkStart w:id="79" w:name="_Hlk190136321"/>
            <w:bookmarkEnd w:id="74"/>
            <w:bookmarkEnd w:id="75"/>
            <w:r w:rsidRPr="0022554A">
              <w:rPr>
                <w:bCs/>
                <w:sz w:val="20"/>
              </w:rPr>
              <w:t xml:space="preserve">Descriptive </w:t>
            </w:r>
            <w:bookmarkStart w:id="80" w:name="bold34"/>
            <w:bookmarkStart w:id="81" w:name="italic35"/>
            <w:bookmarkEnd w:id="77"/>
            <w:bookmarkEnd w:id="78"/>
            <w:r w:rsidRPr="0022554A">
              <w:rPr>
                <w:bCs/>
                <w:sz w:val="20"/>
              </w:rPr>
              <w:t>data</w:t>
            </w:r>
            <w:bookmarkEnd w:id="80"/>
            <w:bookmarkEnd w:id="81"/>
          </w:p>
        </w:tc>
        <w:tc>
          <w:tcPr>
            <w:tcW w:w="0" w:type="auto"/>
            <w:vMerge w:val="restart"/>
          </w:tcPr>
          <w:p w14:paraId="0CBC0300" w14:textId="77777777" w:rsidR="002D2804" w:rsidRPr="0022554A" w:rsidRDefault="002D2804" w:rsidP="002D2804">
            <w:pPr>
              <w:tabs>
                <w:tab w:val="left" w:pos="5400"/>
              </w:tabs>
              <w:jc w:val="center"/>
              <w:rPr>
                <w:sz w:val="20"/>
              </w:rPr>
            </w:pPr>
            <w:r w:rsidRPr="0022554A">
              <w:rPr>
                <w:sz w:val="20"/>
              </w:rPr>
              <w:t>14</w:t>
            </w:r>
            <w:bookmarkStart w:id="82" w:name="bold35"/>
            <w:r w:rsidRPr="0022554A">
              <w:rPr>
                <w:bCs/>
                <w:sz w:val="20"/>
              </w:rPr>
              <w:t>*</w:t>
            </w:r>
            <w:bookmarkEnd w:id="82"/>
          </w:p>
        </w:tc>
        <w:tc>
          <w:tcPr>
            <w:tcW w:w="8328" w:type="dxa"/>
          </w:tcPr>
          <w:p w14:paraId="23CBD2A5" w14:textId="77777777" w:rsidR="002D2804" w:rsidRPr="0022554A" w:rsidRDefault="002D2804" w:rsidP="002D2804">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5D5CCDE5" w14:textId="4B9D07A2" w:rsidR="002D2804" w:rsidRDefault="002D2804" w:rsidP="002D2804">
            <w:pPr>
              <w:tabs>
                <w:tab w:val="left" w:pos="5400"/>
              </w:tabs>
              <w:rPr>
                <w:sz w:val="20"/>
                <w:lang w:eastAsia="zh-CN"/>
              </w:rPr>
            </w:pPr>
            <w:r>
              <w:rPr>
                <w:rFonts w:hint="eastAsia"/>
                <w:sz w:val="20"/>
                <w:lang w:eastAsia="zh-CN"/>
              </w:rPr>
              <w:t>6</w:t>
            </w:r>
          </w:p>
        </w:tc>
        <w:tc>
          <w:tcPr>
            <w:tcW w:w="3118" w:type="dxa"/>
          </w:tcPr>
          <w:p w14:paraId="4C53AEBF" w14:textId="03762C3D" w:rsidR="002D2804" w:rsidRDefault="002D2804" w:rsidP="002D2804">
            <w:pPr>
              <w:tabs>
                <w:tab w:val="left" w:pos="5400"/>
              </w:tabs>
              <w:rPr>
                <w:rFonts w:hint="eastAsia"/>
                <w:sz w:val="20"/>
              </w:rPr>
            </w:pPr>
            <w:r w:rsidRPr="002E7EE4">
              <w:rPr>
                <w:sz w:val="20"/>
              </w:rPr>
              <w:t xml:space="preserve">Located on lines </w:t>
            </w:r>
            <w:r>
              <w:rPr>
                <w:rFonts w:hint="eastAsia"/>
                <w:sz w:val="20"/>
                <w:lang w:eastAsia="zh-CN"/>
              </w:rPr>
              <w:t>195</w:t>
            </w:r>
            <w:r w:rsidRPr="002E7EE4">
              <w:rPr>
                <w:sz w:val="20"/>
              </w:rPr>
              <w:t xml:space="preserve"> - </w:t>
            </w:r>
            <w:r>
              <w:rPr>
                <w:rFonts w:hint="eastAsia"/>
                <w:sz w:val="20"/>
                <w:lang w:eastAsia="zh-CN"/>
              </w:rPr>
              <w:t>213</w:t>
            </w:r>
            <w:r w:rsidRPr="002E7EE4">
              <w:rPr>
                <w:sz w:val="20"/>
              </w:rPr>
              <w:t xml:space="preserve"> of the manuscript:</w:t>
            </w:r>
            <w:r>
              <w:t xml:space="preserve"> </w:t>
            </w:r>
            <w:r w:rsidRPr="002E7EE4">
              <w:rPr>
                <w:sz w:val="20"/>
              </w:rPr>
              <w:t>“</w:t>
            </w:r>
            <w:r w:rsidRPr="00532BCD">
              <w:rPr>
                <w:sz w:val="20"/>
              </w:rPr>
              <w:t xml:space="preserve">The subjects’ baseline characteristics are presented in Table 1. The median age of participants was 36.0 years, with males constituting 50% of the sample. In our study, 61 participants (8.5%) were classified as AKI. Patients with AKI had a higher proportion of males, elevated MAP, and greater prevalence of diabetes, hypertension, and NS. Laboratory results indicated that AKI patients had higher levels of </w:t>
            </w:r>
            <w:proofErr w:type="spellStart"/>
            <w:r w:rsidRPr="00532BCD">
              <w:rPr>
                <w:sz w:val="20"/>
              </w:rPr>
              <w:t>SCr</w:t>
            </w:r>
            <w:proofErr w:type="spellEnd"/>
            <w:r w:rsidRPr="00532BCD">
              <w:rPr>
                <w:sz w:val="20"/>
              </w:rPr>
              <w:t xml:space="preserve">, BUN, uric acid, CRP, 24-hour urinary protein quantification, and urine microalbumin, along with lower levels of serum albumin, IgG, and IgM. Renal pathological showed a higher incidence of E1, T1, T2, and C2 lesions in AKI patients. </w:t>
            </w:r>
            <w:r w:rsidRPr="00532BCD">
              <w:rPr>
                <w:sz w:val="20"/>
              </w:rPr>
              <w:lastRenderedPageBreak/>
              <w:t xml:space="preserve">Regarding immune-inflammatory indexes, AKI patients exhibited higher values of SII, SIRI, PIV, NLR, NHR, and MHR, while LCR and LMR values were lower. The PNI was lower in AKI patients, whereas the difference in GNRI between the two groups was not significant. In clinical treatment, there were no differences between the two groups in using ACEI/ARB or corticosteroids before renal biopsy. The median follow-up time of participants was 26.00 months, 94 (13.06%) experienced composite endpoint events. Of the 659 patients without AKI, 77 (11.68%) experienced composite endpoint events, while 17 (27.87%) out of 61 patients with AKI experienced these events. </w:t>
            </w:r>
            <w:proofErr w:type="spellStart"/>
            <w:r w:rsidRPr="00532BCD">
              <w:rPr>
                <w:sz w:val="20"/>
              </w:rPr>
              <w:t>IgAN</w:t>
            </w:r>
            <w:proofErr w:type="spellEnd"/>
            <w:r w:rsidRPr="00532BCD">
              <w:rPr>
                <w:sz w:val="20"/>
              </w:rPr>
              <w:t xml:space="preserve"> patients with AKI had a significantly higher probability of experiencing composite endpoint events (P &lt; 0.001).</w:t>
            </w:r>
            <w:r>
              <w:rPr>
                <w:rFonts w:hint="eastAsia"/>
                <w:sz w:val="20"/>
                <w:lang w:eastAsia="zh-CN"/>
              </w:rPr>
              <w:t xml:space="preserve"> </w:t>
            </w:r>
            <w:r w:rsidRPr="00532BCD">
              <w:rPr>
                <w:sz w:val="20"/>
              </w:rPr>
              <w:t>Baseline characteristics of the training and test sets showed no statistically significant differences, as detailed in Table 2. The training set included 48 patients (9.5%) with AKI, while the test set included 13 patients (6.0%) with AKI.</w:t>
            </w:r>
            <w:r>
              <w:rPr>
                <w:sz w:val="20"/>
                <w:lang w:eastAsia="zh-CN"/>
              </w:rPr>
              <w:t>”</w:t>
            </w:r>
          </w:p>
        </w:tc>
      </w:tr>
      <w:tr w:rsidR="002D2804" w:rsidRPr="0022554A" w14:paraId="262CB211" w14:textId="77777777" w:rsidTr="00517788">
        <w:tc>
          <w:tcPr>
            <w:tcW w:w="0" w:type="auto"/>
            <w:vMerge/>
          </w:tcPr>
          <w:p w14:paraId="26E76586" w14:textId="77777777" w:rsidR="002D2804" w:rsidRPr="0022554A" w:rsidRDefault="002D2804" w:rsidP="002D2804">
            <w:pPr>
              <w:tabs>
                <w:tab w:val="left" w:pos="5400"/>
              </w:tabs>
              <w:rPr>
                <w:bCs/>
                <w:sz w:val="20"/>
              </w:rPr>
            </w:pPr>
            <w:bookmarkStart w:id="83" w:name="bold36" w:colFirst="0" w:colLast="0"/>
            <w:bookmarkStart w:id="84" w:name="italic36" w:colFirst="0" w:colLast="0"/>
            <w:bookmarkEnd w:id="79"/>
          </w:p>
        </w:tc>
        <w:tc>
          <w:tcPr>
            <w:tcW w:w="0" w:type="auto"/>
            <w:vMerge/>
          </w:tcPr>
          <w:p w14:paraId="162E7CC1" w14:textId="77777777" w:rsidR="002D2804" w:rsidRPr="0022554A" w:rsidRDefault="002D2804" w:rsidP="002D2804">
            <w:pPr>
              <w:tabs>
                <w:tab w:val="left" w:pos="5400"/>
              </w:tabs>
              <w:jc w:val="center"/>
              <w:rPr>
                <w:sz w:val="20"/>
              </w:rPr>
            </w:pPr>
          </w:p>
        </w:tc>
        <w:tc>
          <w:tcPr>
            <w:tcW w:w="8328" w:type="dxa"/>
          </w:tcPr>
          <w:p w14:paraId="1074BF00" w14:textId="77777777" w:rsidR="002D2804" w:rsidRPr="0022554A" w:rsidRDefault="002D2804" w:rsidP="002D2804">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69D01008" w14:textId="437F7552" w:rsidR="002D2804" w:rsidRDefault="002D2804" w:rsidP="002D2804">
            <w:pPr>
              <w:tabs>
                <w:tab w:val="left" w:pos="5400"/>
              </w:tabs>
              <w:rPr>
                <w:sz w:val="20"/>
                <w:lang w:eastAsia="zh-CN"/>
              </w:rPr>
            </w:pPr>
            <w:r>
              <w:rPr>
                <w:rFonts w:hint="eastAsia"/>
                <w:sz w:val="20"/>
                <w:lang w:eastAsia="zh-CN"/>
              </w:rPr>
              <w:t>3</w:t>
            </w:r>
          </w:p>
        </w:tc>
        <w:tc>
          <w:tcPr>
            <w:tcW w:w="3118" w:type="dxa"/>
          </w:tcPr>
          <w:p w14:paraId="6E03E31D" w14:textId="34EF0A11" w:rsidR="002D2804" w:rsidRPr="00E640F5" w:rsidRDefault="002D2804" w:rsidP="002D2804">
            <w:pPr>
              <w:tabs>
                <w:tab w:val="left" w:pos="5400"/>
              </w:tabs>
              <w:rPr>
                <w:rFonts w:hint="eastAsia"/>
                <w:sz w:val="20"/>
                <w:lang w:eastAsia="zh-CN"/>
              </w:rPr>
            </w:pPr>
            <w:r w:rsidRPr="00E640F5">
              <w:rPr>
                <w:sz w:val="20"/>
              </w:rPr>
              <w:t xml:space="preserve">Line 94 of the manuscript mentions </w:t>
            </w:r>
            <w:r>
              <w:rPr>
                <w:sz w:val="20"/>
                <w:lang w:eastAsia="zh-CN"/>
              </w:rPr>
              <w:lastRenderedPageBreak/>
              <w:t>“</w:t>
            </w:r>
            <w:r w:rsidRPr="00E640F5">
              <w:rPr>
                <w:sz w:val="20"/>
              </w:rPr>
              <w:t>incomplete or missing study data (n = 202)</w:t>
            </w:r>
            <w:r>
              <w:rPr>
                <w:sz w:val="20"/>
                <w:lang w:eastAsia="zh-CN"/>
              </w:rPr>
              <w:t>”</w:t>
            </w:r>
          </w:p>
        </w:tc>
      </w:tr>
      <w:tr w:rsidR="002D2804" w:rsidRPr="0022554A" w14:paraId="2AC15FB9" w14:textId="77777777" w:rsidTr="00517788">
        <w:tc>
          <w:tcPr>
            <w:tcW w:w="0" w:type="auto"/>
            <w:vMerge/>
          </w:tcPr>
          <w:p w14:paraId="1BB80A9F" w14:textId="77777777" w:rsidR="002D2804" w:rsidRPr="0022554A" w:rsidRDefault="002D2804" w:rsidP="002D2804">
            <w:pPr>
              <w:tabs>
                <w:tab w:val="left" w:pos="5400"/>
              </w:tabs>
              <w:rPr>
                <w:bCs/>
                <w:sz w:val="20"/>
              </w:rPr>
            </w:pPr>
            <w:bookmarkStart w:id="85" w:name="bold37" w:colFirst="0" w:colLast="0"/>
            <w:bookmarkStart w:id="86" w:name="italic37" w:colFirst="0" w:colLast="0"/>
            <w:bookmarkEnd w:id="83"/>
            <w:bookmarkEnd w:id="84"/>
          </w:p>
        </w:tc>
        <w:tc>
          <w:tcPr>
            <w:tcW w:w="0" w:type="auto"/>
            <w:vMerge/>
          </w:tcPr>
          <w:p w14:paraId="7E7C446F" w14:textId="77777777" w:rsidR="002D2804" w:rsidRPr="0022554A" w:rsidRDefault="002D2804" w:rsidP="002D2804">
            <w:pPr>
              <w:tabs>
                <w:tab w:val="left" w:pos="5400"/>
              </w:tabs>
              <w:jc w:val="center"/>
              <w:rPr>
                <w:sz w:val="20"/>
              </w:rPr>
            </w:pPr>
          </w:p>
        </w:tc>
        <w:tc>
          <w:tcPr>
            <w:tcW w:w="8328" w:type="dxa"/>
          </w:tcPr>
          <w:p w14:paraId="005A4BE4" w14:textId="77777777" w:rsidR="002D2804" w:rsidRPr="0022554A" w:rsidRDefault="002D2804" w:rsidP="002D2804">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231E1D28" w14:textId="020CDDA1" w:rsidR="002D2804" w:rsidRDefault="002D2804" w:rsidP="002D2804">
            <w:pPr>
              <w:tabs>
                <w:tab w:val="left" w:pos="5400"/>
              </w:tabs>
              <w:rPr>
                <w:sz w:val="20"/>
                <w:lang w:eastAsia="zh-CN"/>
              </w:rPr>
            </w:pPr>
            <w:r>
              <w:rPr>
                <w:rFonts w:hint="eastAsia"/>
                <w:sz w:val="20"/>
                <w:lang w:eastAsia="zh-CN"/>
              </w:rPr>
              <w:t>6</w:t>
            </w:r>
          </w:p>
        </w:tc>
        <w:tc>
          <w:tcPr>
            <w:tcW w:w="3118" w:type="dxa"/>
          </w:tcPr>
          <w:p w14:paraId="55514B44" w14:textId="551FC3BF" w:rsidR="002D2804" w:rsidRDefault="002D2804" w:rsidP="002D2804">
            <w:pPr>
              <w:tabs>
                <w:tab w:val="left" w:pos="5400"/>
              </w:tabs>
              <w:rPr>
                <w:rFonts w:hint="eastAsia"/>
                <w:sz w:val="20"/>
                <w:lang w:eastAsia="zh-CN"/>
              </w:rPr>
            </w:pPr>
            <w:bookmarkStart w:id="87" w:name="OLE_LINK75"/>
            <w:r w:rsidRPr="00FE7C08">
              <w:rPr>
                <w:sz w:val="20"/>
              </w:rPr>
              <w:t xml:space="preserve">Line 206 of the manuscript states, </w:t>
            </w:r>
            <w:r>
              <w:rPr>
                <w:sz w:val="20"/>
                <w:lang w:eastAsia="zh-CN"/>
              </w:rPr>
              <w:t>“</w:t>
            </w:r>
            <w:r w:rsidRPr="00FE7C08">
              <w:rPr>
                <w:sz w:val="20"/>
              </w:rPr>
              <w:t>The median follow - up time of participants was 26.00 months.</w:t>
            </w:r>
            <w:r>
              <w:rPr>
                <w:sz w:val="20"/>
                <w:lang w:eastAsia="zh-CN"/>
              </w:rPr>
              <w:t>”</w:t>
            </w:r>
            <w:bookmarkEnd w:id="87"/>
          </w:p>
        </w:tc>
      </w:tr>
      <w:tr w:rsidR="002D2804" w:rsidRPr="0022554A" w14:paraId="2DA954B1" w14:textId="77777777" w:rsidTr="00517788">
        <w:trPr>
          <w:trHeight w:val="295"/>
        </w:trPr>
        <w:tc>
          <w:tcPr>
            <w:tcW w:w="0" w:type="auto"/>
            <w:vMerge w:val="restart"/>
          </w:tcPr>
          <w:p w14:paraId="578204E3" w14:textId="77777777" w:rsidR="002D2804" w:rsidRPr="0022554A" w:rsidRDefault="002D2804" w:rsidP="002D2804">
            <w:pPr>
              <w:tabs>
                <w:tab w:val="left" w:pos="5400"/>
              </w:tabs>
              <w:rPr>
                <w:bCs/>
                <w:sz w:val="20"/>
              </w:rPr>
            </w:pPr>
            <w:bookmarkStart w:id="88" w:name="bold38" w:colFirst="0" w:colLast="0"/>
            <w:bookmarkStart w:id="89" w:name="italic38" w:colFirst="0" w:colLast="0"/>
            <w:bookmarkEnd w:id="85"/>
            <w:bookmarkEnd w:id="86"/>
            <w:r w:rsidRPr="0022554A">
              <w:rPr>
                <w:bCs/>
                <w:sz w:val="20"/>
              </w:rPr>
              <w:t>Outcome data</w:t>
            </w:r>
          </w:p>
        </w:tc>
        <w:tc>
          <w:tcPr>
            <w:tcW w:w="0" w:type="auto"/>
            <w:vMerge w:val="restart"/>
          </w:tcPr>
          <w:p w14:paraId="320259A6" w14:textId="77777777" w:rsidR="002D2804" w:rsidRPr="0022554A" w:rsidRDefault="002D2804" w:rsidP="002D2804">
            <w:pPr>
              <w:tabs>
                <w:tab w:val="left" w:pos="5400"/>
              </w:tabs>
              <w:jc w:val="center"/>
              <w:rPr>
                <w:sz w:val="20"/>
              </w:rPr>
            </w:pPr>
            <w:r w:rsidRPr="0022554A">
              <w:rPr>
                <w:sz w:val="20"/>
              </w:rPr>
              <w:t>15</w:t>
            </w:r>
            <w:bookmarkStart w:id="90" w:name="bold39"/>
            <w:r w:rsidRPr="0022554A">
              <w:rPr>
                <w:bCs/>
                <w:sz w:val="20"/>
              </w:rPr>
              <w:t>*</w:t>
            </w:r>
            <w:bookmarkEnd w:id="90"/>
          </w:p>
        </w:tc>
        <w:tc>
          <w:tcPr>
            <w:tcW w:w="8328" w:type="dxa"/>
          </w:tcPr>
          <w:p w14:paraId="1F35FF56" w14:textId="77777777" w:rsidR="002D2804" w:rsidRPr="0022554A" w:rsidRDefault="002D2804" w:rsidP="002D2804">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75914B66" w14:textId="6CC545CD" w:rsidR="002D2804" w:rsidRPr="00667C27" w:rsidRDefault="002D2804" w:rsidP="002D2804">
            <w:pPr>
              <w:tabs>
                <w:tab w:val="left" w:pos="5400"/>
              </w:tabs>
              <w:rPr>
                <w:iCs/>
                <w:sz w:val="20"/>
                <w:lang w:eastAsia="zh-CN"/>
              </w:rPr>
            </w:pPr>
            <w:r w:rsidRPr="00667C27">
              <w:rPr>
                <w:rFonts w:hint="eastAsia"/>
                <w:iCs/>
                <w:sz w:val="20"/>
                <w:lang w:eastAsia="zh-CN"/>
              </w:rPr>
              <w:t>6</w:t>
            </w:r>
          </w:p>
        </w:tc>
        <w:tc>
          <w:tcPr>
            <w:tcW w:w="3118" w:type="dxa"/>
          </w:tcPr>
          <w:p w14:paraId="62067AFE" w14:textId="609B3849" w:rsidR="002D2804" w:rsidRPr="0022554A" w:rsidRDefault="002D2804" w:rsidP="002D2804">
            <w:pPr>
              <w:tabs>
                <w:tab w:val="left" w:pos="5400"/>
              </w:tabs>
              <w:rPr>
                <w:i/>
                <w:sz w:val="20"/>
              </w:rPr>
            </w:pPr>
            <w:bookmarkStart w:id="91" w:name="OLE_LINK81"/>
            <w:r w:rsidRPr="00FE7C08">
              <w:rPr>
                <w:sz w:val="20"/>
              </w:rPr>
              <w:t>Line 206</w:t>
            </w:r>
            <w:r>
              <w:rPr>
                <w:rFonts w:hint="eastAsia"/>
                <w:sz w:val="20"/>
                <w:lang w:eastAsia="zh-CN"/>
              </w:rPr>
              <w:t>-209</w:t>
            </w:r>
            <w:r w:rsidRPr="00FE7C08">
              <w:rPr>
                <w:sz w:val="20"/>
              </w:rPr>
              <w:t xml:space="preserve"> of the manuscript states, </w:t>
            </w:r>
            <w:r>
              <w:rPr>
                <w:sz w:val="20"/>
                <w:lang w:eastAsia="zh-CN"/>
              </w:rPr>
              <w:t>“</w:t>
            </w:r>
            <w:bookmarkEnd w:id="91"/>
            <w:r w:rsidRPr="00FE7C08">
              <w:rPr>
                <w:sz w:val="20"/>
              </w:rPr>
              <w:t>94 (13.06%) experienced composite endpoint events. Of the 659 patients without AKI, 77 (11.68%) experienced composite endpoint events, while 17 (27.87%) out of 61 patients with AKI experienced these events.</w:t>
            </w:r>
            <w:r>
              <w:rPr>
                <w:sz w:val="20"/>
                <w:lang w:eastAsia="zh-CN"/>
              </w:rPr>
              <w:t>”</w:t>
            </w:r>
          </w:p>
        </w:tc>
      </w:tr>
      <w:tr w:rsidR="002D2804" w:rsidRPr="0022554A" w14:paraId="2BD8A9BE" w14:textId="77777777" w:rsidTr="00517788">
        <w:trPr>
          <w:trHeight w:val="294"/>
        </w:trPr>
        <w:tc>
          <w:tcPr>
            <w:tcW w:w="0" w:type="auto"/>
            <w:vMerge/>
          </w:tcPr>
          <w:p w14:paraId="5422CBCA" w14:textId="77777777" w:rsidR="002D2804" w:rsidRPr="0022554A" w:rsidRDefault="002D2804" w:rsidP="002D2804">
            <w:pPr>
              <w:tabs>
                <w:tab w:val="left" w:pos="5400"/>
              </w:tabs>
              <w:rPr>
                <w:bCs/>
                <w:sz w:val="20"/>
              </w:rPr>
            </w:pPr>
          </w:p>
        </w:tc>
        <w:tc>
          <w:tcPr>
            <w:tcW w:w="0" w:type="auto"/>
            <w:vMerge/>
          </w:tcPr>
          <w:p w14:paraId="55F0D4C8" w14:textId="77777777" w:rsidR="002D2804" w:rsidRPr="0022554A" w:rsidRDefault="002D2804" w:rsidP="002D2804">
            <w:pPr>
              <w:tabs>
                <w:tab w:val="left" w:pos="5400"/>
              </w:tabs>
              <w:jc w:val="center"/>
              <w:rPr>
                <w:sz w:val="20"/>
              </w:rPr>
            </w:pPr>
          </w:p>
        </w:tc>
        <w:tc>
          <w:tcPr>
            <w:tcW w:w="8328" w:type="dxa"/>
          </w:tcPr>
          <w:p w14:paraId="131FD2AD" w14:textId="77777777" w:rsidR="002D2804" w:rsidRPr="0022554A" w:rsidRDefault="002D2804" w:rsidP="002D2804">
            <w:pPr>
              <w:tabs>
                <w:tab w:val="left" w:pos="5400"/>
              </w:tabs>
              <w:rPr>
                <w:i/>
                <w:sz w:val="20"/>
              </w:rPr>
            </w:pPr>
            <w:bookmarkStart w:id="92" w:name="OLE_LINK79"/>
            <w:r w:rsidRPr="0022554A">
              <w:rPr>
                <w:i/>
                <w:sz w:val="20"/>
              </w:rPr>
              <w:t>Case-control study</w:t>
            </w:r>
            <w:bookmarkEnd w:id="92"/>
            <w:r w:rsidRPr="0022554A">
              <w:rPr>
                <w:i/>
                <w:sz w:val="20"/>
              </w:rPr>
              <w:t>—</w:t>
            </w:r>
            <w:r w:rsidRPr="0022554A">
              <w:rPr>
                <w:sz w:val="20"/>
              </w:rPr>
              <w:t>Report numbers in each exposure category, or summary measures of exposure</w:t>
            </w:r>
          </w:p>
        </w:tc>
        <w:tc>
          <w:tcPr>
            <w:tcW w:w="1276" w:type="dxa"/>
          </w:tcPr>
          <w:p w14:paraId="46E1FE67" w14:textId="451EB74B" w:rsidR="002D2804" w:rsidRPr="0060147C" w:rsidRDefault="002D2804" w:rsidP="002D2804">
            <w:pPr>
              <w:tabs>
                <w:tab w:val="left" w:pos="5400"/>
              </w:tabs>
              <w:rPr>
                <w:iCs/>
                <w:sz w:val="20"/>
              </w:rPr>
            </w:pPr>
            <w:bookmarkStart w:id="93" w:name="OLE_LINK82"/>
            <w:r w:rsidRPr="0060147C">
              <w:rPr>
                <w:iCs/>
                <w:sz w:val="20"/>
              </w:rPr>
              <w:t>Not applicable</w:t>
            </w:r>
            <w:bookmarkEnd w:id="93"/>
          </w:p>
        </w:tc>
        <w:tc>
          <w:tcPr>
            <w:tcW w:w="3118" w:type="dxa"/>
          </w:tcPr>
          <w:p w14:paraId="66E9A12A" w14:textId="18EB1636" w:rsidR="002D2804" w:rsidRPr="0060147C" w:rsidRDefault="002D2804" w:rsidP="002D2804">
            <w:pPr>
              <w:tabs>
                <w:tab w:val="left" w:pos="5400"/>
              </w:tabs>
              <w:rPr>
                <w:rFonts w:hint="eastAsia"/>
                <w:iCs/>
                <w:sz w:val="20"/>
                <w:lang w:eastAsia="zh-CN"/>
              </w:rPr>
            </w:pPr>
            <w:r w:rsidRPr="0060147C">
              <w:rPr>
                <w:iCs/>
                <w:sz w:val="20"/>
              </w:rPr>
              <w:t>This study is not a</w:t>
            </w:r>
            <w:r w:rsidRPr="0060147C">
              <w:rPr>
                <w:rFonts w:hint="eastAsia"/>
                <w:iCs/>
                <w:sz w:val="20"/>
                <w:lang w:eastAsia="zh-CN"/>
              </w:rPr>
              <w:t xml:space="preserve"> </w:t>
            </w:r>
            <w:r w:rsidRPr="0060147C">
              <w:rPr>
                <w:iCs/>
                <w:sz w:val="20"/>
                <w:lang w:eastAsia="zh-CN"/>
              </w:rPr>
              <w:t>Case-control study</w:t>
            </w:r>
            <w:r w:rsidRPr="0060147C">
              <w:rPr>
                <w:rFonts w:hint="eastAsia"/>
                <w:iCs/>
                <w:sz w:val="20"/>
                <w:lang w:eastAsia="zh-CN"/>
              </w:rPr>
              <w:t>.</w:t>
            </w:r>
          </w:p>
        </w:tc>
      </w:tr>
      <w:tr w:rsidR="002D2804" w:rsidRPr="0022554A" w14:paraId="24F0BC72" w14:textId="77777777" w:rsidTr="00517788">
        <w:trPr>
          <w:trHeight w:val="294"/>
        </w:trPr>
        <w:tc>
          <w:tcPr>
            <w:tcW w:w="0" w:type="auto"/>
            <w:vMerge/>
          </w:tcPr>
          <w:p w14:paraId="31F49D90" w14:textId="77777777" w:rsidR="002D2804" w:rsidRPr="0022554A" w:rsidRDefault="002D2804" w:rsidP="002D2804">
            <w:pPr>
              <w:tabs>
                <w:tab w:val="left" w:pos="5400"/>
              </w:tabs>
              <w:rPr>
                <w:bCs/>
                <w:sz w:val="20"/>
              </w:rPr>
            </w:pPr>
          </w:p>
        </w:tc>
        <w:tc>
          <w:tcPr>
            <w:tcW w:w="0" w:type="auto"/>
            <w:vMerge/>
          </w:tcPr>
          <w:p w14:paraId="104D785B" w14:textId="77777777" w:rsidR="002D2804" w:rsidRPr="0022554A" w:rsidRDefault="002D2804" w:rsidP="002D2804">
            <w:pPr>
              <w:tabs>
                <w:tab w:val="left" w:pos="5400"/>
              </w:tabs>
              <w:jc w:val="center"/>
              <w:rPr>
                <w:sz w:val="20"/>
              </w:rPr>
            </w:pPr>
          </w:p>
        </w:tc>
        <w:tc>
          <w:tcPr>
            <w:tcW w:w="8328" w:type="dxa"/>
          </w:tcPr>
          <w:p w14:paraId="070EE2C6" w14:textId="77777777" w:rsidR="002D2804" w:rsidRPr="0022554A" w:rsidRDefault="002D2804" w:rsidP="002D2804">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611E83BE" w14:textId="78CE95F9" w:rsidR="002D2804" w:rsidRPr="0060147C" w:rsidRDefault="002D2804" w:rsidP="002D2804">
            <w:pPr>
              <w:tabs>
                <w:tab w:val="left" w:pos="5400"/>
              </w:tabs>
              <w:rPr>
                <w:iCs/>
                <w:sz w:val="20"/>
                <w:lang w:eastAsia="zh-CN"/>
              </w:rPr>
            </w:pPr>
            <w:r w:rsidRPr="0060147C">
              <w:rPr>
                <w:rFonts w:hint="eastAsia"/>
                <w:iCs/>
                <w:sz w:val="20"/>
                <w:lang w:eastAsia="zh-CN"/>
              </w:rPr>
              <w:t>6</w:t>
            </w:r>
          </w:p>
        </w:tc>
        <w:tc>
          <w:tcPr>
            <w:tcW w:w="3118" w:type="dxa"/>
          </w:tcPr>
          <w:p w14:paraId="6AB10A9B" w14:textId="09AA1900" w:rsidR="002D2804" w:rsidRPr="0060147C" w:rsidRDefault="002D2804" w:rsidP="002D2804">
            <w:pPr>
              <w:tabs>
                <w:tab w:val="left" w:pos="5400"/>
              </w:tabs>
              <w:rPr>
                <w:rFonts w:hint="eastAsia"/>
                <w:iCs/>
                <w:sz w:val="20"/>
                <w:lang w:eastAsia="zh-CN"/>
              </w:rPr>
            </w:pPr>
            <w:bookmarkStart w:id="94" w:name="OLE_LINK83"/>
            <w:bookmarkStart w:id="95" w:name="OLE_LINK109"/>
            <w:r w:rsidRPr="0060147C">
              <w:rPr>
                <w:iCs/>
                <w:sz w:val="20"/>
              </w:rPr>
              <w:t xml:space="preserve">Line </w:t>
            </w:r>
            <w:r>
              <w:rPr>
                <w:rFonts w:hint="eastAsia"/>
                <w:iCs/>
                <w:sz w:val="20"/>
                <w:lang w:eastAsia="zh-CN"/>
              </w:rPr>
              <w:t>195</w:t>
            </w:r>
            <w:r w:rsidRPr="0060147C">
              <w:rPr>
                <w:iCs/>
                <w:sz w:val="20"/>
              </w:rPr>
              <w:t>-</w:t>
            </w:r>
            <w:r>
              <w:rPr>
                <w:rFonts w:hint="eastAsia"/>
                <w:iCs/>
                <w:sz w:val="20"/>
                <w:lang w:eastAsia="zh-CN"/>
              </w:rPr>
              <w:t>197</w:t>
            </w:r>
            <w:r w:rsidRPr="0060147C">
              <w:rPr>
                <w:iCs/>
                <w:sz w:val="20"/>
              </w:rPr>
              <w:t xml:space="preserve"> of the manuscript states, </w:t>
            </w:r>
            <w:bookmarkEnd w:id="94"/>
            <w:r w:rsidRPr="0060147C">
              <w:rPr>
                <w:iCs/>
                <w:sz w:val="20"/>
              </w:rPr>
              <w:t>“</w:t>
            </w:r>
            <w:bookmarkEnd w:id="95"/>
            <w:r w:rsidRPr="0060147C">
              <w:rPr>
                <w:iCs/>
                <w:sz w:val="20"/>
              </w:rPr>
              <w:t>The median age of participants was 36.0 years, with males constituting 50% of the sample. In our study, 61 participants (8.5%) were classified as AKI.</w:t>
            </w:r>
            <w:r>
              <w:rPr>
                <w:iCs/>
                <w:sz w:val="20"/>
                <w:lang w:eastAsia="zh-CN"/>
              </w:rPr>
              <w:t>”</w:t>
            </w:r>
          </w:p>
        </w:tc>
      </w:tr>
      <w:tr w:rsidR="002D2804" w:rsidRPr="0022554A" w14:paraId="27E0BEEF" w14:textId="77777777" w:rsidTr="00517788">
        <w:tc>
          <w:tcPr>
            <w:tcW w:w="0" w:type="auto"/>
            <w:vMerge w:val="restart"/>
          </w:tcPr>
          <w:p w14:paraId="427A169D" w14:textId="77777777" w:rsidR="002D2804" w:rsidRPr="0022554A" w:rsidRDefault="002D2804" w:rsidP="002D2804">
            <w:pPr>
              <w:tabs>
                <w:tab w:val="left" w:pos="5400"/>
              </w:tabs>
              <w:rPr>
                <w:bCs/>
                <w:sz w:val="20"/>
              </w:rPr>
            </w:pPr>
            <w:bookmarkStart w:id="96" w:name="italic40" w:colFirst="0" w:colLast="0"/>
            <w:bookmarkStart w:id="97" w:name="bold41" w:colFirst="0" w:colLast="0"/>
            <w:bookmarkEnd w:id="88"/>
            <w:bookmarkEnd w:id="89"/>
            <w:r w:rsidRPr="0022554A">
              <w:rPr>
                <w:bCs/>
                <w:sz w:val="20"/>
              </w:rPr>
              <w:t>Main results</w:t>
            </w:r>
          </w:p>
        </w:tc>
        <w:tc>
          <w:tcPr>
            <w:tcW w:w="0" w:type="auto"/>
            <w:vMerge w:val="restart"/>
          </w:tcPr>
          <w:p w14:paraId="60C25D86" w14:textId="77777777" w:rsidR="002D2804" w:rsidRPr="0022554A" w:rsidRDefault="002D2804" w:rsidP="002D2804">
            <w:pPr>
              <w:tabs>
                <w:tab w:val="left" w:pos="5400"/>
              </w:tabs>
              <w:jc w:val="center"/>
              <w:rPr>
                <w:sz w:val="20"/>
              </w:rPr>
            </w:pPr>
            <w:r w:rsidRPr="0022554A">
              <w:rPr>
                <w:sz w:val="20"/>
              </w:rPr>
              <w:t>16</w:t>
            </w:r>
          </w:p>
        </w:tc>
        <w:tc>
          <w:tcPr>
            <w:tcW w:w="8328" w:type="dxa"/>
          </w:tcPr>
          <w:p w14:paraId="1B8ACB61" w14:textId="77777777" w:rsidR="002D2804" w:rsidRPr="006149D3" w:rsidRDefault="002D2804" w:rsidP="002D2804">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36A8F8B8" w14:textId="1C31677D" w:rsidR="002D2804" w:rsidRPr="0022554A" w:rsidRDefault="002D2804" w:rsidP="002D2804">
            <w:pPr>
              <w:tabs>
                <w:tab w:val="left" w:pos="5400"/>
              </w:tabs>
              <w:rPr>
                <w:sz w:val="20"/>
                <w:lang w:eastAsia="zh-CN"/>
              </w:rPr>
            </w:pPr>
            <w:r w:rsidRPr="00CD77CF">
              <w:rPr>
                <w:iCs/>
                <w:sz w:val="20"/>
                <w:lang w:eastAsia="zh-CN"/>
              </w:rPr>
              <w:t>Not applicable</w:t>
            </w:r>
          </w:p>
        </w:tc>
        <w:tc>
          <w:tcPr>
            <w:tcW w:w="3118" w:type="dxa"/>
          </w:tcPr>
          <w:p w14:paraId="0B5A7254" w14:textId="49ED43B3" w:rsidR="002D2804" w:rsidRPr="0022554A" w:rsidRDefault="002D2804" w:rsidP="002D2804">
            <w:pPr>
              <w:tabs>
                <w:tab w:val="left" w:pos="5400"/>
              </w:tabs>
              <w:rPr>
                <w:sz w:val="20"/>
              </w:rPr>
            </w:pPr>
            <w:r w:rsidRPr="0060147C">
              <w:rPr>
                <w:sz w:val="20"/>
              </w:rPr>
              <w:t>This method was not used in this study.</w:t>
            </w:r>
          </w:p>
        </w:tc>
      </w:tr>
      <w:tr w:rsidR="002D2804" w:rsidRPr="0022554A" w14:paraId="431AE2CE" w14:textId="77777777" w:rsidTr="00517788">
        <w:tc>
          <w:tcPr>
            <w:tcW w:w="0" w:type="auto"/>
            <w:vMerge/>
          </w:tcPr>
          <w:p w14:paraId="74099610" w14:textId="77777777" w:rsidR="002D2804" w:rsidRPr="0022554A" w:rsidRDefault="002D2804" w:rsidP="002D2804">
            <w:pPr>
              <w:tabs>
                <w:tab w:val="left" w:pos="5400"/>
              </w:tabs>
              <w:rPr>
                <w:bCs/>
                <w:sz w:val="20"/>
              </w:rPr>
            </w:pPr>
            <w:bookmarkStart w:id="98" w:name="italic41" w:colFirst="0" w:colLast="0"/>
            <w:bookmarkStart w:id="99" w:name="bold42" w:colFirst="0" w:colLast="0"/>
            <w:bookmarkStart w:id="100" w:name="_Hlk190044165"/>
            <w:bookmarkEnd w:id="96"/>
            <w:bookmarkEnd w:id="97"/>
          </w:p>
        </w:tc>
        <w:tc>
          <w:tcPr>
            <w:tcW w:w="0" w:type="auto"/>
            <w:vMerge/>
          </w:tcPr>
          <w:p w14:paraId="2ECEC957" w14:textId="77777777" w:rsidR="002D2804" w:rsidRPr="0022554A" w:rsidRDefault="002D2804" w:rsidP="002D2804">
            <w:pPr>
              <w:tabs>
                <w:tab w:val="left" w:pos="5400"/>
              </w:tabs>
              <w:jc w:val="center"/>
              <w:rPr>
                <w:sz w:val="20"/>
              </w:rPr>
            </w:pPr>
          </w:p>
        </w:tc>
        <w:tc>
          <w:tcPr>
            <w:tcW w:w="8328" w:type="dxa"/>
          </w:tcPr>
          <w:p w14:paraId="4E0EED3D" w14:textId="77777777" w:rsidR="002D2804" w:rsidRPr="006149D3" w:rsidRDefault="002D2804" w:rsidP="002D2804">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2DB026CF" w14:textId="47AC75EA" w:rsidR="002D2804" w:rsidRPr="0022554A" w:rsidRDefault="002D2804" w:rsidP="002D2804">
            <w:pPr>
              <w:tabs>
                <w:tab w:val="left" w:pos="5400"/>
              </w:tabs>
              <w:rPr>
                <w:sz w:val="20"/>
                <w:lang w:eastAsia="zh-CN"/>
              </w:rPr>
            </w:pPr>
            <w:r>
              <w:rPr>
                <w:rFonts w:hint="eastAsia"/>
                <w:sz w:val="20"/>
                <w:lang w:eastAsia="zh-CN"/>
              </w:rPr>
              <w:t>3</w:t>
            </w:r>
          </w:p>
        </w:tc>
        <w:tc>
          <w:tcPr>
            <w:tcW w:w="3118" w:type="dxa"/>
          </w:tcPr>
          <w:p w14:paraId="59CDB162" w14:textId="576F2584" w:rsidR="002D2804" w:rsidRPr="0022554A" w:rsidRDefault="002D2804" w:rsidP="002D2804">
            <w:pPr>
              <w:tabs>
                <w:tab w:val="left" w:pos="5400"/>
              </w:tabs>
              <w:rPr>
                <w:sz w:val="20"/>
                <w:lang w:eastAsia="zh-CN"/>
              </w:rPr>
            </w:pPr>
            <w:r w:rsidRPr="00CD77CF">
              <w:rPr>
                <w:rFonts w:hint="eastAsia"/>
                <w:sz w:val="20"/>
                <w:lang w:eastAsia="zh-CN"/>
              </w:rPr>
              <w:t xml:space="preserve">Located on lines 99 - 100 of the manuscript: </w:t>
            </w:r>
            <w:r>
              <w:rPr>
                <w:sz w:val="20"/>
                <w:lang w:eastAsia="zh-CN"/>
              </w:rPr>
              <w:t>“</w:t>
            </w:r>
            <w:r w:rsidRPr="00CD77CF">
              <w:rPr>
                <w:rFonts w:hint="eastAsia"/>
                <w:sz w:val="20"/>
                <w:lang w:eastAsia="zh-CN"/>
              </w:rPr>
              <w:t>body mass index [BMI, categorized into underweight (&lt; 18.5), normal (18.5 to 24.9), overweight (25 to 29.9), and obese (</w:t>
            </w:r>
            <w:r w:rsidRPr="00CD77CF">
              <w:rPr>
                <w:rFonts w:hint="eastAsia"/>
                <w:sz w:val="20"/>
                <w:lang w:eastAsia="zh-CN"/>
              </w:rPr>
              <w:t>≥</w:t>
            </w:r>
            <w:r w:rsidRPr="00CD77CF">
              <w:rPr>
                <w:rFonts w:hint="eastAsia"/>
                <w:sz w:val="20"/>
                <w:lang w:eastAsia="zh-CN"/>
              </w:rPr>
              <w:t xml:space="preserve"> 30)]</w:t>
            </w:r>
            <w:r>
              <w:rPr>
                <w:sz w:val="20"/>
                <w:lang w:eastAsia="zh-CN"/>
              </w:rPr>
              <w:t>”</w:t>
            </w:r>
            <w:r w:rsidRPr="00CD77CF">
              <w:rPr>
                <w:rFonts w:hint="eastAsia"/>
                <w:sz w:val="20"/>
                <w:lang w:eastAsia="zh-CN"/>
              </w:rPr>
              <w:t>.</w:t>
            </w:r>
          </w:p>
        </w:tc>
      </w:tr>
      <w:tr w:rsidR="002D2804" w:rsidRPr="0022554A" w14:paraId="575B432C" w14:textId="77777777" w:rsidTr="00517788">
        <w:tc>
          <w:tcPr>
            <w:tcW w:w="0" w:type="auto"/>
            <w:vMerge/>
          </w:tcPr>
          <w:p w14:paraId="797BC961" w14:textId="77777777" w:rsidR="002D2804" w:rsidRPr="0022554A" w:rsidRDefault="002D2804" w:rsidP="002D2804">
            <w:pPr>
              <w:tabs>
                <w:tab w:val="left" w:pos="5400"/>
              </w:tabs>
              <w:rPr>
                <w:bCs/>
                <w:sz w:val="20"/>
              </w:rPr>
            </w:pPr>
            <w:bookmarkStart w:id="101" w:name="italic42" w:colFirst="0" w:colLast="0"/>
            <w:bookmarkStart w:id="102" w:name="bold43" w:colFirst="0" w:colLast="0"/>
            <w:bookmarkEnd w:id="98"/>
            <w:bookmarkEnd w:id="99"/>
          </w:p>
        </w:tc>
        <w:tc>
          <w:tcPr>
            <w:tcW w:w="0" w:type="auto"/>
            <w:vMerge/>
          </w:tcPr>
          <w:p w14:paraId="1CE9988F" w14:textId="77777777" w:rsidR="002D2804" w:rsidRPr="0022554A" w:rsidRDefault="002D2804" w:rsidP="002D2804">
            <w:pPr>
              <w:tabs>
                <w:tab w:val="left" w:pos="5400"/>
              </w:tabs>
              <w:jc w:val="center"/>
              <w:rPr>
                <w:sz w:val="20"/>
              </w:rPr>
            </w:pPr>
          </w:p>
        </w:tc>
        <w:tc>
          <w:tcPr>
            <w:tcW w:w="8328" w:type="dxa"/>
          </w:tcPr>
          <w:p w14:paraId="488E656A" w14:textId="77777777" w:rsidR="002D2804" w:rsidRPr="006149D3" w:rsidRDefault="002D2804" w:rsidP="002D2804">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19D56794" w14:textId="412F6250" w:rsidR="002D2804" w:rsidRPr="0022554A" w:rsidRDefault="002D2804" w:rsidP="002D2804">
            <w:pPr>
              <w:tabs>
                <w:tab w:val="left" w:pos="5400"/>
              </w:tabs>
              <w:rPr>
                <w:sz w:val="20"/>
              </w:rPr>
            </w:pPr>
            <w:r w:rsidRPr="00CD77CF">
              <w:rPr>
                <w:iCs/>
                <w:sz w:val="20"/>
              </w:rPr>
              <w:t>Not applicable</w:t>
            </w:r>
          </w:p>
        </w:tc>
        <w:tc>
          <w:tcPr>
            <w:tcW w:w="3118" w:type="dxa"/>
          </w:tcPr>
          <w:p w14:paraId="2AF36AF7" w14:textId="0BAFB80A" w:rsidR="002D2804" w:rsidRPr="0022554A" w:rsidRDefault="002D2804" w:rsidP="002D2804">
            <w:pPr>
              <w:tabs>
                <w:tab w:val="left" w:pos="5400"/>
              </w:tabs>
              <w:rPr>
                <w:sz w:val="20"/>
              </w:rPr>
            </w:pPr>
            <w:r w:rsidRPr="0060147C">
              <w:rPr>
                <w:sz w:val="20"/>
              </w:rPr>
              <w:t>This method was not used in this study.</w:t>
            </w:r>
          </w:p>
        </w:tc>
      </w:tr>
    </w:tbl>
    <w:p w14:paraId="632CC6B9" w14:textId="77777777" w:rsidR="00191A23" w:rsidRDefault="00191A23">
      <w:bookmarkStart w:id="103" w:name="italic43"/>
      <w:bookmarkStart w:id="104" w:name="bold44"/>
      <w:bookmarkEnd w:id="100"/>
      <w:bookmarkEnd w:id="101"/>
      <w:bookmarkEnd w:id="102"/>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4"/>
        <w:gridCol w:w="416"/>
        <w:gridCol w:w="8579"/>
        <w:gridCol w:w="1394"/>
        <w:gridCol w:w="3109"/>
      </w:tblGrid>
      <w:tr w:rsidR="00191A23" w:rsidRPr="0022554A" w14:paraId="41B81087" w14:textId="77777777" w:rsidTr="00517788">
        <w:tc>
          <w:tcPr>
            <w:tcW w:w="0" w:type="auto"/>
          </w:tcPr>
          <w:p w14:paraId="47D09BF2" w14:textId="77777777" w:rsidR="00191A23" w:rsidRPr="0022554A" w:rsidRDefault="00191A23" w:rsidP="00191A23">
            <w:pPr>
              <w:tabs>
                <w:tab w:val="left" w:pos="5400"/>
              </w:tabs>
              <w:rPr>
                <w:bCs/>
                <w:sz w:val="20"/>
              </w:rPr>
            </w:pPr>
            <w:r w:rsidRPr="0022554A">
              <w:rPr>
                <w:bCs/>
                <w:sz w:val="20"/>
              </w:rPr>
              <w:lastRenderedPageBreak/>
              <w:t>Other analyses</w:t>
            </w:r>
            <w:bookmarkEnd w:id="103"/>
            <w:bookmarkEnd w:id="104"/>
          </w:p>
        </w:tc>
        <w:tc>
          <w:tcPr>
            <w:tcW w:w="0" w:type="auto"/>
          </w:tcPr>
          <w:p w14:paraId="28FB6C9B" w14:textId="77777777" w:rsidR="00191A23" w:rsidRPr="0022554A" w:rsidRDefault="00191A23" w:rsidP="00191A23">
            <w:pPr>
              <w:tabs>
                <w:tab w:val="left" w:pos="5400"/>
              </w:tabs>
              <w:jc w:val="center"/>
              <w:rPr>
                <w:sz w:val="20"/>
              </w:rPr>
            </w:pPr>
            <w:r w:rsidRPr="0022554A">
              <w:rPr>
                <w:sz w:val="20"/>
              </w:rPr>
              <w:t>17</w:t>
            </w:r>
          </w:p>
        </w:tc>
        <w:tc>
          <w:tcPr>
            <w:tcW w:w="8687" w:type="dxa"/>
          </w:tcPr>
          <w:p w14:paraId="50823A0B"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2EF999A1" w14:textId="4BC1E560" w:rsidR="00191A23" w:rsidRPr="0022554A" w:rsidRDefault="00E74998" w:rsidP="00191A23">
            <w:pPr>
              <w:tabs>
                <w:tab w:val="left" w:pos="5400"/>
              </w:tabs>
              <w:rPr>
                <w:sz w:val="20"/>
                <w:lang w:eastAsia="zh-CN"/>
              </w:rPr>
            </w:pPr>
            <w:r>
              <w:rPr>
                <w:rFonts w:hint="eastAsia"/>
                <w:sz w:val="20"/>
                <w:lang w:eastAsia="zh-CN"/>
              </w:rPr>
              <w:t>6-7</w:t>
            </w:r>
          </w:p>
        </w:tc>
        <w:tc>
          <w:tcPr>
            <w:tcW w:w="3129" w:type="dxa"/>
          </w:tcPr>
          <w:p w14:paraId="388782F7" w14:textId="4D7B1BCB" w:rsidR="00191A23" w:rsidRPr="00B33CC3" w:rsidRDefault="00B33CC3" w:rsidP="00191A23">
            <w:pPr>
              <w:tabs>
                <w:tab w:val="left" w:pos="5400"/>
              </w:tabs>
              <w:rPr>
                <w:sz w:val="20"/>
              </w:rPr>
            </w:pPr>
            <w:r w:rsidRPr="00B33CC3">
              <w:rPr>
                <w:sz w:val="20"/>
              </w:rPr>
              <w:t xml:space="preserve">Lines 214 - 228 of the manuscript introduce the "Risk Factors and Prediction Models for AKI in Patients with IgA Nephropathy". Lines 229 - 252 of the manuscript present the "Validation and Comparison of Prediction Models". Lines 253 - 255 of the manuscript describe "The association between AKI and long - term prognosis in </w:t>
            </w:r>
            <w:proofErr w:type="spellStart"/>
            <w:r w:rsidRPr="00B33CC3">
              <w:rPr>
                <w:sz w:val="20"/>
              </w:rPr>
              <w:t>IgAN</w:t>
            </w:r>
            <w:proofErr w:type="spellEnd"/>
            <w:r w:rsidRPr="00B33CC3">
              <w:rPr>
                <w:sz w:val="20"/>
              </w:rPr>
              <w:t xml:space="preserve"> patients".</w:t>
            </w:r>
          </w:p>
        </w:tc>
      </w:tr>
      <w:tr w:rsidR="00976EE1" w:rsidRPr="0022554A" w14:paraId="4AD8F6C9" w14:textId="77777777" w:rsidTr="00191A23">
        <w:tc>
          <w:tcPr>
            <w:tcW w:w="14992" w:type="dxa"/>
            <w:gridSpan w:val="5"/>
          </w:tcPr>
          <w:p w14:paraId="4D5ED9DE" w14:textId="77777777" w:rsidR="00976EE1" w:rsidRPr="0022554A" w:rsidRDefault="00976EE1" w:rsidP="00191A23">
            <w:pPr>
              <w:pStyle w:val="TableSubHead"/>
              <w:tabs>
                <w:tab w:val="left" w:pos="5400"/>
              </w:tabs>
              <w:rPr>
                <w:sz w:val="20"/>
              </w:rPr>
            </w:pPr>
            <w:bookmarkStart w:id="105" w:name="italic44"/>
            <w:bookmarkStart w:id="106" w:name="bold45"/>
            <w:r w:rsidRPr="0022554A">
              <w:rPr>
                <w:sz w:val="20"/>
              </w:rPr>
              <w:t>Discussion</w:t>
            </w:r>
            <w:bookmarkEnd w:id="105"/>
            <w:bookmarkEnd w:id="106"/>
          </w:p>
        </w:tc>
      </w:tr>
      <w:tr w:rsidR="00191A23" w:rsidRPr="0022554A" w14:paraId="6C6FAF85" w14:textId="77777777" w:rsidTr="00517788">
        <w:tc>
          <w:tcPr>
            <w:tcW w:w="0" w:type="auto"/>
          </w:tcPr>
          <w:p w14:paraId="00804E65" w14:textId="77777777" w:rsidR="00191A23" w:rsidRPr="0022554A" w:rsidRDefault="00191A23" w:rsidP="00191A23">
            <w:pPr>
              <w:tabs>
                <w:tab w:val="left" w:pos="5400"/>
              </w:tabs>
              <w:rPr>
                <w:bCs/>
                <w:sz w:val="20"/>
              </w:rPr>
            </w:pPr>
            <w:bookmarkStart w:id="107" w:name="italic45" w:colFirst="0" w:colLast="0"/>
            <w:bookmarkStart w:id="108" w:name="bold46" w:colFirst="0" w:colLast="0"/>
            <w:r w:rsidRPr="0022554A">
              <w:rPr>
                <w:bCs/>
                <w:sz w:val="20"/>
              </w:rPr>
              <w:t>Key results</w:t>
            </w:r>
          </w:p>
        </w:tc>
        <w:tc>
          <w:tcPr>
            <w:tcW w:w="0" w:type="auto"/>
          </w:tcPr>
          <w:p w14:paraId="554C3635" w14:textId="77777777" w:rsidR="00191A23" w:rsidRPr="0022554A" w:rsidRDefault="00191A23" w:rsidP="00191A23">
            <w:pPr>
              <w:tabs>
                <w:tab w:val="left" w:pos="5400"/>
              </w:tabs>
              <w:jc w:val="center"/>
              <w:rPr>
                <w:sz w:val="20"/>
              </w:rPr>
            </w:pPr>
            <w:r w:rsidRPr="0022554A">
              <w:rPr>
                <w:sz w:val="20"/>
              </w:rPr>
              <w:t>18</w:t>
            </w:r>
          </w:p>
        </w:tc>
        <w:tc>
          <w:tcPr>
            <w:tcW w:w="8687" w:type="dxa"/>
          </w:tcPr>
          <w:p w14:paraId="67C86DF6"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0F2F7274" w14:textId="32A034FE" w:rsidR="00191A23" w:rsidRPr="0022554A" w:rsidRDefault="00E74998" w:rsidP="00191A23">
            <w:pPr>
              <w:tabs>
                <w:tab w:val="left" w:pos="5400"/>
              </w:tabs>
              <w:rPr>
                <w:sz w:val="20"/>
                <w:lang w:eastAsia="zh-CN"/>
              </w:rPr>
            </w:pPr>
            <w:r>
              <w:rPr>
                <w:rFonts w:hint="eastAsia"/>
                <w:sz w:val="20"/>
                <w:lang w:eastAsia="zh-CN"/>
              </w:rPr>
              <w:t>7-8</w:t>
            </w:r>
          </w:p>
        </w:tc>
        <w:tc>
          <w:tcPr>
            <w:tcW w:w="3129" w:type="dxa"/>
          </w:tcPr>
          <w:p w14:paraId="2A4677D3" w14:textId="18FE530D" w:rsidR="00191A23" w:rsidRPr="00367D00" w:rsidRDefault="00367D00" w:rsidP="00191A23">
            <w:pPr>
              <w:tabs>
                <w:tab w:val="left" w:pos="5400"/>
              </w:tabs>
              <w:rPr>
                <w:rFonts w:hint="eastAsia"/>
                <w:sz w:val="20"/>
                <w:lang w:eastAsia="zh-CN"/>
              </w:rPr>
            </w:pPr>
            <w:bookmarkStart w:id="109" w:name="OLE_LINK110"/>
            <w:r w:rsidRPr="0060147C">
              <w:rPr>
                <w:iCs/>
                <w:sz w:val="20"/>
              </w:rPr>
              <w:t xml:space="preserve">Line </w:t>
            </w:r>
            <w:r>
              <w:rPr>
                <w:rFonts w:hint="eastAsia"/>
                <w:iCs/>
                <w:sz w:val="20"/>
                <w:lang w:eastAsia="zh-CN"/>
              </w:rPr>
              <w:t>260</w:t>
            </w:r>
            <w:r w:rsidRPr="0060147C">
              <w:rPr>
                <w:iCs/>
                <w:sz w:val="20"/>
              </w:rPr>
              <w:t>-</w:t>
            </w:r>
            <w:r>
              <w:rPr>
                <w:rFonts w:hint="eastAsia"/>
                <w:iCs/>
                <w:sz w:val="20"/>
                <w:lang w:eastAsia="zh-CN"/>
              </w:rPr>
              <w:t>281</w:t>
            </w:r>
            <w:r w:rsidRPr="0060147C">
              <w:rPr>
                <w:iCs/>
                <w:sz w:val="20"/>
              </w:rPr>
              <w:t xml:space="preserve"> of the manuscript states, </w:t>
            </w:r>
            <w:bookmarkEnd w:id="109"/>
            <w:r w:rsidRPr="0060147C">
              <w:rPr>
                <w:iCs/>
                <w:sz w:val="20"/>
              </w:rPr>
              <w:t>“</w:t>
            </w:r>
            <w:r w:rsidRPr="00367D00">
              <w:rPr>
                <w:iCs/>
                <w:sz w:val="20"/>
              </w:rPr>
              <w:t xml:space="preserve">We observed that, compared to </w:t>
            </w:r>
            <w:proofErr w:type="spellStart"/>
            <w:r w:rsidRPr="00367D00">
              <w:rPr>
                <w:iCs/>
                <w:sz w:val="20"/>
              </w:rPr>
              <w:t>IgAN</w:t>
            </w:r>
            <w:proofErr w:type="spellEnd"/>
            <w:r w:rsidRPr="00367D00">
              <w:rPr>
                <w:iCs/>
                <w:sz w:val="20"/>
              </w:rPr>
              <w:t xml:space="preserve"> patients without AKI, those with AKI have a significantly higher risk of long-term renal function decline. Therefore, it is crucial to identify </w:t>
            </w:r>
            <w:proofErr w:type="spellStart"/>
            <w:r w:rsidRPr="00367D00">
              <w:rPr>
                <w:iCs/>
                <w:sz w:val="20"/>
              </w:rPr>
              <w:t>IgAN</w:t>
            </w:r>
            <w:proofErr w:type="spellEnd"/>
            <w:r w:rsidRPr="00367D00">
              <w:rPr>
                <w:iCs/>
                <w:sz w:val="20"/>
              </w:rPr>
              <w:t xml:space="preserve"> patients at risk of AKI early and implement preventive measures, rather than solely treating those who have already developed AKI. However, there are no practical predictive tools available to identify individuals among </w:t>
            </w:r>
            <w:proofErr w:type="spellStart"/>
            <w:r w:rsidRPr="00367D00">
              <w:rPr>
                <w:iCs/>
                <w:sz w:val="20"/>
              </w:rPr>
              <w:t>IgAN</w:t>
            </w:r>
            <w:proofErr w:type="spellEnd"/>
            <w:r w:rsidRPr="00367D00">
              <w:rPr>
                <w:iCs/>
                <w:sz w:val="20"/>
              </w:rPr>
              <w:t xml:space="preserve"> patients who may progress to AKI. In present study, we identified 11 risk factors for the occurrence of AKI in patients with </w:t>
            </w:r>
            <w:proofErr w:type="spellStart"/>
            <w:r w:rsidRPr="00367D00">
              <w:rPr>
                <w:iCs/>
                <w:sz w:val="20"/>
              </w:rPr>
              <w:t>IgAN</w:t>
            </w:r>
            <w:proofErr w:type="spellEnd"/>
            <w:r w:rsidRPr="00367D00">
              <w:rPr>
                <w:iCs/>
                <w:sz w:val="20"/>
              </w:rPr>
              <w:t xml:space="preserve">, which include the presence </w:t>
            </w:r>
            <w:r w:rsidRPr="00367D00">
              <w:rPr>
                <w:iCs/>
                <w:sz w:val="20"/>
              </w:rPr>
              <w:lastRenderedPageBreak/>
              <w:t xml:space="preserve">of NS, T1 in the Oxford histological score, high levels of </w:t>
            </w:r>
            <w:bookmarkStart w:id="110" w:name="OLE_LINK69"/>
            <w:r w:rsidRPr="00367D00">
              <w:rPr>
                <w:iCs/>
                <w:sz w:val="20"/>
              </w:rPr>
              <w:t>BUN, 24h-UPRO, CRP, SIRI, and PLR, as well as low eGFR, LMR, LCR, and PNI.</w:t>
            </w:r>
            <w:bookmarkEnd w:id="110"/>
            <w:r w:rsidRPr="00367D00">
              <w:rPr>
                <w:iCs/>
                <w:sz w:val="20"/>
              </w:rPr>
              <w:t xml:space="preserve"> We used the aforementioned results to construct a comprehensive model for predicting the risk of AKI in patients with </w:t>
            </w:r>
            <w:proofErr w:type="spellStart"/>
            <w:r w:rsidRPr="00367D00">
              <w:rPr>
                <w:iCs/>
                <w:sz w:val="20"/>
              </w:rPr>
              <w:t>IgAN</w:t>
            </w:r>
            <w:proofErr w:type="spellEnd"/>
            <w:r w:rsidRPr="00367D00">
              <w:rPr>
                <w:iCs/>
                <w:sz w:val="20"/>
              </w:rPr>
              <w:t xml:space="preserve">. Since CRP, SIRI, LMR, PLR, and LCR are primarily related to inflammation, these inflammatory markers were extracted and individually combined with other features to construct five new prediction models, extended the usability of the models. Additionally, we employed Lasso regression to select the risk factors, identifying eGFR, BUN, and CRP, thereby developing a more streamlined model (Model 6). Consequently, a total of seven prediction models were established, along with corresponding nomograms to quantify the risk of AKI. We also evaluated the predictive performance and calibration of each model and created decision curves to assess clinical benefits. All seven models demonstrated good predictive capabilities, with the Full Model </w:t>
            </w:r>
            <w:r w:rsidRPr="00367D00">
              <w:rPr>
                <w:iCs/>
                <w:sz w:val="20"/>
              </w:rPr>
              <w:lastRenderedPageBreak/>
              <w:t xml:space="preserve">being the best performer. All models, except Model 5, exhibited good calibration. Furthermore, we discovered that all models possessed strong clinical decision-making abilities. Ultimately, we recommend prioritizing the use of the full model for predicting the risk of AKI in </w:t>
            </w:r>
            <w:proofErr w:type="spellStart"/>
            <w:r w:rsidRPr="00367D00">
              <w:rPr>
                <w:iCs/>
                <w:sz w:val="20"/>
              </w:rPr>
              <w:t>IgAN</w:t>
            </w:r>
            <w:proofErr w:type="spellEnd"/>
            <w:r w:rsidRPr="00367D00">
              <w:rPr>
                <w:iCs/>
                <w:sz w:val="20"/>
              </w:rPr>
              <w:t xml:space="preserve"> patients in clinical practice. Additionally, the other models, excluding Model 5, can also be considered for clinical application.</w:t>
            </w:r>
            <w:r>
              <w:rPr>
                <w:iCs/>
                <w:sz w:val="20"/>
                <w:lang w:eastAsia="zh-CN"/>
              </w:rPr>
              <w:t>”</w:t>
            </w:r>
          </w:p>
        </w:tc>
      </w:tr>
      <w:tr w:rsidR="00191A23" w:rsidRPr="0022554A" w14:paraId="385CFEBC" w14:textId="77777777" w:rsidTr="00517788">
        <w:tc>
          <w:tcPr>
            <w:tcW w:w="0" w:type="auto"/>
          </w:tcPr>
          <w:p w14:paraId="13AD614D" w14:textId="77777777" w:rsidR="00191A23" w:rsidRPr="0022554A" w:rsidRDefault="00191A23" w:rsidP="00191A23">
            <w:pPr>
              <w:tabs>
                <w:tab w:val="left" w:pos="5400"/>
              </w:tabs>
              <w:rPr>
                <w:bCs/>
                <w:sz w:val="20"/>
              </w:rPr>
            </w:pPr>
            <w:bookmarkStart w:id="111" w:name="italic46" w:colFirst="0" w:colLast="0"/>
            <w:bookmarkStart w:id="112" w:name="bold47" w:colFirst="0" w:colLast="0"/>
            <w:bookmarkEnd w:id="107"/>
            <w:bookmarkEnd w:id="108"/>
            <w:r w:rsidRPr="0022554A">
              <w:rPr>
                <w:bCs/>
                <w:sz w:val="20"/>
              </w:rPr>
              <w:lastRenderedPageBreak/>
              <w:t>Limitations</w:t>
            </w:r>
          </w:p>
        </w:tc>
        <w:tc>
          <w:tcPr>
            <w:tcW w:w="0" w:type="auto"/>
          </w:tcPr>
          <w:p w14:paraId="7D7A94AB" w14:textId="77777777" w:rsidR="00191A23" w:rsidRPr="0022554A" w:rsidRDefault="00191A23" w:rsidP="00191A23">
            <w:pPr>
              <w:tabs>
                <w:tab w:val="left" w:pos="5400"/>
              </w:tabs>
              <w:jc w:val="center"/>
              <w:rPr>
                <w:sz w:val="20"/>
              </w:rPr>
            </w:pPr>
            <w:r w:rsidRPr="0022554A">
              <w:rPr>
                <w:sz w:val="20"/>
              </w:rPr>
              <w:t>19</w:t>
            </w:r>
          </w:p>
        </w:tc>
        <w:tc>
          <w:tcPr>
            <w:tcW w:w="8687" w:type="dxa"/>
          </w:tcPr>
          <w:p w14:paraId="62A6722F"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26775DE7" w14:textId="1C858B14" w:rsidR="00191A23" w:rsidRPr="0022554A" w:rsidRDefault="00E74998" w:rsidP="00191A23">
            <w:pPr>
              <w:tabs>
                <w:tab w:val="left" w:pos="5400"/>
              </w:tabs>
              <w:rPr>
                <w:sz w:val="20"/>
                <w:lang w:eastAsia="zh-CN"/>
              </w:rPr>
            </w:pPr>
            <w:r>
              <w:rPr>
                <w:rFonts w:hint="eastAsia"/>
                <w:sz w:val="20"/>
                <w:lang w:eastAsia="zh-CN"/>
              </w:rPr>
              <w:t>11-12</w:t>
            </w:r>
          </w:p>
        </w:tc>
        <w:tc>
          <w:tcPr>
            <w:tcW w:w="3129" w:type="dxa"/>
          </w:tcPr>
          <w:p w14:paraId="4C5A1ED0" w14:textId="5B547169" w:rsidR="00191A23" w:rsidRPr="00367D00" w:rsidRDefault="00367D00" w:rsidP="00367D00">
            <w:pPr>
              <w:pStyle w:val="11"/>
              <w:rPr>
                <w:rFonts w:ascii="Times" w:hAnsi="Times" w:hint="eastAsia"/>
                <w:sz w:val="24"/>
                <w:lang w:eastAsia="zh-CN"/>
              </w:rPr>
            </w:pPr>
            <w:r w:rsidRPr="0060147C">
              <w:rPr>
                <w:iCs/>
                <w:sz w:val="20"/>
              </w:rPr>
              <w:t xml:space="preserve">Line </w:t>
            </w:r>
            <w:r>
              <w:rPr>
                <w:rFonts w:hint="eastAsia"/>
                <w:iCs/>
                <w:sz w:val="20"/>
                <w:lang w:eastAsia="zh-CN"/>
              </w:rPr>
              <w:t>423</w:t>
            </w:r>
            <w:r w:rsidRPr="0060147C">
              <w:rPr>
                <w:iCs/>
                <w:sz w:val="20"/>
              </w:rPr>
              <w:t>-</w:t>
            </w:r>
            <w:r>
              <w:rPr>
                <w:rFonts w:hint="eastAsia"/>
                <w:iCs/>
                <w:sz w:val="20"/>
                <w:lang w:eastAsia="zh-CN"/>
              </w:rPr>
              <w:t>434</w:t>
            </w:r>
            <w:r w:rsidRPr="0060147C">
              <w:rPr>
                <w:iCs/>
                <w:sz w:val="20"/>
              </w:rPr>
              <w:t xml:space="preserve"> of the manuscript states, </w:t>
            </w:r>
            <w:r>
              <w:rPr>
                <w:sz w:val="20"/>
                <w:lang w:eastAsia="zh-CN"/>
              </w:rPr>
              <w:t>“</w:t>
            </w:r>
            <w:r w:rsidRPr="00D43744">
              <w:rPr>
                <w:rFonts w:ascii="Times" w:hAnsi="Times" w:hint="eastAsia"/>
                <w:sz w:val="24"/>
              </w:rPr>
              <w:t xml:space="preserve">Firstly, being a retrospective study with a relatively small sample size, this research is limited in the capacity of identification, controlling of confounding factors, and conducting in-depth stratified analyses. Consequently, the accuracy and reliability of the model may be compromised. This study will continue expanding the sample size to improve the robustness and reliability of the models. Secondly, AKI was only diagnosed by creatinine </w:t>
            </w:r>
            <w:r w:rsidRPr="00D43744">
              <w:rPr>
                <w:rFonts w:ascii="Times" w:hAnsi="Times" w:hint="eastAsia"/>
                <w:sz w:val="24"/>
              </w:rPr>
              <w:lastRenderedPageBreak/>
              <w:t>changes in this study, which may lead to an underestimation of AKI incidence. Thirdly, our renal biopsy cohort only included M1 lesions, which may limit the generalizability of the findings to M0 patients. Finally, the model development and validation were based on clinical pathological data from a single institution, lacking external validation. This may introduce geographic or other systematic biases. Future studies will require the use of multi-center data for external validation to enhance the generalizability and broader applicability of the results.</w:t>
            </w:r>
            <w:r>
              <w:rPr>
                <w:sz w:val="20"/>
                <w:lang w:eastAsia="zh-CN"/>
              </w:rPr>
              <w:t>”</w:t>
            </w:r>
          </w:p>
        </w:tc>
      </w:tr>
      <w:tr w:rsidR="00191A23" w:rsidRPr="0022554A" w14:paraId="74233115" w14:textId="77777777" w:rsidTr="00517788">
        <w:tc>
          <w:tcPr>
            <w:tcW w:w="0" w:type="auto"/>
          </w:tcPr>
          <w:p w14:paraId="62A53EB9" w14:textId="77777777" w:rsidR="00191A23" w:rsidRPr="0022554A" w:rsidRDefault="00191A23" w:rsidP="00191A23">
            <w:pPr>
              <w:tabs>
                <w:tab w:val="left" w:pos="5400"/>
              </w:tabs>
              <w:rPr>
                <w:bCs/>
                <w:sz w:val="20"/>
              </w:rPr>
            </w:pPr>
            <w:bookmarkStart w:id="113" w:name="italic47" w:colFirst="0" w:colLast="0"/>
            <w:bookmarkStart w:id="114" w:name="bold48" w:colFirst="0" w:colLast="0"/>
            <w:bookmarkEnd w:id="111"/>
            <w:bookmarkEnd w:id="112"/>
            <w:r w:rsidRPr="0022554A">
              <w:rPr>
                <w:bCs/>
                <w:sz w:val="20"/>
              </w:rPr>
              <w:lastRenderedPageBreak/>
              <w:t>Interpretation</w:t>
            </w:r>
          </w:p>
        </w:tc>
        <w:tc>
          <w:tcPr>
            <w:tcW w:w="0" w:type="auto"/>
          </w:tcPr>
          <w:p w14:paraId="78642388" w14:textId="77777777" w:rsidR="00191A23" w:rsidRPr="0022554A" w:rsidRDefault="00191A23" w:rsidP="00191A23">
            <w:pPr>
              <w:tabs>
                <w:tab w:val="left" w:pos="5400"/>
              </w:tabs>
              <w:jc w:val="center"/>
              <w:rPr>
                <w:sz w:val="20"/>
              </w:rPr>
            </w:pPr>
            <w:r w:rsidRPr="0022554A">
              <w:rPr>
                <w:sz w:val="20"/>
              </w:rPr>
              <w:t>20</w:t>
            </w:r>
          </w:p>
        </w:tc>
        <w:tc>
          <w:tcPr>
            <w:tcW w:w="8687" w:type="dxa"/>
          </w:tcPr>
          <w:p w14:paraId="34B420ED"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7D5FFC23" w14:textId="3D8F422F" w:rsidR="00191A23" w:rsidRPr="0022554A" w:rsidRDefault="00E74998" w:rsidP="00191A23">
            <w:pPr>
              <w:tabs>
                <w:tab w:val="left" w:pos="5400"/>
              </w:tabs>
              <w:rPr>
                <w:sz w:val="20"/>
                <w:lang w:eastAsia="zh-CN"/>
              </w:rPr>
            </w:pPr>
            <w:r>
              <w:rPr>
                <w:rFonts w:hint="eastAsia"/>
                <w:sz w:val="20"/>
                <w:lang w:eastAsia="zh-CN"/>
              </w:rPr>
              <w:t>8-11</w:t>
            </w:r>
          </w:p>
        </w:tc>
        <w:tc>
          <w:tcPr>
            <w:tcW w:w="3129" w:type="dxa"/>
          </w:tcPr>
          <w:p w14:paraId="6658B4F6" w14:textId="0276C7E4" w:rsidR="00191A23" w:rsidRPr="0022554A" w:rsidRDefault="00C14076" w:rsidP="00191A23">
            <w:pPr>
              <w:tabs>
                <w:tab w:val="left" w:pos="5400"/>
              </w:tabs>
              <w:rPr>
                <w:sz w:val="20"/>
              </w:rPr>
            </w:pPr>
            <w:r w:rsidRPr="00C14076">
              <w:rPr>
                <w:sz w:val="20"/>
              </w:rPr>
              <w:t>Lines 282 - 417 of the manuscript elaborate in detail on the results of this study, namely the content and significance of the prediction model, and also delve deeply into the possible mechanisms of occurrence.</w:t>
            </w:r>
          </w:p>
        </w:tc>
      </w:tr>
      <w:tr w:rsidR="00191A23" w:rsidRPr="0022554A" w14:paraId="58D19C42" w14:textId="77777777" w:rsidTr="00517788">
        <w:tc>
          <w:tcPr>
            <w:tcW w:w="0" w:type="auto"/>
          </w:tcPr>
          <w:p w14:paraId="051EEC2B" w14:textId="77777777" w:rsidR="00191A23" w:rsidRPr="0022554A" w:rsidRDefault="00191A23" w:rsidP="00191A23">
            <w:pPr>
              <w:tabs>
                <w:tab w:val="left" w:pos="5400"/>
              </w:tabs>
              <w:rPr>
                <w:bCs/>
                <w:sz w:val="20"/>
              </w:rPr>
            </w:pPr>
            <w:bookmarkStart w:id="115" w:name="italic48" w:colFirst="0" w:colLast="0"/>
            <w:bookmarkStart w:id="116" w:name="bold49" w:colFirst="0" w:colLast="0"/>
            <w:bookmarkStart w:id="117" w:name="_Hlk190137917"/>
            <w:bookmarkEnd w:id="113"/>
            <w:bookmarkEnd w:id="114"/>
            <w:r w:rsidRPr="0022554A">
              <w:rPr>
                <w:bCs/>
                <w:sz w:val="20"/>
              </w:rPr>
              <w:t>Generalisability</w:t>
            </w:r>
          </w:p>
        </w:tc>
        <w:tc>
          <w:tcPr>
            <w:tcW w:w="0" w:type="auto"/>
          </w:tcPr>
          <w:p w14:paraId="0E56D2B7" w14:textId="77777777" w:rsidR="00191A23" w:rsidRPr="0022554A" w:rsidRDefault="00191A23" w:rsidP="00191A23">
            <w:pPr>
              <w:tabs>
                <w:tab w:val="left" w:pos="5400"/>
              </w:tabs>
              <w:jc w:val="center"/>
              <w:rPr>
                <w:sz w:val="20"/>
              </w:rPr>
            </w:pPr>
            <w:r w:rsidRPr="0022554A">
              <w:rPr>
                <w:sz w:val="20"/>
              </w:rPr>
              <w:t>21</w:t>
            </w:r>
          </w:p>
        </w:tc>
        <w:tc>
          <w:tcPr>
            <w:tcW w:w="8687" w:type="dxa"/>
          </w:tcPr>
          <w:p w14:paraId="33DE6696"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7612537E" w14:textId="1A787FC5" w:rsidR="00191A23" w:rsidRPr="0022554A" w:rsidRDefault="00E74998" w:rsidP="00191A23">
            <w:pPr>
              <w:tabs>
                <w:tab w:val="left" w:pos="5400"/>
              </w:tabs>
              <w:rPr>
                <w:sz w:val="20"/>
                <w:lang w:eastAsia="zh-CN"/>
              </w:rPr>
            </w:pPr>
            <w:r>
              <w:rPr>
                <w:rFonts w:hint="eastAsia"/>
                <w:sz w:val="20"/>
                <w:lang w:eastAsia="zh-CN"/>
              </w:rPr>
              <w:t>11</w:t>
            </w:r>
          </w:p>
        </w:tc>
        <w:tc>
          <w:tcPr>
            <w:tcW w:w="3129" w:type="dxa"/>
          </w:tcPr>
          <w:p w14:paraId="381A0228" w14:textId="127A08E0" w:rsidR="00191A23" w:rsidRPr="00C14076" w:rsidRDefault="00C14076" w:rsidP="00191A23">
            <w:pPr>
              <w:tabs>
                <w:tab w:val="left" w:pos="5400"/>
              </w:tabs>
              <w:rPr>
                <w:sz w:val="20"/>
              </w:rPr>
            </w:pPr>
            <w:r w:rsidRPr="00C14076">
              <w:rPr>
                <w:sz w:val="20"/>
              </w:rPr>
              <w:t>Lines 430 - 434 of the manuscript discuss the generali</w:t>
            </w:r>
            <w:r>
              <w:rPr>
                <w:rFonts w:hint="eastAsia"/>
                <w:sz w:val="20"/>
                <w:lang w:eastAsia="zh-CN"/>
              </w:rPr>
              <w:t>s</w:t>
            </w:r>
            <w:r w:rsidRPr="00C14076">
              <w:rPr>
                <w:sz w:val="20"/>
              </w:rPr>
              <w:t xml:space="preserve">ability of the </w:t>
            </w:r>
            <w:r w:rsidRPr="00C14076">
              <w:rPr>
                <w:sz w:val="20"/>
              </w:rPr>
              <w:lastRenderedPageBreak/>
              <w:t>results.</w:t>
            </w:r>
          </w:p>
        </w:tc>
      </w:tr>
      <w:tr w:rsidR="00191A23" w:rsidRPr="0022554A" w14:paraId="1845AA4C" w14:textId="77777777" w:rsidTr="00517788">
        <w:tc>
          <w:tcPr>
            <w:tcW w:w="1911" w:type="dxa"/>
            <w:gridSpan w:val="2"/>
          </w:tcPr>
          <w:p w14:paraId="7C64871C" w14:textId="77777777" w:rsidR="00191A23" w:rsidRPr="0022554A" w:rsidRDefault="00191A23" w:rsidP="00191A23">
            <w:pPr>
              <w:pStyle w:val="TableSubHead"/>
              <w:tabs>
                <w:tab w:val="left" w:pos="5400"/>
              </w:tabs>
              <w:rPr>
                <w:sz w:val="20"/>
              </w:rPr>
            </w:pPr>
            <w:bookmarkStart w:id="118" w:name="italic49"/>
            <w:bookmarkStart w:id="119" w:name="bold50"/>
            <w:bookmarkEnd w:id="115"/>
            <w:bookmarkEnd w:id="116"/>
            <w:bookmarkEnd w:id="117"/>
            <w:r w:rsidRPr="0022554A">
              <w:rPr>
                <w:sz w:val="20"/>
              </w:rPr>
              <w:lastRenderedPageBreak/>
              <w:t>Other information</w:t>
            </w:r>
          </w:p>
        </w:tc>
        <w:bookmarkEnd w:id="118"/>
        <w:bookmarkEnd w:id="119"/>
        <w:tc>
          <w:tcPr>
            <w:tcW w:w="13081" w:type="dxa"/>
            <w:gridSpan w:val="3"/>
          </w:tcPr>
          <w:p w14:paraId="37A03608" w14:textId="77777777" w:rsidR="00191A23" w:rsidRPr="0022554A" w:rsidRDefault="00191A23" w:rsidP="00191A23">
            <w:pPr>
              <w:pStyle w:val="TableSubHead"/>
              <w:tabs>
                <w:tab w:val="left" w:pos="5400"/>
              </w:tabs>
              <w:rPr>
                <w:sz w:val="20"/>
              </w:rPr>
            </w:pPr>
          </w:p>
        </w:tc>
      </w:tr>
      <w:tr w:rsidR="00191A23" w:rsidRPr="0022554A" w14:paraId="2C1A63F9" w14:textId="77777777" w:rsidTr="00517788">
        <w:tc>
          <w:tcPr>
            <w:tcW w:w="0" w:type="auto"/>
          </w:tcPr>
          <w:p w14:paraId="43A2F3D6" w14:textId="77777777" w:rsidR="00191A23" w:rsidRPr="0022554A" w:rsidRDefault="00191A23" w:rsidP="00191A23">
            <w:pPr>
              <w:tabs>
                <w:tab w:val="left" w:pos="5400"/>
              </w:tabs>
              <w:rPr>
                <w:bCs/>
                <w:sz w:val="20"/>
              </w:rPr>
            </w:pPr>
            <w:bookmarkStart w:id="120" w:name="italic50" w:colFirst="0" w:colLast="0"/>
            <w:bookmarkStart w:id="121" w:name="bold51" w:colFirst="0" w:colLast="0"/>
            <w:r w:rsidRPr="0022554A">
              <w:rPr>
                <w:bCs/>
                <w:sz w:val="20"/>
              </w:rPr>
              <w:t>Funding</w:t>
            </w:r>
          </w:p>
        </w:tc>
        <w:tc>
          <w:tcPr>
            <w:tcW w:w="0" w:type="auto"/>
          </w:tcPr>
          <w:p w14:paraId="5D71247E" w14:textId="77777777" w:rsidR="00191A23" w:rsidRPr="0022554A" w:rsidRDefault="00191A23" w:rsidP="00191A23">
            <w:pPr>
              <w:tabs>
                <w:tab w:val="left" w:pos="5400"/>
              </w:tabs>
              <w:jc w:val="center"/>
              <w:rPr>
                <w:sz w:val="20"/>
              </w:rPr>
            </w:pPr>
            <w:r w:rsidRPr="0022554A">
              <w:rPr>
                <w:sz w:val="20"/>
              </w:rPr>
              <w:t>22</w:t>
            </w:r>
          </w:p>
        </w:tc>
        <w:tc>
          <w:tcPr>
            <w:tcW w:w="8687" w:type="dxa"/>
          </w:tcPr>
          <w:p w14:paraId="5891E81D"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7082816A" w14:textId="797EFBB8" w:rsidR="00191A23" w:rsidRPr="0022554A" w:rsidRDefault="00C14076" w:rsidP="00191A23">
            <w:pPr>
              <w:tabs>
                <w:tab w:val="left" w:pos="5400"/>
              </w:tabs>
              <w:rPr>
                <w:sz w:val="20"/>
                <w:lang w:eastAsia="zh-CN"/>
              </w:rPr>
            </w:pPr>
            <w:r w:rsidRPr="00C14076">
              <w:rPr>
                <w:sz w:val="20"/>
                <w:lang w:eastAsia="zh-CN"/>
              </w:rPr>
              <w:t>supplementary information</w:t>
            </w:r>
          </w:p>
        </w:tc>
        <w:tc>
          <w:tcPr>
            <w:tcW w:w="3129" w:type="dxa"/>
          </w:tcPr>
          <w:p w14:paraId="59ABBA64" w14:textId="51A802A4" w:rsidR="00191A23" w:rsidRPr="0022554A" w:rsidRDefault="00820273" w:rsidP="00191A23">
            <w:pPr>
              <w:tabs>
                <w:tab w:val="left" w:pos="5400"/>
              </w:tabs>
              <w:rPr>
                <w:sz w:val="20"/>
              </w:rPr>
            </w:pPr>
            <w:r w:rsidRPr="00820273">
              <w:rPr>
                <w:sz w:val="20"/>
              </w:rPr>
              <w:t xml:space="preserve">It has been mentioned in the </w:t>
            </w:r>
            <w:bookmarkStart w:id="122" w:name="OLE_LINK197"/>
            <w:r w:rsidRPr="00820273">
              <w:rPr>
                <w:sz w:val="20"/>
              </w:rPr>
              <w:t xml:space="preserve">Funding Statement </w:t>
            </w:r>
            <w:bookmarkEnd w:id="122"/>
            <w:r w:rsidRPr="00820273">
              <w:rPr>
                <w:sz w:val="20"/>
              </w:rPr>
              <w:t>of the journal's submission system.</w:t>
            </w:r>
          </w:p>
        </w:tc>
      </w:tr>
      <w:bookmarkEnd w:id="120"/>
      <w:bookmarkEnd w:id="121"/>
    </w:tbl>
    <w:p w14:paraId="0B7A128A" w14:textId="77777777" w:rsidR="002602FB" w:rsidRDefault="002602FB" w:rsidP="0022554A">
      <w:pPr>
        <w:pStyle w:val="TableNote"/>
        <w:tabs>
          <w:tab w:val="left" w:pos="5400"/>
        </w:tabs>
        <w:rPr>
          <w:bCs/>
          <w:sz w:val="20"/>
        </w:rPr>
      </w:pPr>
    </w:p>
    <w:p w14:paraId="6525EBC2"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7AD25115" w14:textId="77777777" w:rsidR="00AE2C57" w:rsidRDefault="00AE2C57" w:rsidP="0022554A">
      <w:pPr>
        <w:pStyle w:val="TableNote"/>
        <w:tabs>
          <w:tab w:val="left" w:pos="5400"/>
        </w:tabs>
        <w:rPr>
          <w:sz w:val="20"/>
        </w:rPr>
      </w:pPr>
    </w:p>
    <w:p w14:paraId="717D8A23"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4CA19" w14:textId="77777777" w:rsidR="007E5F85" w:rsidRDefault="007E5F85">
      <w:r>
        <w:separator/>
      </w:r>
    </w:p>
  </w:endnote>
  <w:endnote w:type="continuationSeparator" w:id="0">
    <w:p w14:paraId="031AC230" w14:textId="77777777" w:rsidR="007E5F85" w:rsidRDefault="007E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1950D"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CE00084"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095A"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38438296"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F8D69" w14:textId="77777777" w:rsidR="007E5F85" w:rsidRDefault="007E5F85">
      <w:r>
        <w:separator/>
      </w:r>
    </w:p>
  </w:footnote>
  <w:footnote w:type="continuationSeparator" w:id="0">
    <w:p w14:paraId="4378D1C2" w14:textId="77777777" w:rsidR="007E5F85" w:rsidRDefault="007E5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717899166">
    <w:abstractNumId w:val="20"/>
  </w:num>
  <w:num w:numId="2" w16cid:durableId="346905419">
    <w:abstractNumId w:val="11"/>
  </w:num>
  <w:num w:numId="3" w16cid:durableId="1624654456">
    <w:abstractNumId w:val="18"/>
  </w:num>
  <w:num w:numId="4" w16cid:durableId="1231963227">
    <w:abstractNumId w:val="16"/>
  </w:num>
  <w:num w:numId="5" w16cid:durableId="1408335062">
    <w:abstractNumId w:val="15"/>
  </w:num>
  <w:num w:numId="6" w16cid:durableId="1662543517">
    <w:abstractNumId w:val="19"/>
  </w:num>
  <w:num w:numId="7" w16cid:durableId="537083759">
    <w:abstractNumId w:val="10"/>
  </w:num>
  <w:num w:numId="8" w16cid:durableId="1465083365">
    <w:abstractNumId w:val="13"/>
  </w:num>
  <w:num w:numId="9" w16cid:durableId="1640383427">
    <w:abstractNumId w:val="9"/>
  </w:num>
  <w:num w:numId="10" w16cid:durableId="1819224975">
    <w:abstractNumId w:val="14"/>
  </w:num>
  <w:num w:numId="11" w16cid:durableId="199246261">
    <w:abstractNumId w:val="7"/>
  </w:num>
  <w:num w:numId="12" w16cid:durableId="1882815512">
    <w:abstractNumId w:val="6"/>
  </w:num>
  <w:num w:numId="13" w16cid:durableId="81950339">
    <w:abstractNumId w:val="5"/>
  </w:num>
  <w:num w:numId="14" w16cid:durableId="887959207">
    <w:abstractNumId w:val="4"/>
  </w:num>
  <w:num w:numId="15" w16cid:durableId="837812740">
    <w:abstractNumId w:val="8"/>
  </w:num>
  <w:num w:numId="16" w16cid:durableId="1875002124">
    <w:abstractNumId w:val="3"/>
  </w:num>
  <w:num w:numId="17" w16cid:durableId="1336302999">
    <w:abstractNumId w:val="2"/>
  </w:num>
  <w:num w:numId="18" w16cid:durableId="855734854">
    <w:abstractNumId w:val="1"/>
  </w:num>
  <w:num w:numId="19" w16cid:durableId="103617334">
    <w:abstractNumId w:val="0"/>
  </w:num>
  <w:num w:numId="20" w16cid:durableId="801852210">
    <w:abstractNumId w:val="12"/>
  </w:num>
  <w:num w:numId="21" w16cid:durableId="1155638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83DEB"/>
    <w:rsid w:val="00093E3A"/>
    <w:rsid w:val="000B6FD4"/>
    <w:rsid w:val="000D2A6A"/>
    <w:rsid w:val="000E3193"/>
    <w:rsid w:val="000E691B"/>
    <w:rsid w:val="000F26ED"/>
    <w:rsid w:val="00110BFB"/>
    <w:rsid w:val="001310BD"/>
    <w:rsid w:val="00134AAC"/>
    <w:rsid w:val="00191A23"/>
    <w:rsid w:val="001A495C"/>
    <w:rsid w:val="001A75E9"/>
    <w:rsid w:val="001E02AD"/>
    <w:rsid w:val="00211606"/>
    <w:rsid w:val="0021265E"/>
    <w:rsid w:val="00215E03"/>
    <w:rsid w:val="00224268"/>
    <w:rsid w:val="0022554A"/>
    <w:rsid w:val="00226A29"/>
    <w:rsid w:val="002552FD"/>
    <w:rsid w:val="002602FB"/>
    <w:rsid w:val="002B385C"/>
    <w:rsid w:val="002C3983"/>
    <w:rsid w:val="002C731D"/>
    <w:rsid w:val="002D06D0"/>
    <w:rsid w:val="002D1ABE"/>
    <w:rsid w:val="002D2804"/>
    <w:rsid w:val="002E456B"/>
    <w:rsid w:val="002E7EE4"/>
    <w:rsid w:val="002F1A87"/>
    <w:rsid w:val="0032451B"/>
    <w:rsid w:val="003354B7"/>
    <w:rsid w:val="003508EF"/>
    <w:rsid w:val="00367D00"/>
    <w:rsid w:val="00372129"/>
    <w:rsid w:val="00385050"/>
    <w:rsid w:val="003A3FDD"/>
    <w:rsid w:val="003A6CD2"/>
    <w:rsid w:val="00404D2C"/>
    <w:rsid w:val="004060E6"/>
    <w:rsid w:val="00407BEA"/>
    <w:rsid w:val="00413EFB"/>
    <w:rsid w:val="004243C8"/>
    <w:rsid w:val="0045419E"/>
    <w:rsid w:val="0045734B"/>
    <w:rsid w:val="00465542"/>
    <w:rsid w:val="00470C4D"/>
    <w:rsid w:val="00472DF5"/>
    <w:rsid w:val="00495204"/>
    <w:rsid w:val="004A31B3"/>
    <w:rsid w:val="004A32C8"/>
    <w:rsid w:val="004C1B56"/>
    <w:rsid w:val="004D7690"/>
    <w:rsid w:val="004E1263"/>
    <w:rsid w:val="005044A6"/>
    <w:rsid w:val="00517788"/>
    <w:rsid w:val="00532BCD"/>
    <w:rsid w:val="00577004"/>
    <w:rsid w:val="00590F64"/>
    <w:rsid w:val="005923E5"/>
    <w:rsid w:val="005B567D"/>
    <w:rsid w:val="005D0CFC"/>
    <w:rsid w:val="005D19F4"/>
    <w:rsid w:val="005F254A"/>
    <w:rsid w:val="0060147C"/>
    <w:rsid w:val="006149D3"/>
    <w:rsid w:val="0065657F"/>
    <w:rsid w:val="00661527"/>
    <w:rsid w:val="00666336"/>
    <w:rsid w:val="00667C27"/>
    <w:rsid w:val="00683E42"/>
    <w:rsid w:val="006A2F18"/>
    <w:rsid w:val="006A5DD9"/>
    <w:rsid w:val="006B2915"/>
    <w:rsid w:val="006B56D7"/>
    <w:rsid w:val="006C0B63"/>
    <w:rsid w:val="006C7601"/>
    <w:rsid w:val="006D16AA"/>
    <w:rsid w:val="006F1322"/>
    <w:rsid w:val="006F66AC"/>
    <w:rsid w:val="00701AC5"/>
    <w:rsid w:val="00705140"/>
    <w:rsid w:val="00711D81"/>
    <w:rsid w:val="0072097E"/>
    <w:rsid w:val="00731D54"/>
    <w:rsid w:val="0074576C"/>
    <w:rsid w:val="007528AD"/>
    <w:rsid w:val="00754BA5"/>
    <w:rsid w:val="007562C3"/>
    <w:rsid w:val="00787DE5"/>
    <w:rsid w:val="007A0375"/>
    <w:rsid w:val="007C72F6"/>
    <w:rsid w:val="007D60E5"/>
    <w:rsid w:val="007E5F85"/>
    <w:rsid w:val="007F7FA0"/>
    <w:rsid w:val="00816966"/>
    <w:rsid w:val="00817D26"/>
    <w:rsid w:val="00820273"/>
    <w:rsid w:val="00821CD4"/>
    <w:rsid w:val="008423A7"/>
    <w:rsid w:val="008440CC"/>
    <w:rsid w:val="0089107E"/>
    <w:rsid w:val="00891604"/>
    <w:rsid w:val="008A190E"/>
    <w:rsid w:val="008D225B"/>
    <w:rsid w:val="008F09C5"/>
    <w:rsid w:val="00921BF8"/>
    <w:rsid w:val="009367F9"/>
    <w:rsid w:val="009642BE"/>
    <w:rsid w:val="00976EE1"/>
    <w:rsid w:val="009872CC"/>
    <w:rsid w:val="009B10F1"/>
    <w:rsid w:val="009B368D"/>
    <w:rsid w:val="009C24D4"/>
    <w:rsid w:val="009E0429"/>
    <w:rsid w:val="009F5211"/>
    <w:rsid w:val="00A07E10"/>
    <w:rsid w:val="00A13C96"/>
    <w:rsid w:val="00A42352"/>
    <w:rsid w:val="00A527E4"/>
    <w:rsid w:val="00A53859"/>
    <w:rsid w:val="00A5640D"/>
    <w:rsid w:val="00A729D6"/>
    <w:rsid w:val="00A938BF"/>
    <w:rsid w:val="00A9621B"/>
    <w:rsid w:val="00AB7BC4"/>
    <w:rsid w:val="00AC0DA7"/>
    <w:rsid w:val="00AE23EB"/>
    <w:rsid w:val="00AE2C57"/>
    <w:rsid w:val="00AF4615"/>
    <w:rsid w:val="00B13A66"/>
    <w:rsid w:val="00B33CC3"/>
    <w:rsid w:val="00B50DF8"/>
    <w:rsid w:val="00B54EA0"/>
    <w:rsid w:val="00B60EFB"/>
    <w:rsid w:val="00B65366"/>
    <w:rsid w:val="00B77807"/>
    <w:rsid w:val="00B940E9"/>
    <w:rsid w:val="00BA1206"/>
    <w:rsid w:val="00BB7286"/>
    <w:rsid w:val="00BC7FE6"/>
    <w:rsid w:val="00BE018C"/>
    <w:rsid w:val="00BE3709"/>
    <w:rsid w:val="00C14076"/>
    <w:rsid w:val="00CA489B"/>
    <w:rsid w:val="00CB6CC8"/>
    <w:rsid w:val="00CC4C93"/>
    <w:rsid w:val="00CD77CF"/>
    <w:rsid w:val="00D120D2"/>
    <w:rsid w:val="00D20D7C"/>
    <w:rsid w:val="00D26FCA"/>
    <w:rsid w:val="00D6407C"/>
    <w:rsid w:val="00D65BDB"/>
    <w:rsid w:val="00D65FC3"/>
    <w:rsid w:val="00D87AF7"/>
    <w:rsid w:val="00DA120C"/>
    <w:rsid w:val="00DC4BEF"/>
    <w:rsid w:val="00E1011D"/>
    <w:rsid w:val="00E10628"/>
    <w:rsid w:val="00E144CD"/>
    <w:rsid w:val="00E2292B"/>
    <w:rsid w:val="00E341E9"/>
    <w:rsid w:val="00E401AF"/>
    <w:rsid w:val="00E640F5"/>
    <w:rsid w:val="00E74998"/>
    <w:rsid w:val="00E83579"/>
    <w:rsid w:val="00EA6E28"/>
    <w:rsid w:val="00EE591A"/>
    <w:rsid w:val="00F0219A"/>
    <w:rsid w:val="00F0752A"/>
    <w:rsid w:val="00F155B8"/>
    <w:rsid w:val="00F378D0"/>
    <w:rsid w:val="00F76A7F"/>
    <w:rsid w:val="00F82EE6"/>
    <w:rsid w:val="00F838E1"/>
    <w:rsid w:val="00F842DC"/>
    <w:rsid w:val="00F876FF"/>
    <w:rsid w:val="00F90B8D"/>
    <w:rsid w:val="00F93A89"/>
    <w:rsid w:val="00F970FA"/>
    <w:rsid w:val="00FA2721"/>
    <w:rsid w:val="00FA3D11"/>
    <w:rsid w:val="00FE7C0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18242AC"/>
  <w15:docId w15:val="{764619B0-4141-4F0E-A09E-0F90F673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 w:type="paragraph" w:customStyle="1" w:styleId="11">
    <w:name w:val="正文1"/>
    <w:link w:val="12"/>
    <w:rsid w:val="00367D00"/>
    <w:pPr>
      <w:spacing w:line="276" w:lineRule="auto"/>
      <w:contextualSpacing/>
    </w:pPr>
    <w:rPr>
      <w:rFonts w:ascii="Arial" w:eastAsia="宋体" w:hAnsi="Arial" w:cs="Arial"/>
      <w:sz w:val="22"/>
      <w:szCs w:val="22"/>
      <w:lang w:val="en-US" w:eastAsia="en-US"/>
    </w:rPr>
  </w:style>
  <w:style w:type="character" w:customStyle="1" w:styleId="12">
    <w:name w:val="正文1 字符"/>
    <w:basedOn w:val="a2"/>
    <w:link w:val="11"/>
    <w:rsid w:val="00367D00"/>
    <w:rPr>
      <w:rFonts w:ascii="Arial" w:eastAsia="宋体"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0606">
      <w:bodyDiv w:val="1"/>
      <w:marLeft w:val="0"/>
      <w:marRight w:val="0"/>
      <w:marTop w:val="0"/>
      <w:marBottom w:val="0"/>
      <w:divBdr>
        <w:top w:val="none" w:sz="0" w:space="0" w:color="auto"/>
        <w:left w:val="none" w:sz="0" w:space="0" w:color="auto"/>
        <w:bottom w:val="none" w:sz="0" w:space="0" w:color="auto"/>
        <w:right w:val="none" w:sz="0" w:space="0" w:color="auto"/>
      </w:divBdr>
      <w:divsChild>
        <w:div w:id="1127509366">
          <w:marLeft w:val="0"/>
          <w:marRight w:val="0"/>
          <w:marTop w:val="0"/>
          <w:marBottom w:val="0"/>
          <w:divBdr>
            <w:top w:val="none" w:sz="0" w:space="0" w:color="auto"/>
            <w:left w:val="none" w:sz="0" w:space="0" w:color="auto"/>
            <w:bottom w:val="none" w:sz="0" w:space="0" w:color="auto"/>
            <w:right w:val="none" w:sz="0" w:space="0" w:color="auto"/>
          </w:divBdr>
        </w:div>
      </w:divsChild>
    </w:div>
    <w:div w:id="32390814">
      <w:bodyDiv w:val="1"/>
      <w:marLeft w:val="0"/>
      <w:marRight w:val="0"/>
      <w:marTop w:val="0"/>
      <w:marBottom w:val="0"/>
      <w:divBdr>
        <w:top w:val="none" w:sz="0" w:space="0" w:color="auto"/>
        <w:left w:val="none" w:sz="0" w:space="0" w:color="auto"/>
        <w:bottom w:val="none" w:sz="0" w:space="0" w:color="auto"/>
        <w:right w:val="none" w:sz="0" w:space="0" w:color="auto"/>
      </w:divBdr>
      <w:divsChild>
        <w:div w:id="2143190955">
          <w:marLeft w:val="0"/>
          <w:marRight w:val="0"/>
          <w:marTop w:val="0"/>
          <w:marBottom w:val="0"/>
          <w:divBdr>
            <w:top w:val="none" w:sz="0" w:space="0" w:color="auto"/>
            <w:left w:val="none" w:sz="0" w:space="0" w:color="auto"/>
            <w:bottom w:val="none" w:sz="0" w:space="0" w:color="auto"/>
            <w:right w:val="none" w:sz="0" w:space="0" w:color="auto"/>
          </w:divBdr>
        </w:div>
      </w:divsChild>
    </w:div>
    <w:div w:id="71859046">
      <w:bodyDiv w:val="1"/>
      <w:marLeft w:val="0"/>
      <w:marRight w:val="0"/>
      <w:marTop w:val="0"/>
      <w:marBottom w:val="0"/>
      <w:divBdr>
        <w:top w:val="none" w:sz="0" w:space="0" w:color="auto"/>
        <w:left w:val="none" w:sz="0" w:space="0" w:color="auto"/>
        <w:bottom w:val="none" w:sz="0" w:space="0" w:color="auto"/>
        <w:right w:val="none" w:sz="0" w:space="0" w:color="auto"/>
      </w:divBdr>
      <w:divsChild>
        <w:div w:id="690911958">
          <w:marLeft w:val="0"/>
          <w:marRight w:val="0"/>
          <w:marTop w:val="0"/>
          <w:marBottom w:val="0"/>
          <w:divBdr>
            <w:top w:val="none" w:sz="0" w:space="0" w:color="auto"/>
            <w:left w:val="none" w:sz="0" w:space="0" w:color="auto"/>
            <w:bottom w:val="none" w:sz="0" w:space="0" w:color="auto"/>
            <w:right w:val="none" w:sz="0" w:space="0" w:color="auto"/>
          </w:divBdr>
        </w:div>
      </w:divsChild>
    </w:div>
    <w:div w:id="74673129">
      <w:bodyDiv w:val="1"/>
      <w:marLeft w:val="0"/>
      <w:marRight w:val="0"/>
      <w:marTop w:val="0"/>
      <w:marBottom w:val="0"/>
      <w:divBdr>
        <w:top w:val="none" w:sz="0" w:space="0" w:color="auto"/>
        <w:left w:val="none" w:sz="0" w:space="0" w:color="auto"/>
        <w:bottom w:val="none" w:sz="0" w:space="0" w:color="auto"/>
        <w:right w:val="none" w:sz="0" w:space="0" w:color="auto"/>
      </w:divBdr>
      <w:divsChild>
        <w:div w:id="1068771244">
          <w:marLeft w:val="0"/>
          <w:marRight w:val="0"/>
          <w:marTop w:val="0"/>
          <w:marBottom w:val="0"/>
          <w:divBdr>
            <w:top w:val="none" w:sz="0" w:space="0" w:color="auto"/>
            <w:left w:val="none" w:sz="0" w:space="0" w:color="auto"/>
            <w:bottom w:val="none" w:sz="0" w:space="0" w:color="auto"/>
            <w:right w:val="none" w:sz="0" w:space="0" w:color="auto"/>
          </w:divBdr>
        </w:div>
      </w:divsChild>
    </w:div>
    <w:div w:id="97797972">
      <w:bodyDiv w:val="1"/>
      <w:marLeft w:val="0"/>
      <w:marRight w:val="0"/>
      <w:marTop w:val="0"/>
      <w:marBottom w:val="0"/>
      <w:divBdr>
        <w:top w:val="none" w:sz="0" w:space="0" w:color="auto"/>
        <w:left w:val="none" w:sz="0" w:space="0" w:color="auto"/>
        <w:bottom w:val="none" w:sz="0" w:space="0" w:color="auto"/>
        <w:right w:val="none" w:sz="0" w:space="0" w:color="auto"/>
      </w:divBdr>
      <w:divsChild>
        <w:div w:id="871110961">
          <w:marLeft w:val="0"/>
          <w:marRight w:val="0"/>
          <w:marTop w:val="0"/>
          <w:marBottom w:val="0"/>
          <w:divBdr>
            <w:top w:val="none" w:sz="0" w:space="0" w:color="auto"/>
            <w:left w:val="none" w:sz="0" w:space="0" w:color="auto"/>
            <w:bottom w:val="none" w:sz="0" w:space="0" w:color="auto"/>
            <w:right w:val="none" w:sz="0" w:space="0" w:color="auto"/>
          </w:divBdr>
        </w:div>
      </w:divsChild>
    </w:div>
    <w:div w:id="102305266">
      <w:bodyDiv w:val="1"/>
      <w:marLeft w:val="0"/>
      <w:marRight w:val="0"/>
      <w:marTop w:val="0"/>
      <w:marBottom w:val="0"/>
      <w:divBdr>
        <w:top w:val="none" w:sz="0" w:space="0" w:color="auto"/>
        <w:left w:val="none" w:sz="0" w:space="0" w:color="auto"/>
        <w:bottom w:val="none" w:sz="0" w:space="0" w:color="auto"/>
        <w:right w:val="none" w:sz="0" w:space="0" w:color="auto"/>
      </w:divBdr>
      <w:divsChild>
        <w:div w:id="1910117191">
          <w:marLeft w:val="0"/>
          <w:marRight w:val="0"/>
          <w:marTop w:val="0"/>
          <w:marBottom w:val="0"/>
          <w:divBdr>
            <w:top w:val="none" w:sz="0" w:space="0" w:color="auto"/>
            <w:left w:val="none" w:sz="0" w:space="0" w:color="auto"/>
            <w:bottom w:val="none" w:sz="0" w:space="0" w:color="auto"/>
            <w:right w:val="none" w:sz="0" w:space="0" w:color="auto"/>
          </w:divBdr>
          <w:divsChild>
            <w:div w:id="900142501">
              <w:marLeft w:val="0"/>
              <w:marRight w:val="0"/>
              <w:marTop w:val="0"/>
              <w:marBottom w:val="0"/>
              <w:divBdr>
                <w:top w:val="none" w:sz="0" w:space="0" w:color="auto"/>
                <w:left w:val="none" w:sz="0" w:space="0" w:color="auto"/>
                <w:bottom w:val="none" w:sz="0" w:space="0" w:color="auto"/>
                <w:right w:val="none" w:sz="0" w:space="0" w:color="auto"/>
              </w:divBdr>
            </w:div>
            <w:div w:id="1484270591">
              <w:marLeft w:val="0"/>
              <w:marRight w:val="0"/>
              <w:marTop w:val="0"/>
              <w:marBottom w:val="0"/>
              <w:divBdr>
                <w:top w:val="none" w:sz="0" w:space="0" w:color="auto"/>
                <w:left w:val="none" w:sz="0" w:space="0" w:color="auto"/>
                <w:bottom w:val="none" w:sz="0" w:space="0" w:color="auto"/>
                <w:right w:val="none" w:sz="0" w:space="0" w:color="auto"/>
              </w:divBdr>
            </w:div>
            <w:div w:id="19644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1294">
      <w:bodyDiv w:val="1"/>
      <w:marLeft w:val="0"/>
      <w:marRight w:val="0"/>
      <w:marTop w:val="0"/>
      <w:marBottom w:val="0"/>
      <w:divBdr>
        <w:top w:val="none" w:sz="0" w:space="0" w:color="auto"/>
        <w:left w:val="none" w:sz="0" w:space="0" w:color="auto"/>
        <w:bottom w:val="none" w:sz="0" w:space="0" w:color="auto"/>
        <w:right w:val="none" w:sz="0" w:space="0" w:color="auto"/>
      </w:divBdr>
      <w:divsChild>
        <w:div w:id="1824001102">
          <w:marLeft w:val="0"/>
          <w:marRight w:val="0"/>
          <w:marTop w:val="0"/>
          <w:marBottom w:val="0"/>
          <w:divBdr>
            <w:top w:val="none" w:sz="0" w:space="0" w:color="auto"/>
            <w:left w:val="none" w:sz="0" w:space="0" w:color="auto"/>
            <w:bottom w:val="none" w:sz="0" w:space="0" w:color="auto"/>
            <w:right w:val="none" w:sz="0" w:space="0" w:color="auto"/>
          </w:divBdr>
        </w:div>
      </w:divsChild>
    </w:div>
    <w:div w:id="200018336">
      <w:bodyDiv w:val="1"/>
      <w:marLeft w:val="0"/>
      <w:marRight w:val="0"/>
      <w:marTop w:val="0"/>
      <w:marBottom w:val="0"/>
      <w:divBdr>
        <w:top w:val="none" w:sz="0" w:space="0" w:color="auto"/>
        <w:left w:val="none" w:sz="0" w:space="0" w:color="auto"/>
        <w:bottom w:val="none" w:sz="0" w:space="0" w:color="auto"/>
        <w:right w:val="none" w:sz="0" w:space="0" w:color="auto"/>
      </w:divBdr>
      <w:divsChild>
        <w:div w:id="628390854">
          <w:marLeft w:val="0"/>
          <w:marRight w:val="0"/>
          <w:marTop w:val="0"/>
          <w:marBottom w:val="0"/>
          <w:divBdr>
            <w:top w:val="none" w:sz="0" w:space="0" w:color="auto"/>
            <w:left w:val="none" w:sz="0" w:space="0" w:color="auto"/>
            <w:bottom w:val="none" w:sz="0" w:space="0" w:color="auto"/>
            <w:right w:val="none" w:sz="0" w:space="0" w:color="auto"/>
          </w:divBdr>
        </w:div>
      </w:divsChild>
    </w:div>
    <w:div w:id="288052672">
      <w:bodyDiv w:val="1"/>
      <w:marLeft w:val="0"/>
      <w:marRight w:val="0"/>
      <w:marTop w:val="0"/>
      <w:marBottom w:val="0"/>
      <w:divBdr>
        <w:top w:val="none" w:sz="0" w:space="0" w:color="auto"/>
        <w:left w:val="none" w:sz="0" w:space="0" w:color="auto"/>
        <w:bottom w:val="none" w:sz="0" w:space="0" w:color="auto"/>
        <w:right w:val="none" w:sz="0" w:space="0" w:color="auto"/>
      </w:divBdr>
    </w:div>
    <w:div w:id="432238942">
      <w:bodyDiv w:val="1"/>
      <w:marLeft w:val="0"/>
      <w:marRight w:val="0"/>
      <w:marTop w:val="0"/>
      <w:marBottom w:val="0"/>
      <w:divBdr>
        <w:top w:val="none" w:sz="0" w:space="0" w:color="auto"/>
        <w:left w:val="none" w:sz="0" w:space="0" w:color="auto"/>
        <w:bottom w:val="none" w:sz="0" w:space="0" w:color="auto"/>
        <w:right w:val="none" w:sz="0" w:space="0" w:color="auto"/>
      </w:divBdr>
      <w:divsChild>
        <w:div w:id="866522654">
          <w:marLeft w:val="0"/>
          <w:marRight w:val="0"/>
          <w:marTop w:val="0"/>
          <w:marBottom w:val="0"/>
          <w:divBdr>
            <w:top w:val="none" w:sz="0" w:space="0" w:color="auto"/>
            <w:left w:val="none" w:sz="0" w:space="0" w:color="auto"/>
            <w:bottom w:val="none" w:sz="0" w:space="0" w:color="auto"/>
            <w:right w:val="none" w:sz="0" w:space="0" w:color="auto"/>
          </w:divBdr>
        </w:div>
      </w:divsChild>
    </w:div>
    <w:div w:id="570696606">
      <w:bodyDiv w:val="1"/>
      <w:marLeft w:val="0"/>
      <w:marRight w:val="0"/>
      <w:marTop w:val="0"/>
      <w:marBottom w:val="0"/>
      <w:divBdr>
        <w:top w:val="none" w:sz="0" w:space="0" w:color="auto"/>
        <w:left w:val="none" w:sz="0" w:space="0" w:color="auto"/>
        <w:bottom w:val="none" w:sz="0" w:space="0" w:color="auto"/>
        <w:right w:val="none" w:sz="0" w:space="0" w:color="auto"/>
      </w:divBdr>
      <w:divsChild>
        <w:div w:id="1010065682">
          <w:marLeft w:val="0"/>
          <w:marRight w:val="0"/>
          <w:marTop w:val="0"/>
          <w:marBottom w:val="0"/>
          <w:divBdr>
            <w:top w:val="none" w:sz="0" w:space="0" w:color="auto"/>
            <w:left w:val="none" w:sz="0" w:space="0" w:color="auto"/>
            <w:bottom w:val="none" w:sz="0" w:space="0" w:color="auto"/>
            <w:right w:val="none" w:sz="0" w:space="0" w:color="auto"/>
          </w:divBdr>
        </w:div>
      </w:divsChild>
    </w:div>
    <w:div w:id="622199059">
      <w:bodyDiv w:val="1"/>
      <w:marLeft w:val="0"/>
      <w:marRight w:val="0"/>
      <w:marTop w:val="0"/>
      <w:marBottom w:val="0"/>
      <w:divBdr>
        <w:top w:val="none" w:sz="0" w:space="0" w:color="auto"/>
        <w:left w:val="none" w:sz="0" w:space="0" w:color="auto"/>
        <w:bottom w:val="none" w:sz="0" w:space="0" w:color="auto"/>
        <w:right w:val="none" w:sz="0" w:space="0" w:color="auto"/>
      </w:divBdr>
      <w:divsChild>
        <w:div w:id="1514763383">
          <w:marLeft w:val="0"/>
          <w:marRight w:val="0"/>
          <w:marTop w:val="0"/>
          <w:marBottom w:val="0"/>
          <w:divBdr>
            <w:top w:val="none" w:sz="0" w:space="0" w:color="auto"/>
            <w:left w:val="none" w:sz="0" w:space="0" w:color="auto"/>
            <w:bottom w:val="none" w:sz="0" w:space="0" w:color="auto"/>
            <w:right w:val="none" w:sz="0" w:space="0" w:color="auto"/>
          </w:divBdr>
        </w:div>
      </w:divsChild>
    </w:div>
    <w:div w:id="715156404">
      <w:bodyDiv w:val="1"/>
      <w:marLeft w:val="0"/>
      <w:marRight w:val="0"/>
      <w:marTop w:val="0"/>
      <w:marBottom w:val="0"/>
      <w:divBdr>
        <w:top w:val="none" w:sz="0" w:space="0" w:color="auto"/>
        <w:left w:val="none" w:sz="0" w:space="0" w:color="auto"/>
        <w:bottom w:val="none" w:sz="0" w:space="0" w:color="auto"/>
        <w:right w:val="none" w:sz="0" w:space="0" w:color="auto"/>
      </w:divBdr>
      <w:divsChild>
        <w:div w:id="1994527736">
          <w:marLeft w:val="0"/>
          <w:marRight w:val="0"/>
          <w:marTop w:val="0"/>
          <w:marBottom w:val="0"/>
          <w:divBdr>
            <w:top w:val="none" w:sz="0" w:space="0" w:color="auto"/>
            <w:left w:val="none" w:sz="0" w:space="0" w:color="auto"/>
            <w:bottom w:val="none" w:sz="0" w:space="0" w:color="auto"/>
            <w:right w:val="none" w:sz="0" w:space="0" w:color="auto"/>
          </w:divBdr>
          <w:divsChild>
            <w:div w:id="97257252">
              <w:marLeft w:val="0"/>
              <w:marRight w:val="0"/>
              <w:marTop w:val="0"/>
              <w:marBottom w:val="0"/>
              <w:divBdr>
                <w:top w:val="none" w:sz="0" w:space="0" w:color="auto"/>
                <w:left w:val="none" w:sz="0" w:space="0" w:color="auto"/>
                <w:bottom w:val="none" w:sz="0" w:space="0" w:color="auto"/>
                <w:right w:val="none" w:sz="0" w:space="0" w:color="auto"/>
              </w:divBdr>
              <w:divsChild>
                <w:div w:id="1545287263">
                  <w:marLeft w:val="0"/>
                  <w:marRight w:val="0"/>
                  <w:marTop w:val="0"/>
                  <w:marBottom w:val="0"/>
                  <w:divBdr>
                    <w:top w:val="none" w:sz="0" w:space="0" w:color="auto"/>
                    <w:left w:val="none" w:sz="0" w:space="0" w:color="auto"/>
                    <w:bottom w:val="none" w:sz="0" w:space="0" w:color="auto"/>
                    <w:right w:val="none" w:sz="0" w:space="0" w:color="auto"/>
                  </w:divBdr>
                  <w:divsChild>
                    <w:div w:id="701977288">
                      <w:marLeft w:val="0"/>
                      <w:marRight w:val="0"/>
                      <w:marTop w:val="0"/>
                      <w:marBottom w:val="0"/>
                      <w:divBdr>
                        <w:top w:val="none" w:sz="0" w:space="0" w:color="auto"/>
                        <w:left w:val="none" w:sz="0" w:space="0" w:color="auto"/>
                        <w:bottom w:val="none" w:sz="0" w:space="0" w:color="auto"/>
                        <w:right w:val="none" w:sz="0" w:space="0" w:color="auto"/>
                      </w:divBdr>
                      <w:divsChild>
                        <w:div w:id="1644310796">
                          <w:marLeft w:val="0"/>
                          <w:marRight w:val="0"/>
                          <w:marTop w:val="0"/>
                          <w:marBottom w:val="0"/>
                          <w:divBdr>
                            <w:top w:val="none" w:sz="0" w:space="0" w:color="auto"/>
                            <w:left w:val="none" w:sz="0" w:space="0" w:color="auto"/>
                            <w:bottom w:val="none" w:sz="0" w:space="0" w:color="auto"/>
                            <w:right w:val="none" w:sz="0" w:space="0" w:color="auto"/>
                          </w:divBdr>
                          <w:divsChild>
                            <w:div w:id="1224020449">
                              <w:marLeft w:val="0"/>
                              <w:marRight w:val="0"/>
                              <w:marTop w:val="0"/>
                              <w:marBottom w:val="0"/>
                              <w:divBdr>
                                <w:top w:val="none" w:sz="0" w:space="0" w:color="auto"/>
                                <w:left w:val="none" w:sz="0" w:space="0" w:color="auto"/>
                                <w:bottom w:val="none" w:sz="0" w:space="0" w:color="auto"/>
                                <w:right w:val="none" w:sz="0" w:space="0" w:color="auto"/>
                              </w:divBdr>
                              <w:divsChild>
                                <w:div w:id="1436822139">
                                  <w:marLeft w:val="0"/>
                                  <w:marRight w:val="0"/>
                                  <w:marTop w:val="0"/>
                                  <w:marBottom w:val="0"/>
                                  <w:divBdr>
                                    <w:top w:val="none" w:sz="0" w:space="0" w:color="auto"/>
                                    <w:left w:val="none" w:sz="0" w:space="0" w:color="auto"/>
                                    <w:bottom w:val="none" w:sz="0" w:space="0" w:color="auto"/>
                                    <w:right w:val="none" w:sz="0" w:space="0" w:color="auto"/>
                                  </w:divBdr>
                                  <w:divsChild>
                                    <w:div w:id="1579750297">
                                      <w:marLeft w:val="0"/>
                                      <w:marRight w:val="0"/>
                                      <w:marTop w:val="0"/>
                                      <w:marBottom w:val="0"/>
                                      <w:divBdr>
                                        <w:top w:val="none" w:sz="0" w:space="0" w:color="auto"/>
                                        <w:left w:val="none" w:sz="0" w:space="0" w:color="auto"/>
                                        <w:bottom w:val="none" w:sz="0" w:space="0" w:color="auto"/>
                                        <w:right w:val="none" w:sz="0" w:space="0" w:color="auto"/>
                                      </w:divBdr>
                                      <w:divsChild>
                                        <w:div w:id="1742673334">
                                          <w:marLeft w:val="0"/>
                                          <w:marRight w:val="0"/>
                                          <w:marTop w:val="0"/>
                                          <w:marBottom w:val="0"/>
                                          <w:divBdr>
                                            <w:top w:val="none" w:sz="0" w:space="0" w:color="auto"/>
                                            <w:left w:val="none" w:sz="0" w:space="0" w:color="auto"/>
                                            <w:bottom w:val="none" w:sz="0" w:space="0" w:color="auto"/>
                                            <w:right w:val="none" w:sz="0" w:space="0" w:color="auto"/>
                                          </w:divBdr>
                                          <w:divsChild>
                                            <w:div w:id="1092894293">
                                              <w:marLeft w:val="0"/>
                                              <w:marRight w:val="0"/>
                                              <w:marTop w:val="0"/>
                                              <w:marBottom w:val="0"/>
                                              <w:divBdr>
                                                <w:top w:val="none" w:sz="0" w:space="0" w:color="auto"/>
                                                <w:left w:val="none" w:sz="0" w:space="0" w:color="auto"/>
                                                <w:bottom w:val="none" w:sz="0" w:space="0" w:color="auto"/>
                                                <w:right w:val="none" w:sz="0" w:space="0" w:color="auto"/>
                                              </w:divBdr>
                                              <w:divsChild>
                                                <w:div w:id="201793550">
                                                  <w:marLeft w:val="0"/>
                                                  <w:marRight w:val="0"/>
                                                  <w:marTop w:val="0"/>
                                                  <w:marBottom w:val="0"/>
                                                  <w:divBdr>
                                                    <w:top w:val="none" w:sz="0" w:space="0" w:color="auto"/>
                                                    <w:left w:val="none" w:sz="0" w:space="0" w:color="auto"/>
                                                    <w:bottom w:val="none" w:sz="0" w:space="0" w:color="auto"/>
                                                    <w:right w:val="none" w:sz="0" w:space="0" w:color="auto"/>
                                                  </w:divBdr>
                                                  <w:divsChild>
                                                    <w:div w:id="1140536194">
                                                      <w:marLeft w:val="0"/>
                                                      <w:marRight w:val="0"/>
                                                      <w:marTop w:val="0"/>
                                                      <w:marBottom w:val="0"/>
                                                      <w:divBdr>
                                                        <w:top w:val="none" w:sz="0" w:space="0" w:color="auto"/>
                                                        <w:left w:val="none" w:sz="0" w:space="0" w:color="auto"/>
                                                        <w:bottom w:val="none" w:sz="0" w:space="0" w:color="auto"/>
                                                        <w:right w:val="none" w:sz="0" w:space="0" w:color="auto"/>
                                                      </w:divBdr>
                                                    </w:div>
                                                    <w:div w:id="717585423">
                                                      <w:marLeft w:val="0"/>
                                                      <w:marRight w:val="0"/>
                                                      <w:marTop w:val="0"/>
                                                      <w:marBottom w:val="0"/>
                                                      <w:divBdr>
                                                        <w:top w:val="none" w:sz="0" w:space="0" w:color="auto"/>
                                                        <w:left w:val="none" w:sz="0" w:space="0" w:color="auto"/>
                                                        <w:bottom w:val="none" w:sz="0" w:space="0" w:color="auto"/>
                                                        <w:right w:val="none" w:sz="0" w:space="0" w:color="auto"/>
                                                      </w:divBdr>
                                                    </w:div>
                                                    <w:div w:id="582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11639">
                                          <w:marLeft w:val="0"/>
                                          <w:marRight w:val="0"/>
                                          <w:marTop w:val="0"/>
                                          <w:marBottom w:val="0"/>
                                          <w:divBdr>
                                            <w:top w:val="none" w:sz="0" w:space="0" w:color="auto"/>
                                            <w:left w:val="none" w:sz="0" w:space="0" w:color="auto"/>
                                            <w:bottom w:val="none" w:sz="0" w:space="0" w:color="auto"/>
                                            <w:right w:val="none" w:sz="0" w:space="0" w:color="auto"/>
                                          </w:divBdr>
                                          <w:divsChild>
                                            <w:div w:id="1978488041">
                                              <w:marLeft w:val="0"/>
                                              <w:marRight w:val="0"/>
                                              <w:marTop w:val="0"/>
                                              <w:marBottom w:val="0"/>
                                              <w:divBdr>
                                                <w:top w:val="none" w:sz="0" w:space="0" w:color="auto"/>
                                                <w:left w:val="none" w:sz="0" w:space="0" w:color="auto"/>
                                                <w:bottom w:val="none" w:sz="0" w:space="0" w:color="auto"/>
                                                <w:right w:val="none" w:sz="0" w:space="0" w:color="auto"/>
                                              </w:divBdr>
                                            </w:div>
                                            <w:div w:id="570236617">
                                              <w:marLeft w:val="0"/>
                                              <w:marRight w:val="0"/>
                                              <w:marTop w:val="0"/>
                                              <w:marBottom w:val="0"/>
                                              <w:divBdr>
                                                <w:top w:val="none" w:sz="0" w:space="0" w:color="auto"/>
                                                <w:left w:val="none" w:sz="0" w:space="0" w:color="auto"/>
                                                <w:bottom w:val="none" w:sz="0" w:space="0" w:color="auto"/>
                                                <w:right w:val="none" w:sz="0" w:space="0" w:color="auto"/>
                                              </w:divBdr>
                                            </w:div>
                                            <w:div w:id="6031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336706">
      <w:bodyDiv w:val="1"/>
      <w:marLeft w:val="0"/>
      <w:marRight w:val="0"/>
      <w:marTop w:val="0"/>
      <w:marBottom w:val="0"/>
      <w:divBdr>
        <w:top w:val="none" w:sz="0" w:space="0" w:color="auto"/>
        <w:left w:val="none" w:sz="0" w:space="0" w:color="auto"/>
        <w:bottom w:val="none" w:sz="0" w:space="0" w:color="auto"/>
        <w:right w:val="none" w:sz="0" w:space="0" w:color="auto"/>
      </w:divBdr>
    </w:div>
    <w:div w:id="809782973">
      <w:bodyDiv w:val="1"/>
      <w:marLeft w:val="0"/>
      <w:marRight w:val="0"/>
      <w:marTop w:val="0"/>
      <w:marBottom w:val="0"/>
      <w:divBdr>
        <w:top w:val="none" w:sz="0" w:space="0" w:color="auto"/>
        <w:left w:val="none" w:sz="0" w:space="0" w:color="auto"/>
        <w:bottom w:val="none" w:sz="0" w:space="0" w:color="auto"/>
        <w:right w:val="none" w:sz="0" w:space="0" w:color="auto"/>
      </w:divBdr>
      <w:divsChild>
        <w:div w:id="294877717">
          <w:marLeft w:val="0"/>
          <w:marRight w:val="0"/>
          <w:marTop w:val="0"/>
          <w:marBottom w:val="0"/>
          <w:divBdr>
            <w:top w:val="none" w:sz="0" w:space="0" w:color="auto"/>
            <w:left w:val="none" w:sz="0" w:space="0" w:color="auto"/>
            <w:bottom w:val="none" w:sz="0" w:space="0" w:color="auto"/>
            <w:right w:val="none" w:sz="0" w:space="0" w:color="auto"/>
          </w:divBdr>
        </w:div>
      </w:divsChild>
    </w:div>
    <w:div w:id="868643085">
      <w:bodyDiv w:val="1"/>
      <w:marLeft w:val="0"/>
      <w:marRight w:val="0"/>
      <w:marTop w:val="0"/>
      <w:marBottom w:val="0"/>
      <w:divBdr>
        <w:top w:val="none" w:sz="0" w:space="0" w:color="auto"/>
        <w:left w:val="none" w:sz="0" w:space="0" w:color="auto"/>
        <w:bottom w:val="none" w:sz="0" w:space="0" w:color="auto"/>
        <w:right w:val="none" w:sz="0" w:space="0" w:color="auto"/>
      </w:divBdr>
      <w:divsChild>
        <w:div w:id="791168173">
          <w:marLeft w:val="0"/>
          <w:marRight w:val="0"/>
          <w:marTop w:val="0"/>
          <w:marBottom w:val="0"/>
          <w:divBdr>
            <w:top w:val="none" w:sz="0" w:space="0" w:color="auto"/>
            <w:left w:val="none" w:sz="0" w:space="0" w:color="auto"/>
            <w:bottom w:val="none" w:sz="0" w:space="0" w:color="auto"/>
            <w:right w:val="none" w:sz="0" w:space="0" w:color="auto"/>
          </w:divBdr>
          <w:divsChild>
            <w:div w:id="2123962634">
              <w:marLeft w:val="0"/>
              <w:marRight w:val="0"/>
              <w:marTop w:val="0"/>
              <w:marBottom w:val="0"/>
              <w:divBdr>
                <w:top w:val="none" w:sz="0" w:space="0" w:color="auto"/>
                <w:left w:val="none" w:sz="0" w:space="0" w:color="auto"/>
                <w:bottom w:val="none" w:sz="0" w:space="0" w:color="auto"/>
                <w:right w:val="none" w:sz="0" w:space="0" w:color="auto"/>
              </w:divBdr>
              <w:divsChild>
                <w:div w:id="1446459866">
                  <w:marLeft w:val="0"/>
                  <w:marRight w:val="0"/>
                  <w:marTop w:val="0"/>
                  <w:marBottom w:val="0"/>
                  <w:divBdr>
                    <w:top w:val="none" w:sz="0" w:space="0" w:color="auto"/>
                    <w:left w:val="none" w:sz="0" w:space="0" w:color="auto"/>
                    <w:bottom w:val="none" w:sz="0" w:space="0" w:color="auto"/>
                    <w:right w:val="none" w:sz="0" w:space="0" w:color="auto"/>
                  </w:divBdr>
                  <w:divsChild>
                    <w:div w:id="438912220">
                      <w:marLeft w:val="0"/>
                      <w:marRight w:val="0"/>
                      <w:marTop w:val="0"/>
                      <w:marBottom w:val="0"/>
                      <w:divBdr>
                        <w:top w:val="none" w:sz="0" w:space="0" w:color="auto"/>
                        <w:left w:val="none" w:sz="0" w:space="0" w:color="auto"/>
                        <w:bottom w:val="none" w:sz="0" w:space="0" w:color="auto"/>
                        <w:right w:val="none" w:sz="0" w:space="0" w:color="auto"/>
                      </w:divBdr>
                      <w:divsChild>
                        <w:div w:id="1412046013">
                          <w:marLeft w:val="0"/>
                          <w:marRight w:val="0"/>
                          <w:marTop w:val="0"/>
                          <w:marBottom w:val="0"/>
                          <w:divBdr>
                            <w:top w:val="none" w:sz="0" w:space="0" w:color="auto"/>
                            <w:left w:val="none" w:sz="0" w:space="0" w:color="auto"/>
                            <w:bottom w:val="none" w:sz="0" w:space="0" w:color="auto"/>
                            <w:right w:val="none" w:sz="0" w:space="0" w:color="auto"/>
                          </w:divBdr>
                          <w:divsChild>
                            <w:div w:id="1729065927">
                              <w:marLeft w:val="0"/>
                              <w:marRight w:val="0"/>
                              <w:marTop w:val="0"/>
                              <w:marBottom w:val="0"/>
                              <w:divBdr>
                                <w:top w:val="none" w:sz="0" w:space="0" w:color="auto"/>
                                <w:left w:val="none" w:sz="0" w:space="0" w:color="auto"/>
                                <w:bottom w:val="none" w:sz="0" w:space="0" w:color="auto"/>
                                <w:right w:val="none" w:sz="0" w:space="0" w:color="auto"/>
                              </w:divBdr>
                              <w:divsChild>
                                <w:div w:id="1244532539">
                                  <w:marLeft w:val="0"/>
                                  <w:marRight w:val="0"/>
                                  <w:marTop w:val="0"/>
                                  <w:marBottom w:val="0"/>
                                  <w:divBdr>
                                    <w:top w:val="none" w:sz="0" w:space="0" w:color="auto"/>
                                    <w:left w:val="none" w:sz="0" w:space="0" w:color="auto"/>
                                    <w:bottom w:val="none" w:sz="0" w:space="0" w:color="auto"/>
                                    <w:right w:val="none" w:sz="0" w:space="0" w:color="auto"/>
                                  </w:divBdr>
                                  <w:divsChild>
                                    <w:div w:id="1546525496">
                                      <w:marLeft w:val="0"/>
                                      <w:marRight w:val="0"/>
                                      <w:marTop w:val="0"/>
                                      <w:marBottom w:val="0"/>
                                      <w:divBdr>
                                        <w:top w:val="none" w:sz="0" w:space="0" w:color="auto"/>
                                        <w:left w:val="none" w:sz="0" w:space="0" w:color="auto"/>
                                        <w:bottom w:val="none" w:sz="0" w:space="0" w:color="auto"/>
                                        <w:right w:val="none" w:sz="0" w:space="0" w:color="auto"/>
                                      </w:divBdr>
                                      <w:divsChild>
                                        <w:div w:id="2100104498">
                                          <w:marLeft w:val="0"/>
                                          <w:marRight w:val="0"/>
                                          <w:marTop w:val="0"/>
                                          <w:marBottom w:val="0"/>
                                          <w:divBdr>
                                            <w:top w:val="none" w:sz="0" w:space="0" w:color="auto"/>
                                            <w:left w:val="none" w:sz="0" w:space="0" w:color="auto"/>
                                            <w:bottom w:val="none" w:sz="0" w:space="0" w:color="auto"/>
                                            <w:right w:val="none" w:sz="0" w:space="0" w:color="auto"/>
                                          </w:divBdr>
                                          <w:divsChild>
                                            <w:div w:id="764493268">
                                              <w:marLeft w:val="0"/>
                                              <w:marRight w:val="0"/>
                                              <w:marTop w:val="0"/>
                                              <w:marBottom w:val="0"/>
                                              <w:divBdr>
                                                <w:top w:val="none" w:sz="0" w:space="0" w:color="auto"/>
                                                <w:left w:val="none" w:sz="0" w:space="0" w:color="auto"/>
                                                <w:bottom w:val="none" w:sz="0" w:space="0" w:color="auto"/>
                                                <w:right w:val="none" w:sz="0" w:space="0" w:color="auto"/>
                                              </w:divBdr>
                                              <w:divsChild>
                                                <w:div w:id="1439789292">
                                                  <w:marLeft w:val="0"/>
                                                  <w:marRight w:val="0"/>
                                                  <w:marTop w:val="0"/>
                                                  <w:marBottom w:val="0"/>
                                                  <w:divBdr>
                                                    <w:top w:val="none" w:sz="0" w:space="0" w:color="auto"/>
                                                    <w:left w:val="none" w:sz="0" w:space="0" w:color="auto"/>
                                                    <w:bottom w:val="none" w:sz="0" w:space="0" w:color="auto"/>
                                                    <w:right w:val="none" w:sz="0" w:space="0" w:color="auto"/>
                                                  </w:divBdr>
                                                  <w:divsChild>
                                                    <w:div w:id="14709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74036">
                                          <w:marLeft w:val="0"/>
                                          <w:marRight w:val="0"/>
                                          <w:marTop w:val="0"/>
                                          <w:marBottom w:val="0"/>
                                          <w:divBdr>
                                            <w:top w:val="none" w:sz="0" w:space="0" w:color="auto"/>
                                            <w:left w:val="none" w:sz="0" w:space="0" w:color="auto"/>
                                            <w:bottom w:val="none" w:sz="0" w:space="0" w:color="auto"/>
                                            <w:right w:val="none" w:sz="0" w:space="0" w:color="auto"/>
                                          </w:divBdr>
                                          <w:divsChild>
                                            <w:div w:id="353845772">
                                              <w:marLeft w:val="0"/>
                                              <w:marRight w:val="0"/>
                                              <w:marTop w:val="0"/>
                                              <w:marBottom w:val="0"/>
                                              <w:divBdr>
                                                <w:top w:val="none" w:sz="0" w:space="0" w:color="auto"/>
                                                <w:left w:val="none" w:sz="0" w:space="0" w:color="auto"/>
                                                <w:bottom w:val="none" w:sz="0" w:space="0" w:color="auto"/>
                                                <w:right w:val="none" w:sz="0" w:space="0" w:color="auto"/>
                                              </w:divBdr>
                                              <w:divsChild>
                                                <w:div w:id="716046510">
                                                  <w:marLeft w:val="0"/>
                                                  <w:marRight w:val="0"/>
                                                  <w:marTop w:val="0"/>
                                                  <w:marBottom w:val="0"/>
                                                  <w:divBdr>
                                                    <w:top w:val="none" w:sz="0" w:space="0" w:color="auto"/>
                                                    <w:left w:val="none" w:sz="0" w:space="0" w:color="auto"/>
                                                    <w:bottom w:val="none" w:sz="0" w:space="0" w:color="auto"/>
                                                    <w:right w:val="none" w:sz="0" w:space="0" w:color="auto"/>
                                                  </w:divBdr>
                                                  <w:divsChild>
                                                    <w:div w:id="93042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1317">
                                          <w:marLeft w:val="0"/>
                                          <w:marRight w:val="0"/>
                                          <w:marTop w:val="0"/>
                                          <w:marBottom w:val="0"/>
                                          <w:divBdr>
                                            <w:top w:val="none" w:sz="0" w:space="0" w:color="auto"/>
                                            <w:left w:val="none" w:sz="0" w:space="0" w:color="auto"/>
                                            <w:bottom w:val="none" w:sz="0" w:space="0" w:color="auto"/>
                                            <w:right w:val="none" w:sz="0" w:space="0" w:color="auto"/>
                                          </w:divBdr>
                                          <w:divsChild>
                                            <w:div w:id="1089160929">
                                              <w:marLeft w:val="0"/>
                                              <w:marRight w:val="0"/>
                                              <w:marTop w:val="0"/>
                                              <w:marBottom w:val="0"/>
                                              <w:divBdr>
                                                <w:top w:val="none" w:sz="0" w:space="0" w:color="auto"/>
                                                <w:left w:val="none" w:sz="0" w:space="0" w:color="auto"/>
                                                <w:bottom w:val="none" w:sz="0" w:space="0" w:color="auto"/>
                                                <w:right w:val="none" w:sz="0" w:space="0" w:color="auto"/>
                                              </w:divBdr>
                                            </w:div>
                                            <w:div w:id="1282765377">
                                              <w:marLeft w:val="0"/>
                                              <w:marRight w:val="0"/>
                                              <w:marTop w:val="0"/>
                                              <w:marBottom w:val="0"/>
                                              <w:divBdr>
                                                <w:top w:val="none" w:sz="0" w:space="0" w:color="auto"/>
                                                <w:left w:val="none" w:sz="0" w:space="0" w:color="auto"/>
                                                <w:bottom w:val="none" w:sz="0" w:space="0" w:color="auto"/>
                                                <w:right w:val="none" w:sz="0" w:space="0" w:color="auto"/>
                                              </w:divBdr>
                                            </w:div>
                                            <w:div w:id="14619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784419">
      <w:bodyDiv w:val="1"/>
      <w:marLeft w:val="0"/>
      <w:marRight w:val="0"/>
      <w:marTop w:val="0"/>
      <w:marBottom w:val="0"/>
      <w:divBdr>
        <w:top w:val="none" w:sz="0" w:space="0" w:color="auto"/>
        <w:left w:val="none" w:sz="0" w:space="0" w:color="auto"/>
        <w:bottom w:val="none" w:sz="0" w:space="0" w:color="auto"/>
        <w:right w:val="none" w:sz="0" w:space="0" w:color="auto"/>
      </w:divBdr>
      <w:divsChild>
        <w:div w:id="830412723">
          <w:marLeft w:val="0"/>
          <w:marRight w:val="0"/>
          <w:marTop w:val="0"/>
          <w:marBottom w:val="0"/>
          <w:divBdr>
            <w:top w:val="none" w:sz="0" w:space="0" w:color="auto"/>
            <w:left w:val="none" w:sz="0" w:space="0" w:color="auto"/>
            <w:bottom w:val="none" w:sz="0" w:space="0" w:color="auto"/>
            <w:right w:val="none" w:sz="0" w:space="0" w:color="auto"/>
          </w:divBdr>
          <w:divsChild>
            <w:div w:id="687145504">
              <w:marLeft w:val="0"/>
              <w:marRight w:val="0"/>
              <w:marTop w:val="0"/>
              <w:marBottom w:val="0"/>
              <w:divBdr>
                <w:top w:val="none" w:sz="0" w:space="0" w:color="auto"/>
                <w:left w:val="none" w:sz="0" w:space="0" w:color="auto"/>
                <w:bottom w:val="none" w:sz="0" w:space="0" w:color="auto"/>
                <w:right w:val="none" w:sz="0" w:space="0" w:color="auto"/>
              </w:divBdr>
            </w:div>
            <w:div w:id="39790655">
              <w:marLeft w:val="0"/>
              <w:marRight w:val="0"/>
              <w:marTop w:val="0"/>
              <w:marBottom w:val="0"/>
              <w:divBdr>
                <w:top w:val="none" w:sz="0" w:space="0" w:color="auto"/>
                <w:left w:val="none" w:sz="0" w:space="0" w:color="auto"/>
                <w:bottom w:val="none" w:sz="0" w:space="0" w:color="auto"/>
                <w:right w:val="none" w:sz="0" w:space="0" w:color="auto"/>
              </w:divBdr>
            </w:div>
            <w:div w:id="2469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2505">
      <w:bodyDiv w:val="1"/>
      <w:marLeft w:val="0"/>
      <w:marRight w:val="0"/>
      <w:marTop w:val="0"/>
      <w:marBottom w:val="0"/>
      <w:divBdr>
        <w:top w:val="none" w:sz="0" w:space="0" w:color="auto"/>
        <w:left w:val="none" w:sz="0" w:space="0" w:color="auto"/>
        <w:bottom w:val="none" w:sz="0" w:space="0" w:color="auto"/>
        <w:right w:val="none" w:sz="0" w:space="0" w:color="auto"/>
      </w:divBdr>
    </w:div>
    <w:div w:id="1050156535">
      <w:bodyDiv w:val="1"/>
      <w:marLeft w:val="0"/>
      <w:marRight w:val="0"/>
      <w:marTop w:val="0"/>
      <w:marBottom w:val="0"/>
      <w:divBdr>
        <w:top w:val="none" w:sz="0" w:space="0" w:color="auto"/>
        <w:left w:val="none" w:sz="0" w:space="0" w:color="auto"/>
        <w:bottom w:val="none" w:sz="0" w:space="0" w:color="auto"/>
        <w:right w:val="none" w:sz="0" w:space="0" w:color="auto"/>
      </w:divBdr>
      <w:divsChild>
        <w:div w:id="1052733696">
          <w:marLeft w:val="0"/>
          <w:marRight w:val="0"/>
          <w:marTop w:val="0"/>
          <w:marBottom w:val="0"/>
          <w:divBdr>
            <w:top w:val="none" w:sz="0" w:space="0" w:color="auto"/>
            <w:left w:val="none" w:sz="0" w:space="0" w:color="auto"/>
            <w:bottom w:val="none" w:sz="0" w:space="0" w:color="auto"/>
            <w:right w:val="none" w:sz="0" w:space="0" w:color="auto"/>
          </w:divBdr>
        </w:div>
      </w:divsChild>
    </w:div>
    <w:div w:id="1072462975">
      <w:bodyDiv w:val="1"/>
      <w:marLeft w:val="0"/>
      <w:marRight w:val="0"/>
      <w:marTop w:val="0"/>
      <w:marBottom w:val="0"/>
      <w:divBdr>
        <w:top w:val="none" w:sz="0" w:space="0" w:color="auto"/>
        <w:left w:val="none" w:sz="0" w:space="0" w:color="auto"/>
        <w:bottom w:val="none" w:sz="0" w:space="0" w:color="auto"/>
        <w:right w:val="none" w:sz="0" w:space="0" w:color="auto"/>
      </w:divBdr>
      <w:divsChild>
        <w:div w:id="834417833">
          <w:marLeft w:val="0"/>
          <w:marRight w:val="0"/>
          <w:marTop w:val="0"/>
          <w:marBottom w:val="0"/>
          <w:divBdr>
            <w:top w:val="none" w:sz="0" w:space="0" w:color="auto"/>
            <w:left w:val="none" w:sz="0" w:space="0" w:color="auto"/>
            <w:bottom w:val="none" w:sz="0" w:space="0" w:color="auto"/>
            <w:right w:val="none" w:sz="0" w:space="0" w:color="auto"/>
          </w:divBdr>
          <w:divsChild>
            <w:div w:id="947782417">
              <w:marLeft w:val="0"/>
              <w:marRight w:val="0"/>
              <w:marTop w:val="0"/>
              <w:marBottom w:val="0"/>
              <w:divBdr>
                <w:top w:val="none" w:sz="0" w:space="0" w:color="auto"/>
                <w:left w:val="none" w:sz="0" w:space="0" w:color="auto"/>
                <w:bottom w:val="none" w:sz="0" w:space="0" w:color="auto"/>
                <w:right w:val="none" w:sz="0" w:space="0" w:color="auto"/>
              </w:divBdr>
              <w:divsChild>
                <w:div w:id="656999712">
                  <w:marLeft w:val="0"/>
                  <w:marRight w:val="0"/>
                  <w:marTop w:val="0"/>
                  <w:marBottom w:val="0"/>
                  <w:divBdr>
                    <w:top w:val="none" w:sz="0" w:space="0" w:color="auto"/>
                    <w:left w:val="none" w:sz="0" w:space="0" w:color="auto"/>
                    <w:bottom w:val="none" w:sz="0" w:space="0" w:color="auto"/>
                    <w:right w:val="none" w:sz="0" w:space="0" w:color="auto"/>
                  </w:divBdr>
                  <w:divsChild>
                    <w:div w:id="684282690">
                      <w:marLeft w:val="0"/>
                      <w:marRight w:val="0"/>
                      <w:marTop w:val="0"/>
                      <w:marBottom w:val="0"/>
                      <w:divBdr>
                        <w:top w:val="none" w:sz="0" w:space="0" w:color="auto"/>
                        <w:left w:val="none" w:sz="0" w:space="0" w:color="auto"/>
                        <w:bottom w:val="none" w:sz="0" w:space="0" w:color="auto"/>
                        <w:right w:val="none" w:sz="0" w:space="0" w:color="auto"/>
                      </w:divBdr>
                      <w:divsChild>
                        <w:div w:id="721294912">
                          <w:marLeft w:val="0"/>
                          <w:marRight w:val="0"/>
                          <w:marTop w:val="0"/>
                          <w:marBottom w:val="0"/>
                          <w:divBdr>
                            <w:top w:val="none" w:sz="0" w:space="0" w:color="auto"/>
                            <w:left w:val="none" w:sz="0" w:space="0" w:color="auto"/>
                            <w:bottom w:val="none" w:sz="0" w:space="0" w:color="auto"/>
                            <w:right w:val="none" w:sz="0" w:space="0" w:color="auto"/>
                          </w:divBdr>
                          <w:divsChild>
                            <w:div w:id="222714814">
                              <w:marLeft w:val="0"/>
                              <w:marRight w:val="0"/>
                              <w:marTop w:val="0"/>
                              <w:marBottom w:val="0"/>
                              <w:divBdr>
                                <w:top w:val="none" w:sz="0" w:space="0" w:color="auto"/>
                                <w:left w:val="none" w:sz="0" w:space="0" w:color="auto"/>
                                <w:bottom w:val="none" w:sz="0" w:space="0" w:color="auto"/>
                                <w:right w:val="none" w:sz="0" w:space="0" w:color="auto"/>
                              </w:divBdr>
                              <w:divsChild>
                                <w:div w:id="360057910">
                                  <w:marLeft w:val="0"/>
                                  <w:marRight w:val="0"/>
                                  <w:marTop w:val="0"/>
                                  <w:marBottom w:val="0"/>
                                  <w:divBdr>
                                    <w:top w:val="none" w:sz="0" w:space="0" w:color="auto"/>
                                    <w:left w:val="none" w:sz="0" w:space="0" w:color="auto"/>
                                    <w:bottom w:val="none" w:sz="0" w:space="0" w:color="auto"/>
                                    <w:right w:val="none" w:sz="0" w:space="0" w:color="auto"/>
                                  </w:divBdr>
                                  <w:divsChild>
                                    <w:div w:id="885411162">
                                      <w:marLeft w:val="0"/>
                                      <w:marRight w:val="0"/>
                                      <w:marTop w:val="0"/>
                                      <w:marBottom w:val="0"/>
                                      <w:divBdr>
                                        <w:top w:val="none" w:sz="0" w:space="0" w:color="auto"/>
                                        <w:left w:val="none" w:sz="0" w:space="0" w:color="auto"/>
                                        <w:bottom w:val="none" w:sz="0" w:space="0" w:color="auto"/>
                                        <w:right w:val="none" w:sz="0" w:space="0" w:color="auto"/>
                                      </w:divBdr>
                                      <w:divsChild>
                                        <w:div w:id="221140877">
                                          <w:marLeft w:val="0"/>
                                          <w:marRight w:val="0"/>
                                          <w:marTop w:val="0"/>
                                          <w:marBottom w:val="0"/>
                                          <w:divBdr>
                                            <w:top w:val="none" w:sz="0" w:space="0" w:color="auto"/>
                                            <w:left w:val="none" w:sz="0" w:space="0" w:color="auto"/>
                                            <w:bottom w:val="none" w:sz="0" w:space="0" w:color="auto"/>
                                            <w:right w:val="none" w:sz="0" w:space="0" w:color="auto"/>
                                          </w:divBdr>
                                          <w:divsChild>
                                            <w:div w:id="1333222620">
                                              <w:marLeft w:val="0"/>
                                              <w:marRight w:val="0"/>
                                              <w:marTop w:val="0"/>
                                              <w:marBottom w:val="0"/>
                                              <w:divBdr>
                                                <w:top w:val="none" w:sz="0" w:space="0" w:color="auto"/>
                                                <w:left w:val="none" w:sz="0" w:space="0" w:color="auto"/>
                                                <w:bottom w:val="none" w:sz="0" w:space="0" w:color="auto"/>
                                                <w:right w:val="none" w:sz="0" w:space="0" w:color="auto"/>
                                              </w:divBdr>
                                              <w:divsChild>
                                                <w:div w:id="1204371462">
                                                  <w:marLeft w:val="0"/>
                                                  <w:marRight w:val="0"/>
                                                  <w:marTop w:val="0"/>
                                                  <w:marBottom w:val="0"/>
                                                  <w:divBdr>
                                                    <w:top w:val="none" w:sz="0" w:space="0" w:color="auto"/>
                                                    <w:left w:val="none" w:sz="0" w:space="0" w:color="auto"/>
                                                    <w:bottom w:val="none" w:sz="0" w:space="0" w:color="auto"/>
                                                    <w:right w:val="none" w:sz="0" w:space="0" w:color="auto"/>
                                                  </w:divBdr>
                                                  <w:divsChild>
                                                    <w:div w:id="927543179">
                                                      <w:marLeft w:val="0"/>
                                                      <w:marRight w:val="0"/>
                                                      <w:marTop w:val="0"/>
                                                      <w:marBottom w:val="0"/>
                                                      <w:divBdr>
                                                        <w:top w:val="none" w:sz="0" w:space="0" w:color="auto"/>
                                                        <w:left w:val="none" w:sz="0" w:space="0" w:color="auto"/>
                                                        <w:bottom w:val="none" w:sz="0" w:space="0" w:color="auto"/>
                                                        <w:right w:val="none" w:sz="0" w:space="0" w:color="auto"/>
                                                      </w:divBdr>
                                                    </w:div>
                                                    <w:div w:id="1824618505">
                                                      <w:marLeft w:val="0"/>
                                                      <w:marRight w:val="0"/>
                                                      <w:marTop w:val="0"/>
                                                      <w:marBottom w:val="0"/>
                                                      <w:divBdr>
                                                        <w:top w:val="none" w:sz="0" w:space="0" w:color="auto"/>
                                                        <w:left w:val="none" w:sz="0" w:space="0" w:color="auto"/>
                                                        <w:bottom w:val="none" w:sz="0" w:space="0" w:color="auto"/>
                                                        <w:right w:val="none" w:sz="0" w:space="0" w:color="auto"/>
                                                      </w:divBdr>
                                                    </w:div>
                                                    <w:div w:id="8096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7244">
                                          <w:marLeft w:val="0"/>
                                          <w:marRight w:val="0"/>
                                          <w:marTop w:val="0"/>
                                          <w:marBottom w:val="0"/>
                                          <w:divBdr>
                                            <w:top w:val="none" w:sz="0" w:space="0" w:color="auto"/>
                                            <w:left w:val="none" w:sz="0" w:space="0" w:color="auto"/>
                                            <w:bottom w:val="none" w:sz="0" w:space="0" w:color="auto"/>
                                            <w:right w:val="none" w:sz="0" w:space="0" w:color="auto"/>
                                          </w:divBdr>
                                          <w:divsChild>
                                            <w:div w:id="1726489003">
                                              <w:marLeft w:val="0"/>
                                              <w:marRight w:val="0"/>
                                              <w:marTop w:val="0"/>
                                              <w:marBottom w:val="0"/>
                                              <w:divBdr>
                                                <w:top w:val="none" w:sz="0" w:space="0" w:color="auto"/>
                                                <w:left w:val="none" w:sz="0" w:space="0" w:color="auto"/>
                                                <w:bottom w:val="none" w:sz="0" w:space="0" w:color="auto"/>
                                                <w:right w:val="none" w:sz="0" w:space="0" w:color="auto"/>
                                              </w:divBdr>
                                            </w:div>
                                            <w:div w:id="1071077379">
                                              <w:marLeft w:val="0"/>
                                              <w:marRight w:val="0"/>
                                              <w:marTop w:val="0"/>
                                              <w:marBottom w:val="0"/>
                                              <w:divBdr>
                                                <w:top w:val="none" w:sz="0" w:space="0" w:color="auto"/>
                                                <w:left w:val="none" w:sz="0" w:space="0" w:color="auto"/>
                                                <w:bottom w:val="none" w:sz="0" w:space="0" w:color="auto"/>
                                                <w:right w:val="none" w:sz="0" w:space="0" w:color="auto"/>
                                              </w:divBdr>
                                            </w:div>
                                            <w:div w:id="1582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602860">
      <w:bodyDiv w:val="1"/>
      <w:marLeft w:val="0"/>
      <w:marRight w:val="0"/>
      <w:marTop w:val="0"/>
      <w:marBottom w:val="0"/>
      <w:divBdr>
        <w:top w:val="none" w:sz="0" w:space="0" w:color="auto"/>
        <w:left w:val="none" w:sz="0" w:space="0" w:color="auto"/>
        <w:bottom w:val="none" w:sz="0" w:space="0" w:color="auto"/>
        <w:right w:val="none" w:sz="0" w:space="0" w:color="auto"/>
      </w:divBdr>
      <w:divsChild>
        <w:div w:id="1863128147">
          <w:marLeft w:val="0"/>
          <w:marRight w:val="0"/>
          <w:marTop w:val="0"/>
          <w:marBottom w:val="0"/>
          <w:divBdr>
            <w:top w:val="none" w:sz="0" w:space="0" w:color="auto"/>
            <w:left w:val="none" w:sz="0" w:space="0" w:color="auto"/>
            <w:bottom w:val="none" w:sz="0" w:space="0" w:color="auto"/>
            <w:right w:val="none" w:sz="0" w:space="0" w:color="auto"/>
          </w:divBdr>
        </w:div>
      </w:divsChild>
    </w:div>
    <w:div w:id="1168834718">
      <w:bodyDiv w:val="1"/>
      <w:marLeft w:val="0"/>
      <w:marRight w:val="0"/>
      <w:marTop w:val="0"/>
      <w:marBottom w:val="0"/>
      <w:divBdr>
        <w:top w:val="none" w:sz="0" w:space="0" w:color="auto"/>
        <w:left w:val="none" w:sz="0" w:space="0" w:color="auto"/>
        <w:bottom w:val="none" w:sz="0" w:space="0" w:color="auto"/>
        <w:right w:val="none" w:sz="0" w:space="0" w:color="auto"/>
      </w:divBdr>
      <w:divsChild>
        <w:div w:id="1134249033">
          <w:marLeft w:val="0"/>
          <w:marRight w:val="0"/>
          <w:marTop w:val="0"/>
          <w:marBottom w:val="0"/>
          <w:divBdr>
            <w:top w:val="none" w:sz="0" w:space="0" w:color="auto"/>
            <w:left w:val="none" w:sz="0" w:space="0" w:color="auto"/>
            <w:bottom w:val="none" w:sz="0" w:space="0" w:color="auto"/>
            <w:right w:val="none" w:sz="0" w:space="0" w:color="auto"/>
          </w:divBdr>
        </w:div>
      </w:divsChild>
    </w:div>
    <w:div w:id="1177233557">
      <w:bodyDiv w:val="1"/>
      <w:marLeft w:val="0"/>
      <w:marRight w:val="0"/>
      <w:marTop w:val="0"/>
      <w:marBottom w:val="0"/>
      <w:divBdr>
        <w:top w:val="none" w:sz="0" w:space="0" w:color="auto"/>
        <w:left w:val="none" w:sz="0" w:space="0" w:color="auto"/>
        <w:bottom w:val="none" w:sz="0" w:space="0" w:color="auto"/>
        <w:right w:val="none" w:sz="0" w:space="0" w:color="auto"/>
      </w:divBdr>
      <w:divsChild>
        <w:div w:id="1437215155">
          <w:marLeft w:val="0"/>
          <w:marRight w:val="0"/>
          <w:marTop w:val="0"/>
          <w:marBottom w:val="0"/>
          <w:divBdr>
            <w:top w:val="none" w:sz="0" w:space="0" w:color="auto"/>
            <w:left w:val="none" w:sz="0" w:space="0" w:color="auto"/>
            <w:bottom w:val="none" w:sz="0" w:space="0" w:color="auto"/>
            <w:right w:val="none" w:sz="0" w:space="0" w:color="auto"/>
          </w:divBdr>
        </w:div>
      </w:divsChild>
    </w:div>
    <w:div w:id="1194920958">
      <w:bodyDiv w:val="1"/>
      <w:marLeft w:val="0"/>
      <w:marRight w:val="0"/>
      <w:marTop w:val="0"/>
      <w:marBottom w:val="0"/>
      <w:divBdr>
        <w:top w:val="none" w:sz="0" w:space="0" w:color="auto"/>
        <w:left w:val="none" w:sz="0" w:space="0" w:color="auto"/>
        <w:bottom w:val="none" w:sz="0" w:space="0" w:color="auto"/>
        <w:right w:val="none" w:sz="0" w:space="0" w:color="auto"/>
      </w:divBdr>
      <w:divsChild>
        <w:div w:id="1392190772">
          <w:marLeft w:val="0"/>
          <w:marRight w:val="0"/>
          <w:marTop w:val="0"/>
          <w:marBottom w:val="0"/>
          <w:divBdr>
            <w:top w:val="none" w:sz="0" w:space="0" w:color="auto"/>
            <w:left w:val="none" w:sz="0" w:space="0" w:color="auto"/>
            <w:bottom w:val="none" w:sz="0" w:space="0" w:color="auto"/>
            <w:right w:val="none" w:sz="0" w:space="0" w:color="auto"/>
          </w:divBdr>
        </w:div>
      </w:divsChild>
    </w:div>
    <w:div w:id="1245189046">
      <w:bodyDiv w:val="1"/>
      <w:marLeft w:val="0"/>
      <w:marRight w:val="0"/>
      <w:marTop w:val="0"/>
      <w:marBottom w:val="0"/>
      <w:divBdr>
        <w:top w:val="none" w:sz="0" w:space="0" w:color="auto"/>
        <w:left w:val="none" w:sz="0" w:space="0" w:color="auto"/>
        <w:bottom w:val="none" w:sz="0" w:space="0" w:color="auto"/>
        <w:right w:val="none" w:sz="0" w:space="0" w:color="auto"/>
      </w:divBdr>
      <w:divsChild>
        <w:div w:id="1147817027">
          <w:marLeft w:val="0"/>
          <w:marRight w:val="0"/>
          <w:marTop w:val="0"/>
          <w:marBottom w:val="0"/>
          <w:divBdr>
            <w:top w:val="none" w:sz="0" w:space="0" w:color="auto"/>
            <w:left w:val="none" w:sz="0" w:space="0" w:color="auto"/>
            <w:bottom w:val="none" w:sz="0" w:space="0" w:color="auto"/>
            <w:right w:val="none" w:sz="0" w:space="0" w:color="auto"/>
          </w:divBdr>
        </w:div>
      </w:divsChild>
    </w:div>
    <w:div w:id="1288317421">
      <w:bodyDiv w:val="1"/>
      <w:marLeft w:val="0"/>
      <w:marRight w:val="0"/>
      <w:marTop w:val="0"/>
      <w:marBottom w:val="0"/>
      <w:divBdr>
        <w:top w:val="none" w:sz="0" w:space="0" w:color="auto"/>
        <w:left w:val="none" w:sz="0" w:space="0" w:color="auto"/>
        <w:bottom w:val="none" w:sz="0" w:space="0" w:color="auto"/>
        <w:right w:val="none" w:sz="0" w:space="0" w:color="auto"/>
      </w:divBdr>
      <w:divsChild>
        <w:div w:id="260572829">
          <w:marLeft w:val="0"/>
          <w:marRight w:val="0"/>
          <w:marTop w:val="0"/>
          <w:marBottom w:val="0"/>
          <w:divBdr>
            <w:top w:val="none" w:sz="0" w:space="0" w:color="auto"/>
            <w:left w:val="none" w:sz="0" w:space="0" w:color="auto"/>
            <w:bottom w:val="none" w:sz="0" w:space="0" w:color="auto"/>
            <w:right w:val="none" w:sz="0" w:space="0" w:color="auto"/>
          </w:divBdr>
        </w:div>
      </w:divsChild>
    </w:div>
    <w:div w:id="1313676744">
      <w:bodyDiv w:val="1"/>
      <w:marLeft w:val="0"/>
      <w:marRight w:val="0"/>
      <w:marTop w:val="0"/>
      <w:marBottom w:val="0"/>
      <w:divBdr>
        <w:top w:val="none" w:sz="0" w:space="0" w:color="auto"/>
        <w:left w:val="none" w:sz="0" w:space="0" w:color="auto"/>
        <w:bottom w:val="none" w:sz="0" w:space="0" w:color="auto"/>
        <w:right w:val="none" w:sz="0" w:space="0" w:color="auto"/>
      </w:divBdr>
      <w:divsChild>
        <w:div w:id="2024893806">
          <w:marLeft w:val="0"/>
          <w:marRight w:val="0"/>
          <w:marTop w:val="0"/>
          <w:marBottom w:val="0"/>
          <w:divBdr>
            <w:top w:val="none" w:sz="0" w:space="0" w:color="auto"/>
            <w:left w:val="none" w:sz="0" w:space="0" w:color="auto"/>
            <w:bottom w:val="none" w:sz="0" w:space="0" w:color="auto"/>
            <w:right w:val="none" w:sz="0" w:space="0" w:color="auto"/>
          </w:divBdr>
        </w:div>
      </w:divsChild>
    </w:div>
    <w:div w:id="1327366461">
      <w:bodyDiv w:val="1"/>
      <w:marLeft w:val="0"/>
      <w:marRight w:val="0"/>
      <w:marTop w:val="0"/>
      <w:marBottom w:val="0"/>
      <w:divBdr>
        <w:top w:val="none" w:sz="0" w:space="0" w:color="auto"/>
        <w:left w:val="none" w:sz="0" w:space="0" w:color="auto"/>
        <w:bottom w:val="none" w:sz="0" w:space="0" w:color="auto"/>
        <w:right w:val="none" w:sz="0" w:space="0" w:color="auto"/>
      </w:divBdr>
      <w:divsChild>
        <w:div w:id="1998262669">
          <w:marLeft w:val="0"/>
          <w:marRight w:val="0"/>
          <w:marTop w:val="0"/>
          <w:marBottom w:val="0"/>
          <w:divBdr>
            <w:top w:val="none" w:sz="0" w:space="0" w:color="auto"/>
            <w:left w:val="none" w:sz="0" w:space="0" w:color="auto"/>
            <w:bottom w:val="none" w:sz="0" w:space="0" w:color="auto"/>
            <w:right w:val="none" w:sz="0" w:space="0" w:color="auto"/>
          </w:divBdr>
          <w:divsChild>
            <w:div w:id="189925043">
              <w:marLeft w:val="0"/>
              <w:marRight w:val="0"/>
              <w:marTop w:val="0"/>
              <w:marBottom w:val="0"/>
              <w:divBdr>
                <w:top w:val="none" w:sz="0" w:space="0" w:color="auto"/>
                <w:left w:val="none" w:sz="0" w:space="0" w:color="auto"/>
                <w:bottom w:val="none" w:sz="0" w:space="0" w:color="auto"/>
                <w:right w:val="none" w:sz="0" w:space="0" w:color="auto"/>
              </w:divBdr>
            </w:div>
            <w:div w:id="2015300813">
              <w:marLeft w:val="0"/>
              <w:marRight w:val="0"/>
              <w:marTop w:val="0"/>
              <w:marBottom w:val="0"/>
              <w:divBdr>
                <w:top w:val="none" w:sz="0" w:space="0" w:color="auto"/>
                <w:left w:val="none" w:sz="0" w:space="0" w:color="auto"/>
                <w:bottom w:val="none" w:sz="0" w:space="0" w:color="auto"/>
                <w:right w:val="none" w:sz="0" w:space="0" w:color="auto"/>
              </w:divBdr>
            </w:div>
            <w:div w:id="3795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52548">
      <w:bodyDiv w:val="1"/>
      <w:marLeft w:val="0"/>
      <w:marRight w:val="0"/>
      <w:marTop w:val="0"/>
      <w:marBottom w:val="0"/>
      <w:divBdr>
        <w:top w:val="none" w:sz="0" w:space="0" w:color="auto"/>
        <w:left w:val="none" w:sz="0" w:space="0" w:color="auto"/>
        <w:bottom w:val="none" w:sz="0" w:space="0" w:color="auto"/>
        <w:right w:val="none" w:sz="0" w:space="0" w:color="auto"/>
      </w:divBdr>
      <w:divsChild>
        <w:div w:id="578565029">
          <w:marLeft w:val="0"/>
          <w:marRight w:val="0"/>
          <w:marTop w:val="0"/>
          <w:marBottom w:val="0"/>
          <w:divBdr>
            <w:top w:val="none" w:sz="0" w:space="0" w:color="auto"/>
            <w:left w:val="none" w:sz="0" w:space="0" w:color="auto"/>
            <w:bottom w:val="none" w:sz="0" w:space="0" w:color="auto"/>
            <w:right w:val="none" w:sz="0" w:space="0" w:color="auto"/>
          </w:divBdr>
        </w:div>
      </w:divsChild>
    </w:div>
    <w:div w:id="1611207853">
      <w:bodyDiv w:val="1"/>
      <w:marLeft w:val="0"/>
      <w:marRight w:val="0"/>
      <w:marTop w:val="0"/>
      <w:marBottom w:val="0"/>
      <w:divBdr>
        <w:top w:val="none" w:sz="0" w:space="0" w:color="auto"/>
        <w:left w:val="none" w:sz="0" w:space="0" w:color="auto"/>
        <w:bottom w:val="none" w:sz="0" w:space="0" w:color="auto"/>
        <w:right w:val="none" w:sz="0" w:space="0" w:color="auto"/>
      </w:divBdr>
      <w:divsChild>
        <w:div w:id="525556678">
          <w:marLeft w:val="0"/>
          <w:marRight w:val="0"/>
          <w:marTop w:val="0"/>
          <w:marBottom w:val="0"/>
          <w:divBdr>
            <w:top w:val="none" w:sz="0" w:space="0" w:color="auto"/>
            <w:left w:val="none" w:sz="0" w:space="0" w:color="auto"/>
            <w:bottom w:val="none" w:sz="0" w:space="0" w:color="auto"/>
            <w:right w:val="none" w:sz="0" w:space="0" w:color="auto"/>
          </w:divBdr>
          <w:divsChild>
            <w:div w:id="407777424">
              <w:marLeft w:val="0"/>
              <w:marRight w:val="0"/>
              <w:marTop w:val="0"/>
              <w:marBottom w:val="0"/>
              <w:divBdr>
                <w:top w:val="none" w:sz="0" w:space="0" w:color="auto"/>
                <w:left w:val="none" w:sz="0" w:space="0" w:color="auto"/>
                <w:bottom w:val="none" w:sz="0" w:space="0" w:color="auto"/>
                <w:right w:val="none" w:sz="0" w:space="0" w:color="auto"/>
              </w:divBdr>
              <w:divsChild>
                <w:div w:id="1500658679">
                  <w:marLeft w:val="0"/>
                  <w:marRight w:val="0"/>
                  <w:marTop w:val="0"/>
                  <w:marBottom w:val="0"/>
                  <w:divBdr>
                    <w:top w:val="none" w:sz="0" w:space="0" w:color="auto"/>
                    <w:left w:val="none" w:sz="0" w:space="0" w:color="auto"/>
                    <w:bottom w:val="none" w:sz="0" w:space="0" w:color="auto"/>
                    <w:right w:val="none" w:sz="0" w:space="0" w:color="auto"/>
                  </w:divBdr>
                  <w:divsChild>
                    <w:div w:id="351348761">
                      <w:marLeft w:val="0"/>
                      <w:marRight w:val="0"/>
                      <w:marTop w:val="0"/>
                      <w:marBottom w:val="0"/>
                      <w:divBdr>
                        <w:top w:val="none" w:sz="0" w:space="0" w:color="auto"/>
                        <w:left w:val="none" w:sz="0" w:space="0" w:color="auto"/>
                        <w:bottom w:val="none" w:sz="0" w:space="0" w:color="auto"/>
                        <w:right w:val="none" w:sz="0" w:space="0" w:color="auto"/>
                      </w:divBdr>
                      <w:divsChild>
                        <w:div w:id="492571676">
                          <w:marLeft w:val="0"/>
                          <w:marRight w:val="0"/>
                          <w:marTop w:val="0"/>
                          <w:marBottom w:val="0"/>
                          <w:divBdr>
                            <w:top w:val="none" w:sz="0" w:space="0" w:color="auto"/>
                            <w:left w:val="none" w:sz="0" w:space="0" w:color="auto"/>
                            <w:bottom w:val="none" w:sz="0" w:space="0" w:color="auto"/>
                            <w:right w:val="none" w:sz="0" w:space="0" w:color="auto"/>
                          </w:divBdr>
                          <w:divsChild>
                            <w:div w:id="1215627925">
                              <w:marLeft w:val="0"/>
                              <w:marRight w:val="0"/>
                              <w:marTop w:val="0"/>
                              <w:marBottom w:val="0"/>
                              <w:divBdr>
                                <w:top w:val="none" w:sz="0" w:space="0" w:color="auto"/>
                                <w:left w:val="none" w:sz="0" w:space="0" w:color="auto"/>
                                <w:bottom w:val="none" w:sz="0" w:space="0" w:color="auto"/>
                                <w:right w:val="none" w:sz="0" w:space="0" w:color="auto"/>
                              </w:divBdr>
                              <w:divsChild>
                                <w:div w:id="967122498">
                                  <w:marLeft w:val="0"/>
                                  <w:marRight w:val="0"/>
                                  <w:marTop w:val="0"/>
                                  <w:marBottom w:val="0"/>
                                  <w:divBdr>
                                    <w:top w:val="none" w:sz="0" w:space="0" w:color="auto"/>
                                    <w:left w:val="none" w:sz="0" w:space="0" w:color="auto"/>
                                    <w:bottom w:val="none" w:sz="0" w:space="0" w:color="auto"/>
                                    <w:right w:val="none" w:sz="0" w:space="0" w:color="auto"/>
                                  </w:divBdr>
                                  <w:divsChild>
                                    <w:div w:id="1827698611">
                                      <w:marLeft w:val="0"/>
                                      <w:marRight w:val="0"/>
                                      <w:marTop w:val="0"/>
                                      <w:marBottom w:val="0"/>
                                      <w:divBdr>
                                        <w:top w:val="none" w:sz="0" w:space="0" w:color="auto"/>
                                        <w:left w:val="none" w:sz="0" w:space="0" w:color="auto"/>
                                        <w:bottom w:val="none" w:sz="0" w:space="0" w:color="auto"/>
                                        <w:right w:val="none" w:sz="0" w:space="0" w:color="auto"/>
                                      </w:divBdr>
                                      <w:divsChild>
                                        <w:div w:id="637801799">
                                          <w:marLeft w:val="0"/>
                                          <w:marRight w:val="0"/>
                                          <w:marTop w:val="0"/>
                                          <w:marBottom w:val="0"/>
                                          <w:divBdr>
                                            <w:top w:val="none" w:sz="0" w:space="0" w:color="auto"/>
                                            <w:left w:val="none" w:sz="0" w:space="0" w:color="auto"/>
                                            <w:bottom w:val="none" w:sz="0" w:space="0" w:color="auto"/>
                                            <w:right w:val="none" w:sz="0" w:space="0" w:color="auto"/>
                                          </w:divBdr>
                                          <w:divsChild>
                                            <w:div w:id="303239831">
                                              <w:marLeft w:val="0"/>
                                              <w:marRight w:val="0"/>
                                              <w:marTop w:val="0"/>
                                              <w:marBottom w:val="0"/>
                                              <w:divBdr>
                                                <w:top w:val="none" w:sz="0" w:space="0" w:color="auto"/>
                                                <w:left w:val="none" w:sz="0" w:space="0" w:color="auto"/>
                                                <w:bottom w:val="none" w:sz="0" w:space="0" w:color="auto"/>
                                                <w:right w:val="none" w:sz="0" w:space="0" w:color="auto"/>
                                              </w:divBdr>
                                              <w:divsChild>
                                                <w:div w:id="718669041">
                                                  <w:marLeft w:val="0"/>
                                                  <w:marRight w:val="0"/>
                                                  <w:marTop w:val="0"/>
                                                  <w:marBottom w:val="0"/>
                                                  <w:divBdr>
                                                    <w:top w:val="none" w:sz="0" w:space="0" w:color="auto"/>
                                                    <w:left w:val="none" w:sz="0" w:space="0" w:color="auto"/>
                                                    <w:bottom w:val="none" w:sz="0" w:space="0" w:color="auto"/>
                                                    <w:right w:val="none" w:sz="0" w:space="0" w:color="auto"/>
                                                  </w:divBdr>
                                                  <w:divsChild>
                                                    <w:div w:id="8684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3497">
                                          <w:marLeft w:val="0"/>
                                          <w:marRight w:val="0"/>
                                          <w:marTop w:val="0"/>
                                          <w:marBottom w:val="0"/>
                                          <w:divBdr>
                                            <w:top w:val="none" w:sz="0" w:space="0" w:color="auto"/>
                                            <w:left w:val="none" w:sz="0" w:space="0" w:color="auto"/>
                                            <w:bottom w:val="none" w:sz="0" w:space="0" w:color="auto"/>
                                            <w:right w:val="none" w:sz="0" w:space="0" w:color="auto"/>
                                          </w:divBdr>
                                          <w:divsChild>
                                            <w:div w:id="1269582007">
                                              <w:marLeft w:val="0"/>
                                              <w:marRight w:val="0"/>
                                              <w:marTop w:val="0"/>
                                              <w:marBottom w:val="0"/>
                                              <w:divBdr>
                                                <w:top w:val="none" w:sz="0" w:space="0" w:color="auto"/>
                                                <w:left w:val="none" w:sz="0" w:space="0" w:color="auto"/>
                                                <w:bottom w:val="none" w:sz="0" w:space="0" w:color="auto"/>
                                                <w:right w:val="none" w:sz="0" w:space="0" w:color="auto"/>
                                              </w:divBdr>
                                              <w:divsChild>
                                                <w:div w:id="544565230">
                                                  <w:marLeft w:val="0"/>
                                                  <w:marRight w:val="0"/>
                                                  <w:marTop w:val="0"/>
                                                  <w:marBottom w:val="0"/>
                                                  <w:divBdr>
                                                    <w:top w:val="none" w:sz="0" w:space="0" w:color="auto"/>
                                                    <w:left w:val="none" w:sz="0" w:space="0" w:color="auto"/>
                                                    <w:bottom w:val="none" w:sz="0" w:space="0" w:color="auto"/>
                                                    <w:right w:val="none" w:sz="0" w:space="0" w:color="auto"/>
                                                  </w:divBdr>
                                                  <w:divsChild>
                                                    <w:div w:id="147537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54413">
                                          <w:marLeft w:val="0"/>
                                          <w:marRight w:val="0"/>
                                          <w:marTop w:val="0"/>
                                          <w:marBottom w:val="0"/>
                                          <w:divBdr>
                                            <w:top w:val="none" w:sz="0" w:space="0" w:color="auto"/>
                                            <w:left w:val="none" w:sz="0" w:space="0" w:color="auto"/>
                                            <w:bottom w:val="none" w:sz="0" w:space="0" w:color="auto"/>
                                            <w:right w:val="none" w:sz="0" w:space="0" w:color="auto"/>
                                          </w:divBdr>
                                          <w:divsChild>
                                            <w:div w:id="2126462366">
                                              <w:marLeft w:val="0"/>
                                              <w:marRight w:val="0"/>
                                              <w:marTop w:val="0"/>
                                              <w:marBottom w:val="0"/>
                                              <w:divBdr>
                                                <w:top w:val="none" w:sz="0" w:space="0" w:color="auto"/>
                                                <w:left w:val="none" w:sz="0" w:space="0" w:color="auto"/>
                                                <w:bottom w:val="none" w:sz="0" w:space="0" w:color="auto"/>
                                                <w:right w:val="none" w:sz="0" w:space="0" w:color="auto"/>
                                              </w:divBdr>
                                            </w:div>
                                            <w:div w:id="1747527989">
                                              <w:marLeft w:val="0"/>
                                              <w:marRight w:val="0"/>
                                              <w:marTop w:val="0"/>
                                              <w:marBottom w:val="0"/>
                                              <w:divBdr>
                                                <w:top w:val="none" w:sz="0" w:space="0" w:color="auto"/>
                                                <w:left w:val="none" w:sz="0" w:space="0" w:color="auto"/>
                                                <w:bottom w:val="none" w:sz="0" w:space="0" w:color="auto"/>
                                                <w:right w:val="none" w:sz="0" w:space="0" w:color="auto"/>
                                              </w:divBdr>
                                            </w:div>
                                            <w:div w:id="19222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6670990">
      <w:bodyDiv w:val="1"/>
      <w:marLeft w:val="0"/>
      <w:marRight w:val="0"/>
      <w:marTop w:val="0"/>
      <w:marBottom w:val="0"/>
      <w:divBdr>
        <w:top w:val="none" w:sz="0" w:space="0" w:color="auto"/>
        <w:left w:val="none" w:sz="0" w:space="0" w:color="auto"/>
        <w:bottom w:val="none" w:sz="0" w:space="0" w:color="auto"/>
        <w:right w:val="none" w:sz="0" w:space="0" w:color="auto"/>
      </w:divBdr>
      <w:divsChild>
        <w:div w:id="376929915">
          <w:marLeft w:val="0"/>
          <w:marRight w:val="0"/>
          <w:marTop w:val="0"/>
          <w:marBottom w:val="0"/>
          <w:divBdr>
            <w:top w:val="none" w:sz="0" w:space="0" w:color="auto"/>
            <w:left w:val="none" w:sz="0" w:space="0" w:color="auto"/>
            <w:bottom w:val="none" w:sz="0" w:space="0" w:color="auto"/>
            <w:right w:val="none" w:sz="0" w:space="0" w:color="auto"/>
          </w:divBdr>
        </w:div>
      </w:divsChild>
    </w:div>
    <w:div w:id="1656644018">
      <w:bodyDiv w:val="1"/>
      <w:marLeft w:val="0"/>
      <w:marRight w:val="0"/>
      <w:marTop w:val="0"/>
      <w:marBottom w:val="0"/>
      <w:divBdr>
        <w:top w:val="none" w:sz="0" w:space="0" w:color="auto"/>
        <w:left w:val="none" w:sz="0" w:space="0" w:color="auto"/>
        <w:bottom w:val="none" w:sz="0" w:space="0" w:color="auto"/>
        <w:right w:val="none" w:sz="0" w:space="0" w:color="auto"/>
      </w:divBdr>
      <w:divsChild>
        <w:div w:id="1510949535">
          <w:marLeft w:val="0"/>
          <w:marRight w:val="0"/>
          <w:marTop w:val="0"/>
          <w:marBottom w:val="0"/>
          <w:divBdr>
            <w:top w:val="none" w:sz="0" w:space="0" w:color="auto"/>
            <w:left w:val="none" w:sz="0" w:space="0" w:color="auto"/>
            <w:bottom w:val="none" w:sz="0" w:space="0" w:color="auto"/>
            <w:right w:val="none" w:sz="0" w:space="0" w:color="auto"/>
          </w:divBdr>
        </w:div>
      </w:divsChild>
    </w:div>
    <w:div w:id="1820002666">
      <w:bodyDiv w:val="1"/>
      <w:marLeft w:val="0"/>
      <w:marRight w:val="0"/>
      <w:marTop w:val="0"/>
      <w:marBottom w:val="0"/>
      <w:divBdr>
        <w:top w:val="none" w:sz="0" w:space="0" w:color="auto"/>
        <w:left w:val="none" w:sz="0" w:space="0" w:color="auto"/>
        <w:bottom w:val="none" w:sz="0" w:space="0" w:color="auto"/>
        <w:right w:val="none" w:sz="0" w:space="0" w:color="auto"/>
      </w:divBdr>
    </w:div>
    <w:div w:id="1863280769">
      <w:bodyDiv w:val="1"/>
      <w:marLeft w:val="0"/>
      <w:marRight w:val="0"/>
      <w:marTop w:val="0"/>
      <w:marBottom w:val="0"/>
      <w:divBdr>
        <w:top w:val="none" w:sz="0" w:space="0" w:color="auto"/>
        <w:left w:val="none" w:sz="0" w:space="0" w:color="auto"/>
        <w:bottom w:val="none" w:sz="0" w:space="0" w:color="auto"/>
        <w:right w:val="none" w:sz="0" w:space="0" w:color="auto"/>
      </w:divBdr>
      <w:divsChild>
        <w:div w:id="1734430505">
          <w:marLeft w:val="0"/>
          <w:marRight w:val="0"/>
          <w:marTop w:val="0"/>
          <w:marBottom w:val="0"/>
          <w:divBdr>
            <w:top w:val="none" w:sz="0" w:space="0" w:color="auto"/>
            <w:left w:val="none" w:sz="0" w:space="0" w:color="auto"/>
            <w:bottom w:val="none" w:sz="0" w:space="0" w:color="auto"/>
            <w:right w:val="none" w:sz="0" w:space="0" w:color="auto"/>
          </w:divBdr>
        </w:div>
      </w:divsChild>
    </w:div>
    <w:div w:id="1950162569">
      <w:bodyDiv w:val="1"/>
      <w:marLeft w:val="0"/>
      <w:marRight w:val="0"/>
      <w:marTop w:val="0"/>
      <w:marBottom w:val="0"/>
      <w:divBdr>
        <w:top w:val="none" w:sz="0" w:space="0" w:color="auto"/>
        <w:left w:val="none" w:sz="0" w:space="0" w:color="auto"/>
        <w:bottom w:val="none" w:sz="0" w:space="0" w:color="auto"/>
        <w:right w:val="none" w:sz="0" w:space="0" w:color="auto"/>
      </w:divBdr>
      <w:divsChild>
        <w:div w:id="247932807">
          <w:marLeft w:val="0"/>
          <w:marRight w:val="0"/>
          <w:marTop w:val="0"/>
          <w:marBottom w:val="0"/>
          <w:divBdr>
            <w:top w:val="none" w:sz="0" w:space="0" w:color="auto"/>
            <w:left w:val="none" w:sz="0" w:space="0" w:color="auto"/>
            <w:bottom w:val="none" w:sz="0" w:space="0" w:color="auto"/>
            <w:right w:val="none" w:sz="0" w:space="0" w:color="auto"/>
          </w:divBdr>
        </w:div>
      </w:divsChild>
    </w:div>
    <w:div w:id="2001032703">
      <w:bodyDiv w:val="1"/>
      <w:marLeft w:val="0"/>
      <w:marRight w:val="0"/>
      <w:marTop w:val="0"/>
      <w:marBottom w:val="0"/>
      <w:divBdr>
        <w:top w:val="none" w:sz="0" w:space="0" w:color="auto"/>
        <w:left w:val="none" w:sz="0" w:space="0" w:color="auto"/>
        <w:bottom w:val="none" w:sz="0" w:space="0" w:color="auto"/>
        <w:right w:val="none" w:sz="0" w:space="0" w:color="auto"/>
      </w:divBdr>
      <w:divsChild>
        <w:div w:id="1379552401">
          <w:marLeft w:val="0"/>
          <w:marRight w:val="0"/>
          <w:marTop w:val="0"/>
          <w:marBottom w:val="0"/>
          <w:divBdr>
            <w:top w:val="none" w:sz="0" w:space="0" w:color="auto"/>
            <w:left w:val="none" w:sz="0" w:space="0" w:color="auto"/>
            <w:bottom w:val="none" w:sz="0" w:space="0" w:color="auto"/>
            <w:right w:val="none" w:sz="0" w:space="0" w:color="auto"/>
          </w:divBdr>
          <w:divsChild>
            <w:div w:id="2087069129">
              <w:marLeft w:val="0"/>
              <w:marRight w:val="0"/>
              <w:marTop w:val="0"/>
              <w:marBottom w:val="0"/>
              <w:divBdr>
                <w:top w:val="none" w:sz="0" w:space="0" w:color="auto"/>
                <w:left w:val="none" w:sz="0" w:space="0" w:color="auto"/>
                <w:bottom w:val="none" w:sz="0" w:space="0" w:color="auto"/>
                <w:right w:val="none" w:sz="0" w:space="0" w:color="auto"/>
              </w:divBdr>
            </w:div>
            <w:div w:id="359478898">
              <w:marLeft w:val="0"/>
              <w:marRight w:val="0"/>
              <w:marTop w:val="0"/>
              <w:marBottom w:val="0"/>
              <w:divBdr>
                <w:top w:val="none" w:sz="0" w:space="0" w:color="auto"/>
                <w:left w:val="none" w:sz="0" w:space="0" w:color="auto"/>
                <w:bottom w:val="none" w:sz="0" w:space="0" w:color="auto"/>
                <w:right w:val="none" w:sz="0" w:space="0" w:color="auto"/>
              </w:divBdr>
            </w:div>
            <w:div w:id="144338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4220">
      <w:bodyDiv w:val="1"/>
      <w:marLeft w:val="0"/>
      <w:marRight w:val="0"/>
      <w:marTop w:val="0"/>
      <w:marBottom w:val="0"/>
      <w:divBdr>
        <w:top w:val="none" w:sz="0" w:space="0" w:color="auto"/>
        <w:left w:val="none" w:sz="0" w:space="0" w:color="auto"/>
        <w:bottom w:val="none" w:sz="0" w:space="0" w:color="auto"/>
        <w:right w:val="none" w:sz="0" w:space="0" w:color="auto"/>
      </w:divBdr>
      <w:divsChild>
        <w:div w:id="1713770957">
          <w:marLeft w:val="0"/>
          <w:marRight w:val="0"/>
          <w:marTop w:val="0"/>
          <w:marBottom w:val="0"/>
          <w:divBdr>
            <w:top w:val="none" w:sz="0" w:space="0" w:color="auto"/>
            <w:left w:val="none" w:sz="0" w:space="0" w:color="auto"/>
            <w:bottom w:val="none" w:sz="0" w:space="0" w:color="auto"/>
            <w:right w:val="none" w:sz="0" w:space="0" w:color="auto"/>
          </w:divBdr>
        </w:div>
      </w:divsChild>
    </w:div>
    <w:div w:id="2097094137">
      <w:bodyDiv w:val="1"/>
      <w:marLeft w:val="0"/>
      <w:marRight w:val="0"/>
      <w:marTop w:val="0"/>
      <w:marBottom w:val="0"/>
      <w:divBdr>
        <w:top w:val="none" w:sz="0" w:space="0" w:color="auto"/>
        <w:left w:val="none" w:sz="0" w:space="0" w:color="auto"/>
        <w:bottom w:val="none" w:sz="0" w:space="0" w:color="auto"/>
        <w:right w:val="none" w:sz="0" w:space="0" w:color="auto"/>
      </w:divBdr>
      <w:divsChild>
        <w:div w:id="1629780226">
          <w:marLeft w:val="0"/>
          <w:marRight w:val="0"/>
          <w:marTop w:val="0"/>
          <w:marBottom w:val="0"/>
          <w:divBdr>
            <w:top w:val="none" w:sz="0" w:space="0" w:color="auto"/>
            <w:left w:val="none" w:sz="0" w:space="0" w:color="auto"/>
            <w:bottom w:val="none" w:sz="0" w:space="0" w:color="auto"/>
            <w:right w:val="none" w:sz="0" w:space="0" w:color="auto"/>
          </w:divBdr>
        </w:div>
      </w:divsChild>
    </w:div>
    <w:div w:id="2140805981">
      <w:bodyDiv w:val="1"/>
      <w:marLeft w:val="0"/>
      <w:marRight w:val="0"/>
      <w:marTop w:val="0"/>
      <w:marBottom w:val="0"/>
      <w:divBdr>
        <w:top w:val="none" w:sz="0" w:space="0" w:color="auto"/>
        <w:left w:val="none" w:sz="0" w:space="0" w:color="auto"/>
        <w:bottom w:val="none" w:sz="0" w:space="0" w:color="auto"/>
        <w:right w:val="none" w:sz="0" w:space="0" w:color="auto"/>
      </w:divBdr>
      <w:divsChild>
        <w:div w:id="160896028">
          <w:marLeft w:val="0"/>
          <w:marRight w:val="0"/>
          <w:marTop w:val="0"/>
          <w:marBottom w:val="0"/>
          <w:divBdr>
            <w:top w:val="none" w:sz="0" w:space="0" w:color="auto"/>
            <w:left w:val="none" w:sz="0" w:space="0" w:color="auto"/>
            <w:bottom w:val="none" w:sz="0" w:space="0" w:color="auto"/>
            <w:right w:val="none" w:sz="0" w:space="0" w:color="auto"/>
          </w:divBdr>
        </w:div>
      </w:divsChild>
    </w:div>
    <w:div w:id="2141071848">
      <w:bodyDiv w:val="1"/>
      <w:marLeft w:val="0"/>
      <w:marRight w:val="0"/>
      <w:marTop w:val="0"/>
      <w:marBottom w:val="0"/>
      <w:divBdr>
        <w:top w:val="none" w:sz="0" w:space="0" w:color="auto"/>
        <w:left w:val="none" w:sz="0" w:space="0" w:color="auto"/>
        <w:bottom w:val="none" w:sz="0" w:space="0" w:color="auto"/>
        <w:right w:val="none" w:sz="0" w:space="0" w:color="auto"/>
      </w:divBdr>
      <w:divsChild>
        <w:div w:id="59652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129</TotalTime>
  <Pages>22</Pages>
  <Words>3505</Words>
  <Characters>19979</Characters>
  <Application>Microsoft Office Word</Application>
  <DocSecurity>0</DocSecurity>
  <Lines>166</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23438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muzi li</cp:lastModifiedBy>
  <cp:revision>40</cp:revision>
  <cp:lastPrinted>2014-09-01T08:36:00Z</cp:lastPrinted>
  <dcterms:created xsi:type="dcterms:W3CDTF">2025-02-09T17:00:00Z</dcterms:created>
  <dcterms:modified xsi:type="dcterms:W3CDTF">2025-02-10T19:51:00Z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