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0"/>
      </w:tblGrid>
      <w:tr w:rsidR="00DC13F7" w:rsidRPr="00600F84" w14:paraId="62C0D9E4" w14:textId="77777777" w:rsidTr="00E2418C">
        <w:tc>
          <w:tcPr>
            <w:tcW w:w="8280" w:type="dxa"/>
          </w:tcPr>
          <w:p w14:paraId="4DC6E80B" w14:textId="3EEE1AEE" w:rsidR="00DC13F7" w:rsidRPr="00600F84" w:rsidRDefault="00DC13F7" w:rsidP="00D62068">
            <w:pPr>
              <w:pStyle w:val="Caption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DC13F7" w:rsidRPr="00600F84" w14:paraId="11665A76" w14:textId="77777777" w:rsidTr="00E2418C">
        <w:tc>
          <w:tcPr>
            <w:tcW w:w="8280" w:type="dxa"/>
          </w:tcPr>
          <w:tbl>
            <w:tblPr>
              <w:tblStyle w:val="PlainTable21"/>
              <w:tblW w:w="8064" w:type="dxa"/>
              <w:tblLook w:val="06A0" w:firstRow="1" w:lastRow="0" w:firstColumn="1" w:lastColumn="0" w:noHBand="1" w:noVBand="1"/>
            </w:tblPr>
            <w:tblGrid>
              <w:gridCol w:w="5137"/>
              <w:gridCol w:w="2927"/>
            </w:tblGrid>
            <w:tr w:rsidR="00DC13F7" w:rsidRPr="00600F84" w14:paraId="3849D3A6" w14:textId="77777777" w:rsidTr="00D620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6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</w:tcPr>
                <w:p w14:paraId="1B73EF40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>Lake</w:t>
                  </w:r>
                </w:p>
              </w:tc>
              <w:tc>
                <w:tcPr>
                  <w:tcW w:w="2927" w:type="dxa"/>
                </w:tcPr>
                <w:p w14:paraId="49AE218C" w14:textId="77777777" w:rsidR="00DC13F7" w:rsidRPr="00600F84" w:rsidRDefault="00DC13F7" w:rsidP="00D62068">
                  <w:pPr>
                    <w:pStyle w:val="Body"/>
                    <w:spacing w:after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>Reference</w:t>
                  </w:r>
                </w:p>
              </w:tc>
            </w:tr>
            <w:tr w:rsidR="00DC13F7" w:rsidRPr="00600F84" w14:paraId="2BBB515F" w14:textId="77777777" w:rsidTr="00D62068">
              <w:trPr>
                <w:trHeight w:val="22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</w:tcPr>
                <w:p w14:paraId="03494E57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W92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= 0.31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2</m:t>
                        </m:r>
                      </m:sup>
                    </m:sSubSup>
                  </m:oMath>
                </w:p>
              </w:tc>
              <w:tc>
                <w:tcPr>
                  <w:tcW w:w="2927" w:type="dxa"/>
                </w:tcPr>
                <w:p w14:paraId="2E4F1A93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>Wanninkhof (1992)</w:t>
                  </w:r>
                </w:p>
              </w:tc>
            </w:tr>
            <w:tr w:rsidR="00DC13F7" w:rsidRPr="00600F84" w14:paraId="79F5732C" w14:textId="77777777" w:rsidTr="00D62068">
              <w:trPr>
                <w:trHeight w:val="6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</w:tcPr>
                <w:p w14:paraId="4C2D7D6E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M95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= 0.45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1.6</m:t>
                        </m:r>
                      </m:sup>
                    </m:sSubSup>
                  </m:oMath>
                </w:p>
              </w:tc>
              <w:tc>
                <w:tcPr>
                  <w:tcW w:w="2927" w:type="dxa"/>
                </w:tcPr>
                <w:p w14:paraId="0831CF96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>MacIntyre and Melack (1995)</w:t>
                  </w:r>
                </w:p>
              </w:tc>
            </w:tr>
            <w:tr w:rsidR="00DC13F7" w:rsidRPr="00600F84" w14:paraId="1994E197" w14:textId="77777777" w:rsidTr="00D62068">
              <w:trPr>
                <w:trHeight w:val="6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  <w:tcBorders>
                    <w:bottom w:val="nil"/>
                  </w:tcBorders>
                </w:tcPr>
                <w:p w14:paraId="58505C57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C&amp;W03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= 0.168+0.228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2.2</m:t>
                        </m:r>
                      </m:sup>
                    </m:sSubSup>
                  </m:oMath>
                </w:p>
              </w:tc>
              <w:tc>
                <w:tcPr>
                  <w:tcW w:w="2927" w:type="dxa"/>
                  <w:tcBorders>
                    <w:bottom w:val="nil"/>
                  </w:tcBorders>
                </w:tcPr>
                <w:p w14:paraId="1DF34B1A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>Crusius and Wanninkhof (2003)</w:t>
                  </w:r>
                </w:p>
              </w:tc>
            </w:tr>
            <w:tr w:rsidR="00DC13F7" w:rsidRPr="00600F84" w14:paraId="4FBE3D84" w14:textId="77777777" w:rsidTr="00D62068">
              <w:trPr>
                <w:trHeight w:val="6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  <w:tcBorders>
                    <w:top w:val="nil"/>
                    <w:bottom w:val="single" w:sz="4" w:space="0" w:color="auto"/>
                  </w:tcBorders>
                </w:tcPr>
                <w:p w14:paraId="7F9F19B8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C10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= 0.497+0.0064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1.8</m:t>
                        </m:r>
                      </m:sup>
                    </m:sSubSup>
                  </m:oMath>
                </w:p>
              </w:tc>
              <w:tc>
                <w:tcPr>
                  <w:tcW w:w="2927" w:type="dxa"/>
                  <w:tcBorders>
                    <w:top w:val="nil"/>
                    <w:bottom w:val="single" w:sz="4" w:space="0" w:color="auto"/>
                  </w:tcBorders>
                </w:tcPr>
                <w:p w14:paraId="15AAAD12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Cole </w:t>
                  </w:r>
                  <w:r w:rsidRPr="00600F84">
                    <w:rPr>
                      <w:rFonts w:ascii="Arial" w:hAnsi="Arial" w:cs="Arial"/>
                      <w:i/>
                      <w:iCs/>
                      <w:noProof/>
                      <w:szCs w:val="24"/>
                    </w:rPr>
                    <w:t>et al.</w:t>
                  </w: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 (2010)</w:t>
                  </w:r>
                </w:p>
              </w:tc>
            </w:tr>
            <w:tr w:rsidR="00DC13F7" w:rsidRPr="00600F84" w14:paraId="6475529F" w14:textId="77777777" w:rsidTr="00D62068">
              <w:trPr>
                <w:trHeight w:val="60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504AD0B6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>Estuary</w:t>
                  </w:r>
                </w:p>
              </w:tc>
              <w:tc>
                <w:tcPr>
                  <w:tcW w:w="2927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135B533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/>
                      <w:bCs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b/>
                      <w:bCs/>
                      <w:szCs w:val="24"/>
                    </w:rPr>
                    <w:t>Reference</w:t>
                  </w:r>
                </w:p>
              </w:tc>
            </w:tr>
            <w:tr w:rsidR="00DC13F7" w:rsidRPr="00600F84" w14:paraId="580F6C8C" w14:textId="77777777" w:rsidTr="00D62068">
              <w:trPr>
                <w:trHeight w:val="6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  <w:tcBorders>
                    <w:top w:val="single" w:sz="4" w:space="0" w:color="auto"/>
                  </w:tcBorders>
                </w:tcPr>
                <w:p w14:paraId="03EF8996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C95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=2.0 × 0.24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</m:sSub>
                  </m:oMath>
                </w:p>
              </w:tc>
              <w:tc>
                <w:tcPr>
                  <w:tcW w:w="2927" w:type="dxa"/>
                  <w:tcBorders>
                    <w:top w:val="single" w:sz="4" w:space="0" w:color="auto"/>
                  </w:tcBorders>
                </w:tcPr>
                <w:p w14:paraId="177E0195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Clark </w:t>
                  </w:r>
                  <w:r w:rsidRPr="00600F84">
                    <w:rPr>
                      <w:rFonts w:ascii="Arial" w:hAnsi="Arial" w:cs="Arial"/>
                      <w:i/>
                      <w:iCs/>
                      <w:noProof/>
                      <w:szCs w:val="24"/>
                    </w:rPr>
                    <w:t>et al.</w:t>
                  </w: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 (1995)</w:t>
                  </w:r>
                </w:p>
              </w:tc>
            </w:tr>
            <w:tr w:rsidR="00DC13F7" w:rsidRPr="00600F84" w14:paraId="226D801F" w14:textId="77777777" w:rsidTr="00D62068">
              <w:trPr>
                <w:trHeight w:val="613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</w:tcPr>
                <w:p w14:paraId="62C41245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R&amp;C01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 xml:space="preserve">=1.91 × </m:t>
                    </m:r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exp</m:t>
                        </m:r>
                      </m:e>
                      <m:sup>
                        <m:sSub>
                          <m:sSubPr>
                            <m:ctrlPr>
                              <w:rPr>
                                <w:rFonts w:ascii="Cambria Math" w:hAnsi="Cambria Math" w:cs="Arial"/>
                                <w:i/>
                                <w:szCs w:val="24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="Arial"/>
                                <w:szCs w:val="24"/>
                              </w:rPr>
                              <m:t>0.35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Arial"/>
                                    <w:i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Cs w:val="24"/>
                                  </w:rPr>
                                  <m:t>U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Cs w:val="24"/>
                                  </w:rPr>
                                  <m:t>10</m:t>
                                </m:r>
                              </m:sub>
                            </m:sSub>
                          </m:sub>
                        </m:sSub>
                      </m:sup>
                    </m:sSup>
                  </m:oMath>
                </w:p>
              </w:tc>
              <w:tc>
                <w:tcPr>
                  <w:tcW w:w="2927" w:type="dxa"/>
                </w:tcPr>
                <w:p w14:paraId="16FDD1FC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>Raymond and Cole (2001)</w:t>
                  </w:r>
                </w:p>
              </w:tc>
            </w:tr>
            <w:tr w:rsidR="00DC13F7" w:rsidRPr="00600F84" w14:paraId="06305BC2" w14:textId="77777777" w:rsidTr="00D62068">
              <w:trPr>
                <w:trHeight w:val="60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</w:tcPr>
                <w:p w14:paraId="5DD8FB5A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 xml:space="preserve">B04  </w:t>
                  </w:r>
                  <m:oMath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600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 xml:space="preserve">=4.045+ 2.580 ×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</m:sSub>
                  </m:oMath>
                </w:p>
              </w:tc>
              <w:tc>
                <w:tcPr>
                  <w:tcW w:w="2927" w:type="dxa"/>
                </w:tcPr>
                <w:p w14:paraId="682FA095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Borges </w:t>
                  </w:r>
                  <w:r w:rsidRPr="00600F84">
                    <w:rPr>
                      <w:rFonts w:ascii="Arial" w:hAnsi="Arial" w:cs="Arial"/>
                      <w:i/>
                      <w:iCs/>
                      <w:noProof/>
                      <w:szCs w:val="24"/>
                    </w:rPr>
                    <w:t>et al.</w:t>
                  </w: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 (2004)</w:t>
                  </w:r>
                </w:p>
              </w:tc>
            </w:tr>
            <w:tr w:rsidR="00DC13F7" w:rsidRPr="00600F84" w14:paraId="744A26C0" w14:textId="77777777" w:rsidTr="00D62068">
              <w:trPr>
                <w:trHeight w:val="79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137" w:type="dxa"/>
                </w:tcPr>
                <w:p w14:paraId="083CDCF9" w14:textId="77777777" w:rsidR="00DC13F7" w:rsidRPr="00600F84" w:rsidRDefault="00DC13F7" w:rsidP="00D62068">
                  <w:pPr>
                    <w:pStyle w:val="Body"/>
                    <w:spacing w:after="0"/>
                    <w:rPr>
                      <w:rFonts w:ascii="Arial" w:hAnsi="Arial" w:cs="Arial"/>
                      <w:szCs w:val="24"/>
                    </w:rPr>
                  </w:pPr>
                  <w:r w:rsidRPr="00600F84">
                    <w:rPr>
                      <w:rFonts w:ascii="Arial" w:hAnsi="Arial" w:cs="Arial"/>
                      <w:szCs w:val="24"/>
                    </w:rPr>
                    <w:t>W09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 xml:space="preserve">  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k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660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=3+ 0.1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</m:sSub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+ 0.064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2</m:t>
                        </m:r>
                      </m:sup>
                    </m:sSubSup>
                    <m:r>
                      <m:rPr>
                        <m:sty m:val="bi"/>
                      </m:rPr>
                      <w:rPr>
                        <w:rFonts w:ascii="Cambria Math" w:hAnsi="Cambria Math" w:cs="Arial"/>
                        <w:szCs w:val="24"/>
                      </w:rPr>
                      <m:t>+ 0.01</m:t>
                    </m:r>
                    <m:sSubSup>
                      <m:sSubSupPr>
                        <m:ctrlPr>
                          <w:rPr>
                            <w:rFonts w:ascii="Cambria Math" w:hAnsi="Cambria Math" w:cs="Arial"/>
                            <w:i/>
                            <w:szCs w:val="24"/>
                          </w:rPr>
                        </m:ctrlPr>
                      </m:sSub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u</m:t>
                        </m:r>
                      </m:e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10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Arial"/>
                            <w:szCs w:val="24"/>
                          </w:rPr>
                          <m:t>3</m:t>
                        </m:r>
                      </m:sup>
                    </m:sSubSup>
                  </m:oMath>
                </w:p>
              </w:tc>
              <w:tc>
                <w:tcPr>
                  <w:tcW w:w="2927" w:type="dxa"/>
                </w:tcPr>
                <w:p w14:paraId="21F5F87A" w14:textId="77777777" w:rsidR="00DC13F7" w:rsidRPr="00600F84" w:rsidRDefault="00DC13F7" w:rsidP="00D62068">
                  <w:pPr>
                    <w:pStyle w:val="Body"/>
                    <w:spacing w:after="0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i/>
                      <w:iCs/>
                      <w:szCs w:val="24"/>
                    </w:rPr>
                  </w:pP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Wanninkhof </w:t>
                  </w:r>
                  <w:r w:rsidRPr="00600F84">
                    <w:rPr>
                      <w:rFonts w:ascii="Arial" w:hAnsi="Arial" w:cs="Arial"/>
                      <w:i/>
                      <w:iCs/>
                      <w:noProof/>
                      <w:szCs w:val="24"/>
                    </w:rPr>
                    <w:t>et al.</w:t>
                  </w:r>
                  <w:r w:rsidRPr="00600F84">
                    <w:rPr>
                      <w:rFonts w:ascii="Arial" w:hAnsi="Arial" w:cs="Arial"/>
                      <w:noProof/>
                      <w:szCs w:val="24"/>
                    </w:rPr>
                    <w:t xml:space="preserve"> (2009)</w:t>
                  </w:r>
                </w:p>
              </w:tc>
            </w:tr>
          </w:tbl>
          <w:p w14:paraId="5BBD8A0F" w14:textId="77777777" w:rsidR="00DC13F7" w:rsidRPr="00600F84" w:rsidRDefault="00DC13F7" w:rsidP="00D62068">
            <w:pPr>
              <w:rPr>
                <w:sz w:val="24"/>
                <w:szCs w:val="24"/>
              </w:rPr>
            </w:pPr>
          </w:p>
        </w:tc>
      </w:tr>
    </w:tbl>
    <w:p w14:paraId="2753F466" w14:textId="06F58E39" w:rsidR="00DC13F7" w:rsidRDefault="00DC13F7"/>
    <w:p w14:paraId="259A3FD2" w14:textId="77777777" w:rsidR="008F7DB3" w:rsidRDefault="008F7DB3"/>
    <w:p w14:paraId="72CE48FF" w14:textId="77777777" w:rsidR="008F7DB3" w:rsidRDefault="008F7DB3"/>
    <w:p w14:paraId="3EEA0445" w14:textId="77777777" w:rsidR="008F7DB3" w:rsidRDefault="008F7DB3"/>
    <w:p w14:paraId="0725CFB8" w14:textId="77777777" w:rsidR="008F7DB3" w:rsidRDefault="008F7DB3"/>
    <w:p w14:paraId="6CAC38EC" w14:textId="77777777" w:rsidR="008F7DB3" w:rsidRDefault="008F7DB3"/>
    <w:p w14:paraId="66E4AF2E" w14:textId="77777777" w:rsidR="008F7DB3" w:rsidRDefault="008F7DB3"/>
    <w:p w14:paraId="0FE078C9" w14:textId="77777777" w:rsidR="008F7DB3" w:rsidRDefault="008F7DB3"/>
    <w:p w14:paraId="0D291661" w14:textId="77777777" w:rsidR="008F7DB3" w:rsidRDefault="008F7DB3"/>
    <w:p w14:paraId="1632B09A" w14:textId="77777777" w:rsidR="008F7DB3" w:rsidRDefault="008F7DB3"/>
    <w:p w14:paraId="6F208A63" w14:textId="77777777" w:rsidR="008F7DB3" w:rsidRDefault="008F7DB3"/>
    <w:p w14:paraId="527F1A13" w14:textId="77777777" w:rsidR="008F7DB3" w:rsidRDefault="008F7DB3"/>
    <w:p w14:paraId="46D3385C" w14:textId="77777777" w:rsidR="008F7DB3" w:rsidRDefault="008F7DB3"/>
    <w:p w14:paraId="3A929D1E" w14:textId="77777777" w:rsidR="008F7DB3" w:rsidRDefault="008F7DB3"/>
    <w:p w14:paraId="61B49F85" w14:textId="77777777" w:rsidR="008F7DB3" w:rsidRDefault="008F7DB3"/>
    <w:p w14:paraId="07A82F22" w14:textId="77777777" w:rsidR="008F7DB3" w:rsidRDefault="008F7DB3"/>
    <w:p w14:paraId="5584E5AB" w14:textId="77777777" w:rsidR="008F7DB3" w:rsidRDefault="008F7DB3"/>
    <w:p w14:paraId="4AC6F9D5" w14:textId="77777777" w:rsidR="008F7DB3" w:rsidRDefault="008F7DB3"/>
    <w:p w14:paraId="0454749F" w14:textId="77777777" w:rsidR="008F7DB3" w:rsidRDefault="008F7DB3"/>
    <w:p w14:paraId="2EA01D1C" w14:textId="5D4397F1" w:rsidR="008F7DB3" w:rsidRPr="000B198A" w:rsidRDefault="008F7DB3">
      <w:pPr>
        <w:rPr>
          <w:sz w:val="24"/>
          <w:szCs w:val="24"/>
        </w:rPr>
      </w:pPr>
      <w:r w:rsidRPr="000B198A">
        <w:rPr>
          <w:sz w:val="24"/>
          <w:szCs w:val="24"/>
        </w:rPr>
        <w:t>Reference</w:t>
      </w:r>
    </w:p>
    <w:p w14:paraId="09CB9BA0" w14:textId="77777777" w:rsidR="008F7DB3" w:rsidRPr="000B198A" w:rsidRDefault="008F7DB3">
      <w:pPr>
        <w:rPr>
          <w:sz w:val="24"/>
          <w:szCs w:val="24"/>
        </w:rPr>
      </w:pPr>
    </w:p>
    <w:p w14:paraId="7B766A97" w14:textId="610D3EE1" w:rsidR="000B198A" w:rsidRPr="000B198A" w:rsidRDefault="000B198A" w:rsidP="000B198A">
      <w:pPr>
        <w:rPr>
          <w:sz w:val="24"/>
          <w:szCs w:val="24"/>
        </w:rPr>
      </w:pPr>
      <w:proofErr w:type="spellStart"/>
      <w:r w:rsidRPr="000B198A">
        <w:rPr>
          <w:sz w:val="24"/>
          <w:szCs w:val="24"/>
        </w:rPr>
        <w:t>Bastviken</w:t>
      </w:r>
      <w:proofErr w:type="spellEnd"/>
      <w:r w:rsidRPr="000B198A">
        <w:rPr>
          <w:sz w:val="24"/>
          <w:szCs w:val="24"/>
        </w:rPr>
        <w:t xml:space="preserve"> D, Cole J, Pace M,</w:t>
      </w:r>
      <w:r w:rsidRPr="000B198A">
        <w:rPr>
          <w:sz w:val="24"/>
          <w:szCs w:val="24"/>
        </w:rPr>
        <w:t xml:space="preserve"> </w:t>
      </w:r>
      <w:proofErr w:type="spellStart"/>
      <w:r w:rsidRPr="000B198A">
        <w:rPr>
          <w:sz w:val="24"/>
          <w:szCs w:val="24"/>
        </w:rPr>
        <w:t>Tranvik</w:t>
      </w:r>
      <w:proofErr w:type="spellEnd"/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L. 2004. Methane emissions from lakes: dependence of lake characteristics, two regional assessments, and a global estimate. Global Biogeochemical Cycles 18(4) DOI 10.1029/2004GB002238.</w:t>
      </w:r>
    </w:p>
    <w:p w14:paraId="511EE84D" w14:textId="77777777" w:rsidR="00D83224" w:rsidRPr="000B198A" w:rsidRDefault="00D83224">
      <w:pPr>
        <w:rPr>
          <w:sz w:val="24"/>
          <w:szCs w:val="24"/>
        </w:rPr>
      </w:pPr>
    </w:p>
    <w:p w14:paraId="6EE6D131" w14:textId="77777777" w:rsidR="000B198A" w:rsidRPr="000B198A" w:rsidRDefault="000B198A" w:rsidP="000B198A">
      <w:pPr>
        <w:rPr>
          <w:sz w:val="24"/>
          <w:szCs w:val="24"/>
          <w:lang w:val="de-DE"/>
        </w:rPr>
      </w:pPr>
      <w:r w:rsidRPr="000B198A">
        <w:rPr>
          <w:sz w:val="24"/>
          <w:szCs w:val="24"/>
        </w:rPr>
        <w:t xml:space="preserve">Clark J, Schlosser P, Simpson H, Stute M, </w:t>
      </w:r>
      <w:proofErr w:type="spellStart"/>
      <w:r w:rsidRPr="000B198A">
        <w:rPr>
          <w:sz w:val="24"/>
          <w:szCs w:val="24"/>
        </w:rPr>
        <w:t>Wanninkhof</w:t>
      </w:r>
      <w:proofErr w:type="spellEnd"/>
      <w:r w:rsidRPr="000B198A">
        <w:rPr>
          <w:sz w:val="24"/>
          <w:szCs w:val="24"/>
        </w:rPr>
        <w:t xml:space="preserve"> R, Ho D. 1995. Relationship between gas transfer velocities and wind speeds in the tidal Hudson River determined by the dual tracer technique. In B. Jahne &amp; E.C. Monohan (Eds.), Air-Water Gas Transfer (785-800). </w:t>
      </w:r>
      <w:r w:rsidRPr="000B198A">
        <w:rPr>
          <w:sz w:val="24"/>
          <w:szCs w:val="24"/>
          <w:lang w:val="de-DE"/>
        </w:rPr>
        <w:t>AEON Verlag &amp; Studio Hanau.</w:t>
      </w:r>
    </w:p>
    <w:p w14:paraId="78444A64" w14:textId="77777777" w:rsidR="000B198A" w:rsidRPr="000B198A" w:rsidRDefault="000B198A">
      <w:pPr>
        <w:rPr>
          <w:sz w:val="24"/>
          <w:szCs w:val="24"/>
          <w:lang w:val="de-DE"/>
        </w:rPr>
      </w:pPr>
    </w:p>
    <w:p w14:paraId="51D477CC" w14:textId="77777777" w:rsidR="000B198A" w:rsidRPr="000B198A" w:rsidRDefault="000B198A" w:rsidP="000B198A">
      <w:pPr>
        <w:rPr>
          <w:sz w:val="24"/>
          <w:szCs w:val="24"/>
        </w:rPr>
      </w:pPr>
      <w:r w:rsidRPr="000B198A">
        <w:rPr>
          <w:sz w:val="24"/>
          <w:szCs w:val="24"/>
          <w:lang w:val="de-DE"/>
        </w:rPr>
        <w:t xml:space="preserve">Cole JJ, Bade DL, Bastviken D, Pace ML, Van De Bogert M. 2010. </w:t>
      </w:r>
      <w:r w:rsidRPr="000B198A">
        <w:rPr>
          <w:sz w:val="24"/>
          <w:szCs w:val="24"/>
        </w:rPr>
        <w:t>Multiple approaches to estimating air-water gas exchange in small lakes. Limnology and Oceanography Methods 8(6):285 293 DOI 10.4319/lom.2010.8.285.</w:t>
      </w:r>
    </w:p>
    <w:p w14:paraId="1B6A232F" w14:textId="77777777" w:rsidR="000B198A" w:rsidRPr="000B198A" w:rsidRDefault="000B198A">
      <w:pPr>
        <w:rPr>
          <w:sz w:val="24"/>
          <w:szCs w:val="24"/>
        </w:rPr>
      </w:pPr>
    </w:p>
    <w:p w14:paraId="2C575B76" w14:textId="23D41D06" w:rsidR="00D83224" w:rsidRPr="000B198A" w:rsidRDefault="00D83224">
      <w:pPr>
        <w:rPr>
          <w:sz w:val="24"/>
          <w:szCs w:val="24"/>
        </w:rPr>
      </w:pPr>
      <w:r w:rsidRPr="000B198A">
        <w:rPr>
          <w:sz w:val="24"/>
          <w:szCs w:val="24"/>
        </w:rPr>
        <w:t xml:space="preserve">Crusius J, </w:t>
      </w:r>
      <w:proofErr w:type="spellStart"/>
      <w:r w:rsidRPr="000B198A">
        <w:rPr>
          <w:sz w:val="24"/>
          <w:szCs w:val="24"/>
        </w:rPr>
        <w:t>Wanninkhof</w:t>
      </w:r>
      <w:proofErr w:type="spellEnd"/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R. 2003. Gas transfer velocities measured at low wind speed over a lake. Limnology and Oceanography 48(3):1010 1017 DOI10.4319/lo.2003.48.3.1010.</w:t>
      </w:r>
    </w:p>
    <w:p w14:paraId="4F38E958" w14:textId="77777777" w:rsidR="00D83224" w:rsidRPr="000B198A" w:rsidRDefault="00D83224">
      <w:pPr>
        <w:rPr>
          <w:sz w:val="24"/>
          <w:szCs w:val="24"/>
        </w:rPr>
      </w:pPr>
    </w:p>
    <w:p w14:paraId="51274718" w14:textId="77777777" w:rsidR="000B198A" w:rsidRPr="000B198A" w:rsidRDefault="000B198A" w:rsidP="000B198A">
      <w:pPr>
        <w:rPr>
          <w:sz w:val="24"/>
          <w:szCs w:val="24"/>
        </w:rPr>
      </w:pPr>
      <w:proofErr w:type="spellStart"/>
      <w:r w:rsidRPr="000B198A">
        <w:rPr>
          <w:sz w:val="24"/>
          <w:szCs w:val="24"/>
        </w:rPr>
        <w:t>MacIntyre</w:t>
      </w:r>
      <w:proofErr w:type="spellEnd"/>
      <w:r w:rsidRPr="000B198A">
        <w:rPr>
          <w:sz w:val="24"/>
          <w:szCs w:val="24"/>
        </w:rPr>
        <w:t xml:space="preserve"> S, </w:t>
      </w:r>
      <w:proofErr w:type="spellStart"/>
      <w:r w:rsidRPr="000B198A">
        <w:rPr>
          <w:sz w:val="24"/>
          <w:szCs w:val="24"/>
        </w:rPr>
        <w:t>Melack</w:t>
      </w:r>
      <w:proofErr w:type="spellEnd"/>
      <w:r w:rsidRPr="000B198A">
        <w:rPr>
          <w:sz w:val="24"/>
          <w:szCs w:val="24"/>
        </w:rPr>
        <w:t xml:space="preserve"> JM. 1995. Vertical and horizontal transport in lakes: linking littoral, benthic, and pelagic habitats. Journal of the North American </w:t>
      </w:r>
      <w:proofErr w:type="spellStart"/>
      <w:r w:rsidRPr="000B198A">
        <w:rPr>
          <w:sz w:val="24"/>
          <w:szCs w:val="24"/>
        </w:rPr>
        <w:t>Benthological</w:t>
      </w:r>
      <w:proofErr w:type="spellEnd"/>
      <w:r w:rsidRPr="000B198A">
        <w:rPr>
          <w:sz w:val="24"/>
          <w:szCs w:val="24"/>
        </w:rPr>
        <w:t xml:space="preserve"> Society 14(4):599 615 DOI 10.2307/1467544.</w:t>
      </w:r>
    </w:p>
    <w:p w14:paraId="61E9607B" w14:textId="77777777" w:rsidR="000B198A" w:rsidRPr="000B198A" w:rsidRDefault="000B198A">
      <w:pPr>
        <w:rPr>
          <w:sz w:val="24"/>
          <w:szCs w:val="24"/>
        </w:rPr>
      </w:pPr>
    </w:p>
    <w:p w14:paraId="1779ED98" w14:textId="70CC1FB5" w:rsidR="00D83224" w:rsidRPr="000B198A" w:rsidRDefault="00D83224">
      <w:pPr>
        <w:rPr>
          <w:sz w:val="24"/>
          <w:szCs w:val="24"/>
        </w:rPr>
      </w:pPr>
      <w:r w:rsidRPr="000B198A">
        <w:rPr>
          <w:sz w:val="24"/>
          <w:szCs w:val="24"/>
        </w:rPr>
        <w:t>Raymond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PA,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Cole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JJ. 2001. Gas exchange in rivers and estuaries: choosing a gas transfer velocity. Estuaries 24(2):312 DOI 10.2307/1352954.</w:t>
      </w:r>
    </w:p>
    <w:p w14:paraId="04E896A7" w14:textId="77777777" w:rsidR="00D83224" w:rsidRPr="000B198A" w:rsidRDefault="00D83224">
      <w:pPr>
        <w:rPr>
          <w:sz w:val="24"/>
          <w:szCs w:val="24"/>
        </w:rPr>
      </w:pPr>
    </w:p>
    <w:p w14:paraId="514692DC" w14:textId="77777777" w:rsidR="000B198A" w:rsidRPr="000B198A" w:rsidRDefault="000B198A" w:rsidP="000B198A">
      <w:pPr>
        <w:rPr>
          <w:sz w:val="24"/>
          <w:szCs w:val="24"/>
        </w:rPr>
      </w:pPr>
      <w:proofErr w:type="spellStart"/>
      <w:r w:rsidRPr="000B198A">
        <w:rPr>
          <w:sz w:val="24"/>
          <w:szCs w:val="24"/>
        </w:rPr>
        <w:t>Wanninkhof</w:t>
      </w:r>
      <w:proofErr w:type="spellEnd"/>
      <w:r w:rsidRPr="000B198A">
        <w:rPr>
          <w:sz w:val="24"/>
          <w:szCs w:val="24"/>
        </w:rPr>
        <w:t xml:space="preserve"> R. 1992. Relationship between wind speed and gas exchange over the ocean. Journal of Geophysical Research 97(C5):7373 7382 DOI 10.1029/92JC00188.</w:t>
      </w:r>
    </w:p>
    <w:p w14:paraId="06FDCA4D" w14:textId="77777777" w:rsidR="000B198A" w:rsidRPr="000B198A" w:rsidRDefault="000B198A">
      <w:pPr>
        <w:rPr>
          <w:sz w:val="24"/>
          <w:szCs w:val="24"/>
        </w:rPr>
      </w:pPr>
    </w:p>
    <w:p w14:paraId="21EBE111" w14:textId="785599E4" w:rsidR="00D83224" w:rsidRPr="000B198A" w:rsidRDefault="00D83224">
      <w:pPr>
        <w:rPr>
          <w:sz w:val="24"/>
          <w:szCs w:val="24"/>
        </w:rPr>
      </w:pPr>
      <w:proofErr w:type="spellStart"/>
      <w:r w:rsidRPr="000B198A">
        <w:rPr>
          <w:sz w:val="24"/>
          <w:szCs w:val="24"/>
        </w:rPr>
        <w:t>Wanninkhof</w:t>
      </w:r>
      <w:proofErr w:type="spellEnd"/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R,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Asher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WE,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Ho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DT,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Sweeney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C,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McGillis</w:t>
      </w:r>
      <w:r w:rsidRPr="000B198A">
        <w:rPr>
          <w:sz w:val="24"/>
          <w:szCs w:val="24"/>
        </w:rPr>
        <w:t xml:space="preserve"> </w:t>
      </w:r>
      <w:r w:rsidRPr="000B198A">
        <w:rPr>
          <w:sz w:val="24"/>
          <w:szCs w:val="24"/>
        </w:rPr>
        <w:t>WR. 2009. Advances in quantifying air-sea gas exchange and environmental forcing. Annual Review of Marine Science 1(1):213 244 DOI 10.1146/annurev.marine.010908.163742.</w:t>
      </w:r>
    </w:p>
    <w:p w14:paraId="603A1739" w14:textId="77777777" w:rsidR="00D83224" w:rsidRPr="000B198A" w:rsidRDefault="00D83224">
      <w:pPr>
        <w:rPr>
          <w:sz w:val="24"/>
          <w:szCs w:val="24"/>
        </w:rPr>
      </w:pPr>
    </w:p>
    <w:p w14:paraId="38928CD1" w14:textId="77777777" w:rsidR="00D83224" w:rsidRPr="000B198A" w:rsidRDefault="00D83224">
      <w:pPr>
        <w:rPr>
          <w:sz w:val="24"/>
          <w:szCs w:val="24"/>
        </w:rPr>
      </w:pPr>
    </w:p>
    <w:sectPr w:rsidR="00D83224" w:rsidRPr="000B198A" w:rsidSect="00DC13F7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3F7"/>
    <w:rsid w:val="000B198A"/>
    <w:rsid w:val="00160548"/>
    <w:rsid w:val="004D0A68"/>
    <w:rsid w:val="006C2FD2"/>
    <w:rsid w:val="008F7DB3"/>
    <w:rsid w:val="00C9503C"/>
    <w:rsid w:val="00D83224"/>
    <w:rsid w:val="00DC13F7"/>
    <w:rsid w:val="00E24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148F"/>
  <w15:chartTrackingRefBased/>
  <w15:docId w15:val="{10F74FDC-4A94-4DF1-817C-EE3CFBF72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3F7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3F7"/>
    <w:pPr>
      <w:keepNext/>
      <w:keepLines/>
      <w:spacing w:before="360" w:after="80" w:line="278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3F7"/>
    <w:pPr>
      <w:keepNext/>
      <w:keepLines/>
      <w:spacing w:before="160" w:after="80" w:line="278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3F7"/>
    <w:pPr>
      <w:keepNext/>
      <w:keepLines/>
      <w:spacing w:before="160" w:after="80" w:line="278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3F7"/>
    <w:pPr>
      <w:keepNext/>
      <w:keepLines/>
      <w:spacing w:before="80" w:after="40" w:line="278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3F7"/>
    <w:pPr>
      <w:keepNext/>
      <w:keepLines/>
      <w:spacing w:before="80" w:after="40" w:line="278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3F7"/>
    <w:pPr>
      <w:keepNext/>
      <w:keepLines/>
      <w:spacing w:before="40" w:line="278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3F7"/>
    <w:pPr>
      <w:keepNext/>
      <w:keepLines/>
      <w:spacing w:before="40" w:line="278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3F7"/>
    <w:pPr>
      <w:keepNext/>
      <w:keepLines/>
      <w:spacing w:line="278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3F7"/>
    <w:pPr>
      <w:keepNext/>
      <w:keepLines/>
      <w:spacing w:line="278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3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3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3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3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3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3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3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3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3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3F7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3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3F7"/>
    <w:pPr>
      <w:numPr>
        <w:ilvl w:val="1"/>
      </w:numPr>
      <w:spacing w:after="160" w:line="278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3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3F7"/>
    <w:pPr>
      <w:spacing w:before="160" w:after="160" w:line="278" w:lineRule="auto"/>
      <w:contextualSpacing w:val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MY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3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3F7"/>
    <w:pPr>
      <w:spacing w:after="16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val="en-MY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3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3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contextualSpacing w:val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3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3F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C13F7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DC13F7"/>
    <w:pPr>
      <w:spacing w:after="120" w:line="240" w:lineRule="auto"/>
      <w:contextualSpacing w:val="0"/>
      <w:jc w:val="both"/>
    </w:pPr>
    <w:rPr>
      <w:rFonts w:ascii="Times New Roman" w:eastAsiaTheme="minorHAnsi" w:hAnsi="Times New Roman" w:cstheme="minorBidi"/>
      <w:iCs/>
      <w:sz w:val="24"/>
      <w:szCs w:val="18"/>
      <w:lang w:val="en-MY"/>
    </w:rPr>
  </w:style>
  <w:style w:type="paragraph" w:customStyle="1" w:styleId="Body">
    <w:name w:val="Body"/>
    <w:basedOn w:val="Normal"/>
    <w:next w:val="Normal"/>
    <w:link w:val="BodyChar"/>
    <w:qFormat/>
    <w:rsid w:val="00DC13F7"/>
    <w:pPr>
      <w:spacing w:after="160" w:line="360" w:lineRule="auto"/>
      <w:contextualSpacing w:val="0"/>
      <w:jc w:val="both"/>
    </w:pPr>
    <w:rPr>
      <w:rFonts w:ascii="Times New Roman" w:eastAsia="Times New Roman" w:hAnsi="Times New Roman" w:cs="Times New Roman"/>
      <w:sz w:val="24"/>
      <w:lang w:val="en-MY" w:eastAsia="en-MY"/>
    </w:rPr>
  </w:style>
  <w:style w:type="character" w:customStyle="1" w:styleId="BodyChar">
    <w:name w:val="Body Char"/>
    <w:basedOn w:val="DefaultParagraphFont"/>
    <w:link w:val="Body"/>
    <w:rsid w:val="00DC13F7"/>
    <w:rPr>
      <w:rFonts w:ascii="Times New Roman" w:eastAsia="Times New Roman" w:hAnsi="Times New Roman" w:cs="Times New Roman"/>
      <w:kern w:val="0"/>
      <w:szCs w:val="22"/>
      <w:lang w:eastAsia="en-MY"/>
      <w14:ligatures w14:val="none"/>
    </w:rPr>
  </w:style>
  <w:style w:type="table" w:customStyle="1" w:styleId="PlainTable21">
    <w:name w:val="Plain Table 21"/>
    <w:basedOn w:val="TableNormal"/>
    <w:next w:val="PlainTable2"/>
    <w:uiPriority w:val="42"/>
    <w:rsid w:val="00DC13F7"/>
    <w:pPr>
      <w:spacing w:after="0" w:line="240" w:lineRule="auto"/>
    </w:pPr>
    <w:rPr>
      <w:rFonts w:eastAsia="DengXian"/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DC13F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A94D9-9702-43A0-A7C4-61E026BCB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 Chee Poh</dc:creator>
  <cp:keywords/>
  <dc:description/>
  <cp:lastModifiedBy>Seng Chee Poh</cp:lastModifiedBy>
  <cp:revision>6</cp:revision>
  <dcterms:created xsi:type="dcterms:W3CDTF">2024-08-07T03:53:00Z</dcterms:created>
  <dcterms:modified xsi:type="dcterms:W3CDTF">2025-08-20T00:01:00Z</dcterms:modified>
</cp:coreProperties>
</file>