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1781F5">
      <w:pPr>
        <w:jc w:val="center"/>
        <w:rPr>
          <w:rFonts w:hint="default" w:ascii="Times New Roman Regular" w:hAnsi="Times New Roman Regular" w:cs="Times New Roman Regular"/>
          <w:sz w:val="24"/>
          <w:szCs w:val="24"/>
          <w:lang w:val="en-US" w:eastAsia="zh-CN"/>
        </w:rPr>
      </w:pPr>
      <w:r>
        <w:rPr>
          <w:rFonts w:hint="default" w:ascii="Times New Roman Regular" w:hAnsi="Times New Roman Regular" w:cs="Times New Roman Regular"/>
          <w:b/>
          <w:bCs/>
          <w:sz w:val="30"/>
          <w:szCs w:val="30"/>
          <w:lang w:val="en-US" w:eastAsia="zh-CN"/>
        </w:rPr>
        <w:t>Supplementary materials</w:t>
      </w:r>
    </w:p>
    <w:p w14:paraId="355BEF85">
      <w:pPr>
        <w:numPr>
          <w:ilvl w:val="0"/>
          <w:numId w:val="0"/>
        </w:numPr>
        <w:ind w:leftChars="0"/>
        <w:rPr>
          <w:rFonts w:hint="default" w:ascii="Times New Roman Regular" w:hAnsi="Times New Roman Regular" w:cs="Times New Roman Regular"/>
          <w:sz w:val="24"/>
          <w:szCs w:val="24"/>
          <w:lang w:val="en-US" w:eastAsia="zh-CN"/>
        </w:rPr>
      </w:pPr>
    </w:p>
    <w:p w14:paraId="42924688">
      <w:pPr>
        <w:numPr>
          <w:ilvl w:val="0"/>
          <w:numId w:val="1"/>
        </w:numPr>
        <w:ind w:left="0" w:leftChars="0" w:firstLine="0" w:firstLineChars="0"/>
        <w:rPr>
          <w:rFonts w:hint="eastAsia" w:ascii="Times New Roman Regular" w:hAnsi="Times New Roman Regular" w:cs="Times New Roman Regular"/>
          <w:sz w:val="24"/>
          <w:szCs w:val="24"/>
          <w:lang w:val="en-US" w:eastAsia="zh-CN"/>
        </w:rPr>
      </w:pPr>
      <w:r>
        <w:rPr>
          <w:rFonts w:hint="eastAsia" w:ascii="Times New Roman Regular" w:hAnsi="Times New Roman Regular" w:cs="Times New Roman Regular"/>
          <w:sz w:val="24"/>
          <w:szCs w:val="24"/>
          <w:lang w:val="en-US" w:eastAsia="zh-CN"/>
        </w:rPr>
        <w:t xml:space="preserve">Figs and Tables </w:t>
      </w:r>
    </w:p>
    <w:p w14:paraId="54ACD9DA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4481195" cy="3370580"/>
            <wp:effectExtent l="0" t="0" r="14605" b="7620"/>
            <wp:docPr id="49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6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81195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C3F6E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4504055" cy="3301365"/>
            <wp:effectExtent l="0" t="0" r="17145" b="635"/>
            <wp:docPr id="50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6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4055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718A0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4617085" cy="3331210"/>
            <wp:effectExtent l="0" t="0" r="5715" b="21590"/>
            <wp:docPr id="51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6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7085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29681"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eastAsia="DengXian" w:cs="Times New Roman"/>
          <w:kern w:val="2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DengXian" w:cs="Times New Roman"/>
          <w:kern w:val="2"/>
          <w:sz w:val="24"/>
          <w:szCs w:val="24"/>
          <w:lang w:val="en-US" w:eastAsia="zh-CN" w:bidi="ar"/>
        </w:rPr>
        <w:t>Fig. S1 The spatial distriubtion of h</w:t>
      </w:r>
      <w:r>
        <w:rPr>
          <w:rFonts w:hint="default" w:ascii="Times New Roman" w:hAnsi="Times New Roman" w:eastAsia="DengXian" w:cs="Times New Roman"/>
          <w:kern w:val="2"/>
          <w:sz w:val="24"/>
          <w:szCs w:val="24"/>
          <w:lang w:val="en-US" w:eastAsia="zh-CN" w:bidi="ar"/>
        </w:rPr>
        <w:t>ydrochemistry</w:t>
      </w:r>
      <w:r>
        <w:rPr>
          <w:rFonts w:hint="eastAsia" w:ascii="Times New Roman" w:hAnsi="Times New Roman" w:eastAsia="DengXian" w:cs="Times New Roman"/>
          <w:kern w:val="2"/>
          <w:sz w:val="24"/>
          <w:szCs w:val="24"/>
          <w:lang w:val="en-US" w:eastAsia="zh-CN" w:bidi="ar"/>
        </w:rPr>
        <w:t xml:space="preserve"> characteristics</w:t>
      </w:r>
    </w:p>
    <w:p w14:paraId="381C804B">
      <w:pPr>
        <w:keepNext w:val="0"/>
        <w:keepLines w:val="0"/>
        <w:widowControl/>
        <w:suppressLineNumbers w:val="0"/>
        <w:jc w:val="center"/>
        <w:rPr>
          <w:rFonts w:hint="default" w:eastAsiaTheme="minorEastAsia"/>
          <w:lang w:val="en-US" w:eastAsia="zh-CN"/>
        </w:rPr>
      </w:pPr>
    </w:p>
    <w:p w14:paraId="1528662E">
      <w:pPr>
        <w:keepNext w:val="0"/>
        <w:keepLines w:val="0"/>
        <w:widowControl/>
        <w:suppressLineNumbers w:val="0"/>
        <w:jc w:val="center"/>
        <w:rPr>
          <w:rFonts w:hint="default" w:eastAsiaTheme="minorEastAsia"/>
          <w:lang w:val="en-US" w:eastAsia="zh-CN"/>
        </w:rPr>
      </w:pPr>
    </w:p>
    <w:p w14:paraId="782445CE">
      <w:pPr>
        <w:keepNext w:val="0"/>
        <w:keepLines w:val="0"/>
        <w:widowControl/>
        <w:suppressLineNumbers w:val="0"/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3815080" cy="3257550"/>
            <wp:effectExtent l="0" t="0" r="20320" b="19050"/>
            <wp:docPr id="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508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C55B4">
      <w:pPr>
        <w:keepNext w:val="0"/>
        <w:keepLines w:val="0"/>
        <w:widowControl/>
        <w:suppressLineNumbers w:val="0"/>
        <w:jc w:val="center"/>
        <w:rPr>
          <w:rFonts w:hint="eastAsia" w:ascii="Times New Roman" w:hAnsi="Times New Roman" w:eastAsia="DengXian" w:cs="Times New Roman"/>
          <w:kern w:val="2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DengXian" w:cs="Times New Roman"/>
          <w:kern w:val="2"/>
          <w:sz w:val="24"/>
          <w:szCs w:val="24"/>
          <w:lang w:val="en-US" w:eastAsia="zh-CN" w:bidi="ar"/>
        </w:rPr>
        <w:t>Fig. S2 Sensitivity of EWQI to h</w:t>
      </w:r>
      <w:r>
        <w:rPr>
          <w:rFonts w:hint="default" w:ascii="Times New Roman" w:hAnsi="Times New Roman" w:eastAsia="DengXian" w:cs="Times New Roman"/>
          <w:kern w:val="2"/>
          <w:sz w:val="24"/>
          <w:szCs w:val="24"/>
          <w:lang w:val="en-US" w:eastAsia="zh-CN" w:bidi="ar"/>
        </w:rPr>
        <w:t>ydrochemistry</w:t>
      </w:r>
      <w:r>
        <w:rPr>
          <w:rFonts w:hint="eastAsia" w:ascii="Times New Roman" w:hAnsi="Times New Roman" w:eastAsia="DengXian" w:cs="Times New Roman"/>
          <w:kern w:val="2"/>
          <w:sz w:val="24"/>
          <w:szCs w:val="24"/>
          <w:lang w:val="en-US" w:eastAsia="zh-CN" w:bidi="ar"/>
        </w:rPr>
        <w:t xml:space="preserve"> characteristics </w:t>
      </w:r>
    </w:p>
    <w:p w14:paraId="17A1452C">
      <w:pPr>
        <w:ind w:firstLine="0" w:firstLineChars="0"/>
      </w:pPr>
      <w:r>
        <w:drawing>
          <wp:inline distT="0" distB="0" distL="114300" distR="114300">
            <wp:extent cx="5248275" cy="3710305"/>
            <wp:effectExtent l="0" t="0" r="9525" b="2349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442E0">
      <w:pPr>
        <w:ind w:firstLine="0" w:firstLineChars="0"/>
        <w:jc w:val="center"/>
      </w:pPr>
      <w:r>
        <w:rPr>
          <w:rFonts w:hint="eastAsia"/>
        </w:rPr>
        <w:t xml:space="preserve">Fig. </w:t>
      </w:r>
      <w:r>
        <w:rPr>
          <w:rFonts w:hint="eastAsia"/>
          <w:lang w:val="en-US" w:eastAsia="zh-CN"/>
        </w:rPr>
        <w:t>S3</w:t>
      </w:r>
      <w:r>
        <w:rPr>
          <w:rFonts w:hint="eastAsia"/>
        </w:rPr>
        <w:t xml:space="preserve"> Deterministic health risk assessment of F</w:t>
      </w:r>
      <w:r>
        <w:rPr>
          <w:rFonts w:hint="eastAsia"/>
          <w:vertAlign w:val="superscript"/>
        </w:rPr>
        <w:t xml:space="preserve">- </w:t>
      </w:r>
      <w:r>
        <w:rPr>
          <w:rFonts w:hint="eastAsia"/>
        </w:rPr>
        <w:t>and NO</w:t>
      </w:r>
      <w:r>
        <w:rPr>
          <w:rFonts w:hint="eastAsia"/>
          <w:vertAlign w:val="subscript"/>
        </w:rPr>
        <w:t>3</w:t>
      </w:r>
      <w:r>
        <w:rPr>
          <w:rFonts w:hint="eastAsia"/>
          <w:vertAlign w:val="superscript"/>
        </w:rPr>
        <w:t>-</w:t>
      </w:r>
    </w:p>
    <w:p w14:paraId="35FAB06A">
      <w:pPr>
        <w:keepNext w:val="0"/>
        <w:keepLines w:val="0"/>
        <w:widowControl/>
        <w:suppressLineNumbers w:val="0"/>
        <w:jc w:val="center"/>
        <w:rPr>
          <w:rFonts w:hint="eastAsia" w:ascii="Times New Roman" w:hAnsi="Times New Roman" w:eastAsia="DengXian" w:cs="Times New Roman"/>
          <w:kern w:val="2"/>
          <w:sz w:val="24"/>
          <w:szCs w:val="24"/>
          <w:lang w:val="en-US" w:eastAsia="zh-CN" w:bidi="ar"/>
        </w:rPr>
      </w:pPr>
    </w:p>
    <w:p w14:paraId="101D4741"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eastAsia="DengXian" w:cs="Times New Roman"/>
          <w:kern w:val="2"/>
          <w:sz w:val="24"/>
          <w:szCs w:val="24"/>
          <w:lang w:val="en-US" w:eastAsia="zh-CN" w:bidi="ar"/>
        </w:rPr>
      </w:pPr>
    </w:p>
    <w:p w14:paraId="676F0E5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300B2D0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3F9F164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138BE6D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256D305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71D64C9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3497E25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2BD11E3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5719465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507B0EA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  <w:sectPr>
          <w:pgSz w:w="12240" w:h="15840" w:orient="landscape"/>
          <w:pgMar w:top="1440" w:right="1800" w:bottom="1440" w:left="1800" w:header="720" w:footer="720" w:gutter="0"/>
          <w:cols w:space="425" w:num="1"/>
          <w:docGrid w:type="lines" w:linePitch="312" w:charSpace="0"/>
        </w:sectPr>
      </w:pPr>
    </w:p>
    <w:p w14:paraId="565DD02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2B9ADF3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39609196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 w14:paraId="0458C9F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294F056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425B29C1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717800" cy="1482725"/>
            <wp:effectExtent l="0" t="0" r="0" b="15875"/>
            <wp:docPr id="3" name="Picture 2" descr="Cumulative Frequency View Chart. Use Create Report with Microsoft Excel chart format or Extract Data to access the detail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umulative Frequency View Chart. Use Create Report with Microsoft Excel chart format or Extract Data to access the details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98115" cy="1501775"/>
            <wp:effectExtent l="0" t="0" r="19685" b="22225"/>
            <wp:docPr id="9" name="Picture 8" descr="Cumulative Frequency View Chart. Use Create Report with Microsoft Excel chart format or Extract Data to access the detail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umulative Frequency View Chart. Use Create Report with Microsoft Excel chart format or Extract Data to access the details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90190" cy="1496060"/>
            <wp:effectExtent l="0" t="0" r="3810" b="2540"/>
            <wp:docPr id="5" name="Picture 4" descr="Cumulative Frequency View Chart. Use Create Report with Microsoft Excel chart format or Extract Data to access the detail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umulative Frequency View Chart. Use Create Report with Microsoft Excel chart format or Extract Data to access the details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31440" cy="1573530"/>
            <wp:effectExtent l="0" t="0" r="10160" b="1270"/>
            <wp:docPr id="7" name="Picture 6" descr="Cumulative Frequency View Chart. Use Create Report with Microsoft Excel chart format or Extract Data to access the detail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umulative Frequency View Chart. Use Create Report with Microsoft Excel chart format or Extract Data to access the details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86050" cy="1571625"/>
            <wp:effectExtent l="0" t="0" r="6350" b="3175"/>
            <wp:docPr id="11" name="Picture 10" descr="Cumulative Frequency View Chart. Use Create Report with Microsoft Excel chart format or Extract Data to access the detail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Cumulative Frequency View Chart. Use Create Report with Microsoft Excel chart format or Extract Data to access the details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3362B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right="0"/>
        <w:jc w:val="center"/>
        <w:rPr>
          <w:rFonts w:hint="eastAsia" w:ascii="Times New Roman" w:hAnsi="Times New Roman" w:eastAsia="DengXian" w:cs="Times New Roman"/>
          <w:kern w:val="2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DengXian" w:cs="Times New Roman"/>
          <w:kern w:val="2"/>
          <w:sz w:val="24"/>
          <w:szCs w:val="24"/>
          <w:lang w:val="en-US" w:eastAsia="zh-CN" w:bidi="ar"/>
        </w:rPr>
        <w:t xml:space="preserve">Fig. S4 </w:t>
      </w:r>
      <w:r>
        <w:rPr>
          <w:rFonts w:hint="default" w:ascii="Times New Roman" w:hAnsi="Times New Roman" w:eastAsia="DengXian" w:cs="Times New Roman"/>
          <w:kern w:val="2"/>
          <w:sz w:val="24"/>
          <w:szCs w:val="24"/>
          <w:lang w:val="en-US" w:eastAsia="zh-CN" w:bidi="ar"/>
        </w:rPr>
        <w:t xml:space="preserve">Probability risk assessment for </w:t>
      </w:r>
      <w:r>
        <w:rPr>
          <w:rFonts w:hint="eastAsia" w:ascii="Times New Roman" w:hAnsi="Times New Roman" w:eastAsia="DengXian" w:cs="Times New Roman"/>
          <w:kern w:val="2"/>
          <w:sz w:val="24"/>
          <w:szCs w:val="24"/>
          <w:lang w:val="en-US" w:eastAsia="zh-CN" w:bidi="ar"/>
        </w:rPr>
        <w:t>adults</w:t>
      </w:r>
    </w:p>
    <w:p w14:paraId="6FD1F6C5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right="0"/>
        <w:jc w:val="center"/>
        <w:rPr>
          <w:rFonts w:hint="eastAsia" w:ascii="Times New Roman" w:hAnsi="Times New Roman" w:eastAsia="DengXian" w:cs="Times New Roman"/>
          <w:kern w:val="2"/>
          <w:sz w:val="24"/>
          <w:szCs w:val="24"/>
          <w:lang w:val="en-US" w:eastAsia="zh-CN" w:bidi="ar"/>
        </w:rPr>
      </w:pPr>
    </w:p>
    <w:p w14:paraId="6F2F1A01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right="0"/>
        <w:jc w:val="center"/>
        <w:rPr>
          <w:rFonts w:hint="eastAsia" w:ascii="Times New Roman" w:hAnsi="Times New Roman" w:eastAsia="DengXian" w:cs="Times New Roman"/>
          <w:kern w:val="2"/>
          <w:sz w:val="24"/>
          <w:szCs w:val="24"/>
          <w:lang w:val="en-US" w:eastAsia="zh-CN" w:bidi="ar"/>
        </w:rPr>
      </w:pPr>
    </w:p>
    <w:p w14:paraId="7ECD9844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right="0"/>
        <w:jc w:val="center"/>
        <w:rPr>
          <w:rFonts w:hint="eastAsia" w:ascii="Times New Roman" w:hAnsi="Times New Roman" w:eastAsia="DengXian" w:cs="Times New Roman"/>
          <w:kern w:val="2"/>
          <w:sz w:val="24"/>
          <w:szCs w:val="24"/>
          <w:lang w:val="en-US" w:eastAsia="zh-CN" w:bidi="ar"/>
        </w:rPr>
      </w:pPr>
    </w:p>
    <w:p w14:paraId="74524636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right="0"/>
        <w:jc w:val="center"/>
        <w:rPr>
          <w:rFonts w:hint="eastAsia" w:ascii="Times New Roman" w:hAnsi="Times New Roman" w:eastAsia="DengXian" w:cs="Times New Roman"/>
          <w:kern w:val="2"/>
          <w:sz w:val="24"/>
          <w:szCs w:val="24"/>
          <w:lang w:val="en-US" w:eastAsia="zh-CN" w:bidi="ar"/>
        </w:rPr>
      </w:pPr>
    </w:p>
    <w:p w14:paraId="0B22615B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right="0"/>
        <w:jc w:val="left"/>
        <w:rPr>
          <w:rFonts w:hint="eastAsia" w:ascii="Times New Roman" w:hAnsi="Times New Roman" w:eastAsia="DengXian" w:cs="Times New Roman"/>
          <w:kern w:val="2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2656205" cy="1819275"/>
            <wp:effectExtent l="0" t="0" r="10795" b="9525"/>
            <wp:docPr id="43" name="Picture 42" descr="Contribution to Variance View Chart. Use Create Report with Microsoft Excel chart format or Extract Data to access the detail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2" descr="Contribution to Variance View Chart. Use Create Report with Microsoft Excel chart format or Extract Data to access the details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32100" cy="1810385"/>
            <wp:effectExtent l="0" t="0" r="12700" b="18415"/>
            <wp:docPr id="4" name="Picture 48" descr="Contribution to Variance View Chart. Use Create Report with Microsoft Excel chart format or Extract Data to access the detail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8" descr="Contribution to Variance View Chart. Use Create Report with Microsoft Excel chart format or Extract Data to access the details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46045" cy="1843405"/>
            <wp:effectExtent l="0" t="0" r="20955" b="10795"/>
            <wp:docPr id="45" name="Picture 44" descr="Contribution to Variance View Chart. Use Create Report with Microsoft Excel chart format or Extract Data to access the detail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4" descr="Contribution to Variance View Chart. Use Create Report with Microsoft Excel chart format or Extract Data to access the details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1FBF9">
      <w:pPr>
        <w:numPr>
          <w:ilvl w:val="0"/>
          <w:numId w:val="0"/>
        </w:numPr>
        <w:ind w:leftChars="0"/>
        <w:jc w:val="center"/>
        <w:rPr>
          <w:rFonts w:hint="default" w:ascii="Times New Roman Regular" w:hAnsi="Times New Roman Regular" w:cs="Times New Roman Regular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786380" cy="1827530"/>
            <wp:effectExtent l="0" t="0" r="7620" b="1270"/>
            <wp:docPr id="47" name="Picture 46" descr="Contribution to Variance View Chart. Use Create Report with Microsoft Excel chart format or Extract Data to access the detail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6" descr="Contribution to Variance View Chart. Use Create Report with Microsoft Excel chart format or Extract Data to access the details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380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04185" cy="1819275"/>
            <wp:effectExtent l="0" t="0" r="18415" b="9525"/>
            <wp:docPr id="2" name="Picture 50" descr="Contribution to Variance View Chart. Use Create Report with Microsoft Excel chart format or Extract Data to access the detail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0" descr="Contribution to Variance View Chart. Use Create Report with Microsoft Excel chart format or Extract Data to access the details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C6FDE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0" w:firstLineChars="0"/>
        <w:jc w:val="center"/>
        <w:rPr>
          <w:rFonts w:hint="eastAsia" w:ascii="Times New Roman" w:hAnsi="Times New Roman" w:eastAsia="DengXian" w:cs="Times New Roman"/>
          <w:kern w:val="2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DengXian" w:cs="Times New Roman"/>
          <w:kern w:val="2"/>
          <w:sz w:val="24"/>
          <w:szCs w:val="24"/>
          <w:lang w:val="en-US" w:eastAsia="zh-CN" w:bidi="ar"/>
        </w:rPr>
        <w:t xml:space="preserve">Fig. </w:t>
      </w:r>
      <w:r>
        <w:rPr>
          <w:rFonts w:hint="eastAsia" w:ascii="Times New Roman" w:hAnsi="Times New Roman" w:eastAsia="DengXian" w:cs="Times New Roman"/>
          <w:kern w:val="2"/>
          <w:sz w:val="24"/>
          <w:szCs w:val="24"/>
          <w:lang w:val="en-US" w:eastAsia="zh-CN" w:bidi="ar"/>
        </w:rPr>
        <w:t>S5</w:t>
      </w:r>
      <w:r>
        <w:rPr>
          <w:rFonts w:hint="default" w:ascii="Times New Roman" w:hAnsi="Times New Roman" w:eastAsia="DengXian" w:cs="Times New Roman"/>
          <w:kern w:val="2"/>
          <w:sz w:val="24"/>
          <w:szCs w:val="24"/>
          <w:lang w:val="en-US" w:eastAsia="zh-CN" w:bidi="ar"/>
        </w:rPr>
        <w:t xml:space="preserve"> Sensitivity assessment </w:t>
      </w:r>
      <w:r>
        <w:rPr>
          <w:rFonts w:hint="eastAsia" w:ascii="Times New Roman" w:hAnsi="Times New Roman" w:eastAsia="DengXian" w:cs="Times New Roman"/>
          <w:kern w:val="2"/>
          <w:sz w:val="24"/>
          <w:szCs w:val="24"/>
          <w:lang w:val="en-US" w:eastAsia="zh-CN" w:bidi="ar"/>
        </w:rPr>
        <w:t>for adults</w:t>
      </w:r>
    </w:p>
    <w:p w14:paraId="7E1491ED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0" w:firstLineChars="0"/>
        <w:jc w:val="center"/>
        <w:rPr>
          <w:rFonts w:hint="eastAsia" w:ascii="Times New Roman" w:hAnsi="Times New Roman" w:eastAsia="DengXian" w:cs="Times New Roman"/>
          <w:kern w:val="2"/>
          <w:sz w:val="24"/>
          <w:szCs w:val="24"/>
          <w:lang w:val="en-US" w:eastAsia="zh-CN" w:bidi="ar"/>
        </w:rPr>
        <w:sectPr>
          <w:pgSz w:w="15840" w:h="12240" w:orient="landscape"/>
          <w:pgMar w:top="1800" w:right="1440" w:bottom="1800" w:left="1440" w:header="720" w:footer="720" w:gutter="0"/>
          <w:cols w:space="425" w:num="1"/>
          <w:docGrid w:type="lines" w:linePitch="312" w:charSpace="0"/>
        </w:sectPr>
      </w:pPr>
    </w:p>
    <w:p w14:paraId="4D1DCDC3">
      <w:pPr>
        <w:numPr>
          <w:ilvl w:val="0"/>
          <w:numId w:val="0"/>
        </w:numPr>
        <w:ind w:leftChars="0"/>
        <w:jc w:val="center"/>
        <w:rPr>
          <w:rFonts w:hint="default" w:ascii="Times New Roman Regular" w:hAnsi="Times New Roman Regular" w:cs="Times New Roman Regular"/>
          <w:sz w:val="21"/>
          <w:szCs w:val="21"/>
          <w:lang w:val="en-US" w:eastAsia="zh-CN"/>
        </w:rPr>
      </w:pPr>
      <w:r>
        <w:rPr>
          <w:rFonts w:hint="eastAsia" w:ascii="Times New Roman Regular" w:hAnsi="Times New Roman Regular" w:cs="Times New Roman Regular"/>
          <w:sz w:val="21"/>
          <w:szCs w:val="21"/>
          <w:lang w:val="en-US" w:eastAsia="zh-CN"/>
        </w:rPr>
        <w:t>Table S1 The weight of chemical characteristics for computing EWQI</w:t>
      </w:r>
    </w:p>
    <w:tbl>
      <w:tblPr>
        <w:tblStyle w:val="4"/>
        <w:tblW w:w="2681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0"/>
        <w:gridCol w:w="1341"/>
      </w:tblGrid>
      <w:tr w14:paraId="475678E1">
        <w:trPr>
          <w:trHeight w:val="336" w:hRule="atLeast"/>
          <w:jc w:val="center"/>
        </w:trPr>
        <w:tc>
          <w:tcPr>
            <w:tcW w:w="1340" w:type="dxa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26380F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Parameters</w:t>
            </w:r>
          </w:p>
        </w:tc>
        <w:tc>
          <w:tcPr>
            <w:tcW w:w="1340" w:type="dxa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0C8E080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weights</w:t>
            </w:r>
          </w:p>
        </w:tc>
      </w:tr>
      <w:tr w14:paraId="770D900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  <w:jc w:val="center"/>
        </w:trPr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86CC0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Na</w:t>
            </w: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+</w:t>
            </w:r>
          </w:p>
        </w:tc>
        <w:tc>
          <w:tcPr>
            <w:tcW w:w="134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5FCD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0.04 </w:t>
            </w:r>
          </w:p>
        </w:tc>
      </w:tr>
      <w:tr w14:paraId="064442E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E37EC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</w:t>
            </w: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-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A8DA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0.04 </w:t>
            </w:r>
          </w:p>
        </w:tc>
      </w:tr>
      <w:tr w14:paraId="0E36694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F22E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NO</w:t>
            </w: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3</w:t>
            </w: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-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5F7E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0.15 </w:t>
            </w:r>
          </w:p>
        </w:tc>
      </w:tr>
      <w:tr w14:paraId="4F7454D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D892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SO</w:t>
            </w: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4</w:t>
            </w: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2-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3473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0.04 </w:t>
            </w:r>
          </w:p>
        </w:tc>
      </w:tr>
      <w:tr w14:paraId="3F8EAC2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76961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Mn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181F5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0.08 </w:t>
            </w:r>
          </w:p>
        </w:tc>
      </w:tr>
      <w:tr w14:paraId="6399E7F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7310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D017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0.19 </w:t>
            </w:r>
          </w:p>
        </w:tc>
      </w:tr>
      <w:tr w14:paraId="20A2356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6020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NH</w:t>
            </w: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4</w:t>
            </w: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+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2C991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0.06 </w:t>
            </w:r>
          </w:p>
        </w:tc>
      </w:tr>
      <w:tr w14:paraId="3FE662C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941B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TDS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08D9F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0.05 </w:t>
            </w:r>
          </w:p>
        </w:tc>
      </w:tr>
      <w:tr w14:paraId="42034B8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376CE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TH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E8E0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0.05 </w:t>
            </w:r>
          </w:p>
        </w:tc>
      </w:tr>
      <w:tr w14:paraId="39C843A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19A0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pH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BD88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0.06 </w:t>
            </w:r>
          </w:p>
        </w:tc>
      </w:tr>
      <w:tr w14:paraId="6761E80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D4776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Fe</w:t>
            </w: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3+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67F6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0.04 </w:t>
            </w:r>
          </w:p>
        </w:tc>
      </w:tr>
      <w:tr w14:paraId="463F458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57ED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Al</w:t>
            </w: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3+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B6B1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0.17 </w:t>
            </w:r>
          </w:p>
        </w:tc>
      </w:tr>
      <w:tr w14:paraId="2A41BFF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  <w:jc w:val="center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7F13B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Cl</w:t>
            </w: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-</w:t>
            </w:r>
          </w:p>
        </w:tc>
        <w:tc>
          <w:tcPr>
            <w:tcW w:w="1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8F502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0.02 </w:t>
            </w:r>
          </w:p>
        </w:tc>
      </w:tr>
    </w:tbl>
    <w:p w14:paraId="2C771A33">
      <w:pPr>
        <w:tabs>
          <w:tab w:val="left" w:pos="0"/>
          <w:tab w:val="center" w:pos="4200"/>
          <w:tab w:val="right" w:pos="8400"/>
        </w:tabs>
        <w:spacing w:line="480" w:lineRule="auto"/>
        <w:jc w:val="center"/>
        <w:rPr>
          <w:rFonts w:hint="default" w:ascii="Times New Roman Regular" w:hAnsi="Times New Roman Regular" w:cs="Times New Roman Regular"/>
        </w:rPr>
      </w:pPr>
      <w:bookmarkStart w:id="0" w:name="_Hlk96704267"/>
      <w:r>
        <w:rPr>
          <w:rFonts w:hint="default" w:ascii="Times New Roman Regular" w:hAnsi="Times New Roman Regular" w:cs="Times New Roman Regular"/>
          <w:b/>
        </w:rPr>
        <w:t>Table S</w:t>
      </w:r>
      <w:r>
        <w:rPr>
          <w:rFonts w:hint="eastAsia" w:ascii="Times New Roman Regular" w:hAnsi="Times New Roman Regular" w:cs="Times New Roman Regular"/>
          <w:b/>
          <w:lang w:val="en-US" w:eastAsia="zh-CN"/>
        </w:rPr>
        <w:t>2</w:t>
      </w:r>
      <w:r>
        <w:rPr>
          <w:rFonts w:hint="default" w:ascii="Times New Roman Regular" w:hAnsi="Times New Roman Regular" w:cs="Times New Roman Regular"/>
          <w:b/>
        </w:rPr>
        <w:t xml:space="preserve">. </w:t>
      </w:r>
      <w:r>
        <w:rPr>
          <w:rFonts w:hint="default" w:ascii="Times New Roman Regular" w:hAnsi="Times New Roman Regular" w:cs="Times New Roman Regular"/>
        </w:rPr>
        <w:t>Daily dose calculation model parameters</w:t>
      </w:r>
    </w:p>
    <w:tbl>
      <w:tblPr>
        <w:tblStyle w:val="5"/>
        <w:tblW w:w="5000" w:type="pct"/>
        <w:jc w:val="center"/>
        <w:tblBorders>
          <w:top w:val="single" w:color="auto" w:sz="8" w:space="0"/>
          <w:left w:val="none" w:color="auto" w:sz="0" w:space="0"/>
          <w:bottom w:val="single" w:color="auto" w:sz="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8"/>
        <w:gridCol w:w="1290"/>
        <w:gridCol w:w="698"/>
        <w:gridCol w:w="1003"/>
        <w:gridCol w:w="975"/>
        <w:gridCol w:w="4002"/>
      </w:tblGrid>
      <w:tr w14:paraId="194AFB88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501" w:type="pct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5D706D32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  <w:t>Item</w:t>
            </w:r>
          </w:p>
        </w:tc>
        <w:tc>
          <w:tcPr>
            <w:tcW w:w="728" w:type="pct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27FE8D03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  <w:t>Parameters</w:t>
            </w:r>
          </w:p>
        </w:tc>
        <w:tc>
          <w:tcPr>
            <w:tcW w:w="394" w:type="pct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2360648C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  <w:t>Unit</w:t>
            </w:r>
          </w:p>
        </w:tc>
        <w:tc>
          <w:tcPr>
            <w:tcW w:w="566" w:type="pct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5275F2B8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  <w:t>Children</w:t>
            </w:r>
          </w:p>
        </w:tc>
        <w:tc>
          <w:tcPr>
            <w:tcW w:w="550" w:type="pct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35BEFBC4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  <w:t>Adults</w:t>
            </w:r>
          </w:p>
        </w:tc>
        <w:tc>
          <w:tcPr>
            <w:tcW w:w="2258" w:type="pct"/>
            <w:tcBorders>
              <w:top w:val="single" w:color="auto" w:sz="12" w:space="0"/>
              <w:bottom w:val="single" w:color="auto" w:sz="12" w:space="0"/>
            </w:tcBorders>
          </w:tcPr>
          <w:p w14:paraId="2AA33043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kern w:val="0"/>
                <w:sz w:val="20"/>
                <w:szCs w:val="20"/>
              </w:rPr>
              <w:t>References</w:t>
            </w:r>
          </w:p>
        </w:tc>
      </w:tr>
      <w:tr w14:paraId="51EB1E71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501" w:type="pct"/>
            <w:vMerge w:val="restart"/>
            <w:tcBorders>
              <w:top w:val="single" w:color="auto" w:sz="12" w:space="0"/>
              <w:bottom w:val="nil"/>
            </w:tcBorders>
            <w:vAlign w:val="center"/>
          </w:tcPr>
          <w:p w14:paraId="249233FB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  <w:t>Oral</w:t>
            </w:r>
          </w:p>
        </w:tc>
        <w:tc>
          <w:tcPr>
            <w:tcW w:w="728" w:type="pct"/>
            <w:tcBorders>
              <w:top w:val="single" w:color="auto" w:sz="12" w:space="0"/>
              <w:bottom w:val="nil"/>
            </w:tcBorders>
            <w:vAlign w:val="center"/>
          </w:tcPr>
          <w:p w14:paraId="65A410C3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i/>
                <w:iCs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i/>
                <w:iCs/>
                <w:kern w:val="0"/>
                <w:sz w:val="20"/>
                <w:szCs w:val="20"/>
              </w:rPr>
              <w:t>IR</w:t>
            </w:r>
          </w:p>
        </w:tc>
        <w:tc>
          <w:tcPr>
            <w:tcW w:w="394" w:type="pct"/>
            <w:tcBorders>
              <w:top w:val="single" w:color="auto" w:sz="12" w:space="0"/>
              <w:bottom w:val="nil"/>
            </w:tcBorders>
            <w:vAlign w:val="center"/>
          </w:tcPr>
          <w:p w14:paraId="3FBA1CF0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  <w:t>L/d</w:t>
            </w:r>
          </w:p>
        </w:tc>
        <w:tc>
          <w:tcPr>
            <w:tcW w:w="566" w:type="pct"/>
            <w:tcBorders>
              <w:top w:val="single" w:color="auto" w:sz="12" w:space="0"/>
              <w:bottom w:val="nil"/>
            </w:tcBorders>
            <w:vAlign w:val="center"/>
          </w:tcPr>
          <w:p w14:paraId="23D72FC4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  <w:t>0.85</w:t>
            </w:r>
          </w:p>
        </w:tc>
        <w:tc>
          <w:tcPr>
            <w:tcW w:w="550" w:type="pct"/>
            <w:tcBorders>
              <w:top w:val="single" w:color="auto" w:sz="12" w:space="0"/>
              <w:bottom w:val="nil"/>
            </w:tcBorders>
            <w:vAlign w:val="center"/>
          </w:tcPr>
          <w:p w14:paraId="085C08AB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  <w:t>1.5</w:t>
            </w:r>
          </w:p>
        </w:tc>
        <w:tc>
          <w:tcPr>
            <w:tcW w:w="2258" w:type="pct"/>
            <w:tcBorders>
              <w:top w:val="single" w:color="auto" w:sz="12" w:space="0"/>
              <w:bottom w:val="nil"/>
            </w:tcBorders>
          </w:tcPr>
          <w:p w14:paraId="1DC819BD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 w:eastAsiaTheme="minorEastAsia"/>
                <w:color w:val="auto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kern w:val="0"/>
                <w:sz w:val="20"/>
                <w:szCs w:val="20"/>
              </w:rPr>
              <w:t>USEPA,2004</w:t>
            </w:r>
            <w:r>
              <w:rPr>
                <w:rFonts w:hint="default" w:ascii="Times New Roman Regular" w:hAnsi="Times New Roman Regular" w:cs="Times New Roman Regular"/>
                <w:color w:val="auto"/>
                <w:kern w:val="0"/>
                <w:sz w:val="20"/>
                <w:szCs w:val="20"/>
                <w:lang w:val="en-US" w:eastAsia="zh-CN"/>
              </w:rPr>
              <w:t>; Gao et al., 2022</w:t>
            </w:r>
          </w:p>
        </w:tc>
      </w:tr>
      <w:tr w14:paraId="4458BBF6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501" w:type="pct"/>
            <w:vMerge w:val="continue"/>
            <w:tcBorders>
              <w:top w:val="single" w:color="auto" w:sz="8" w:space="0"/>
              <w:bottom w:val="nil"/>
            </w:tcBorders>
            <w:vAlign w:val="center"/>
          </w:tcPr>
          <w:p w14:paraId="3ACA6420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</w:p>
        </w:tc>
        <w:tc>
          <w:tcPr>
            <w:tcW w:w="728" w:type="pct"/>
            <w:tcBorders>
              <w:top w:val="nil"/>
            </w:tcBorders>
            <w:vAlign w:val="center"/>
          </w:tcPr>
          <w:p w14:paraId="09F7E7BB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i/>
                <w:iCs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i/>
                <w:iCs/>
                <w:kern w:val="0"/>
                <w:sz w:val="20"/>
                <w:szCs w:val="20"/>
              </w:rPr>
              <w:t>BW</w:t>
            </w:r>
          </w:p>
        </w:tc>
        <w:tc>
          <w:tcPr>
            <w:tcW w:w="394" w:type="pct"/>
            <w:tcBorders>
              <w:top w:val="nil"/>
            </w:tcBorders>
            <w:vAlign w:val="center"/>
          </w:tcPr>
          <w:p w14:paraId="7527D8DB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  <w:highlight w:val="none"/>
              </w:rPr>
            </w:pPr>
            <w:r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  <w:highlight w:val="none"/>
              </w:rPr>
              <w:t>kg</w:t>
            </w:r>
          </w:p>
        </w:tc>
        <w:tc>
          <w:tcPr>
            <w:tcW w:w="566" w:type="pct"/>
            <w:tcBorders>
              <w:top w:val="nil"/>
            </w:tcBorders>
            <w:vAlign w:val="center"/>
          </w:tcPr>
          <w:p w14:paraId="527BAAB3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  <w:highlight w:val="none"/>
              </w:rPr>
            </w:pPr>
            <w:r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  <w:highlight w:val="none"/>
              </w:rPr>
              <w:t>15</w:t>
            </w:r>
          </w:p>
        </w:tc>
        <w:tc>
          <w:tcPr>
            <w:tcW w:w="550" w:type="pct"/>
            <w:tcBorders>
              <w:top w:val="nil"/>
            </w:tcBorders>
            <w:vAlign w:val="center"/>
          </w:tcPr>
          <w:p w14:paraId="502CB3F6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 w:eastAsiaTheme="minorEastAsia"/>
                <w:kern w:val="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Times New Roman Regular" w:hAnsi="Times New Roman Regular" w:cs="Times New Roman Regular"/>
                <w:kern w:val="0"/>
                <w:sz w:val="20"/>
                <w:szCs w:val="20"/>
                <w:highlight w:val="none"/>
                <w:lang w:val="en-US" w:eastAsia="zh-CN"/>
              </w:rPr>
              <w:t>61.75</w:t>
            </w:r>
          </w:p>
        </w:tc>
        <w:tc>
          <w:tcPr>
            <w:tcW w:w="2258" w:type="pct"/>
            <w:tcBorders>
              <w:top w:val="nil"/>
            </w:tcBorders>
          </w:tcPr>
          <w:p w14:paraId="150F553A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color w:val="auto"/>
                <w:kern w:val="0"/>
                <w:sz w:val="20"/>
                <w:szCs w:val="20"/>
                <w:highlight w:val="none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kern w:val="0"/>
                <w:sz w:val="20"/>
                <w:szCs w:val="20"/>
                <w:highlight w:val="none"/>
              </w:rPr>
              <w:t>USEPA,2004</w:t>
            </w:r>
            <w:r>
              <w:rPr>
                <w:rFonts w:hint="default" w:ascii="Times New Roman Regular" w:hAnsi="Times New Roman Regular" w:cs="Times New Roman Regular"/>
                <w:color w:val="auto"/>
                <w:kern w:val="0"/>
                <w:sz w:val="20"/>
                <w:szCs w:val="20"/>
                <w:highlight w:val="none"/>
                <w:lang w:val="en-US" w:eastAsia="zh-CN"/>
              </w:rPr>
              <w:t>; Gao et al., 2022</w:t>
            </w:r>
          </w:p>
        </w:tc>
      </w:tr>
      <w:tr w14:paraId="13FFD12C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501" w:type="pct"/>
            <w:vMerge w:val="continue"/>
            <w:tcBorders>
              <w:top w:val="single" w:color="auto" w:sz="8" w:space="0"/>
              <w:bottom w:val="nil"/>
            </w:tcBorders>
            <w:vAlign w:val="center"/>
          </w:tcPr>
          <w:p w14:paraId="521B0260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</w:p>
        </w:tc>
        <w:tc>
          <w:tcPr>
            <w:tcW w:w="728" w:type="pct"/>
            <w:tcBorders>
              <w:bottom w:val="nil"/>
            </w:tcBorders>
            <w:vAlign w:val="center"/>
          </w:tcPr>
          <w:p w14:paraId="36E87C19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i/>
                <w:iCs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i/>
                <w:iCs/>
                <w:kern w:val="0"/>
                <w:sz w:val="20"/>
                <w:szCs w:val="20"/>
              </w:rPr>
              <w:t>EF</w:t>
            </w:r>
          </w:p>
        </w:tc>
        <w:tc>
          <w:tcPr>
            <w:tcW w:w="394" w:type="pct"/>
            <w:tcBorders>
              <w:bottom w:val="nil"/>
            </w:tcBorders>
            <w:vAlign w:val="center"/>
          </w:tcPr>
          <w:p w14:paraId="3F0C56D7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  <w:t>d/a</w:t>
            </w:r>
          </w:p>
        </w:tc>
        <w:tc>
          <w:tcPr>
            <w:tcW w:w="566" w:type="pct"/>
            <w:tcBorders>
              <w:bottom w:val="nil"/>
            </w:tcBorders>
            <w:vAlign w:val="center"/>
          </w:tcPr>
          <w:p w14:paraId="2228EC94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  <w:t>365</w:t>
            </w:r>
          </w:p>
        </w:tc>
        <w:tc>
          <w:tcPr>
            <w:tcW w:w="550" w:type="pct"/>
            <w:tcBorders>
              <w:bottom w:val="nil"/>
            </w:tcBorders>
            <w:vAlign w:val="center"/>
          </w:tcPr>
          <w:p w14:paraId="2C55E1B8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  <w:t>365</w:t>
            </w:r>
          </w:p>
        </w:tc>
        <w:tc>
          <w:tcPr>
            <w:tcW w:w="2258" w:type="pct"/>
            <w:tcBorders>
              <w:bottom w:val="nil"/>
            </w:tcBorders>
          </w:tcPr>
          <w:p w14:paraId="6900E577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kern w:val="0"/>
                <w:sz w:val="20"/>
                <w:szCs w:val="20"/>
              </w:rPr>
              <w:t>USEPA,2004</w:t>
            </w:r>
            <w:r>
              <w:rPr>
                <w:rFonts w:hint="default" w:ascii="Times New Roman Regular" w:hAnsi="Times New Roman Regular" w:cs="Times New Roman Regular"/>
                <w:color w:val="auto"/>
                <w:kern w:val="0"/>
                <w:sz w:val="20"/>
                <w:szCs w:val="20"/>
                <w:lang w:val="en-US" w:eastAsia="zh-CN"/>
              </w:rPr>
              <w:t>; Gao et al., 2022</w:t>
            </w:r>
          </w:p>
        </w:tc>
      </w:tr>
      <w:tr w14:paraId="4C509F23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501" w:type="pct"/>
            <w:vMerge w:val="continue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 w14:paraId="25361AAD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</w:p>
        </w:tc>
        <w:tc>
          <w:tcPr>
            <w:tcW w:w="728" w:type="pct"/>
            <w:tcBorders>
              <w:top w:val="nil"/>
              <w:bottom w:val="single" w:color="auto" w:sz="8" w:space="0"/>
            </w:tcBorders>
            <w:vAlign w:val="center"/>
          </w:tcPr>
          <w:p w14:paraId="6ABFB6A7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i/>
                <w:iCs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i/>
                <w:iCs/>
                <w:kern w:val="0"/>
                <w:sz w:val="20"/>
                <w:szCs w:val="20"/>
              </w:rPr>
              <w:t>ED</w:t>
            </w:r>
          </w:p>
        </w:tc>
        <w:tc>
          <w:tcPr>
            <w:tcW w:w="394" w:type="pct"/>
            <w:tcBorders>
              <w:top w:val="nil"/>
              <w:bottom w:val="single" w:color="auto" w:sz="8" w:space="0"/>
            </w:tcBorders>
            <w:vAlign w:val="center"/>
          </w:tcPr>
          <w:p w14:paraId="25ECB9DB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  <w:t>a</w:t>
            </w:r>
          </w:p>
        </w:tc>
        <w:tc>
          <w:tcPr>
            <w:tcW w:w="566" w:type="pct"/>
            <w:tcBorders>
              <w:top w:val="nil"/>
              <w:bottom w:val="single" w:color="auto" w:sz="8" w:space="0"/>
            </w:tcBorders>
            <w:vAlign w:val="center"/>
          </w:tcPr>
          <w:p w14:paraId="78B12BCF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  <w:t>6</w:t>
            </w:r>
          </w:p>
        </w:tc>
        <w:tc>
          <w:tcPr>
            <w:tcW w:w="550" w:type="pct"/>
            <w:tcBorders>
              <w:top w:val="nil"/>
              <w:bottom w:val="single" w:color="auto" w:sz="8" w:space="0"/>
            </w:tcBorders>
            <w:vAlign w:val="center"/>
          </w:tcPr>
          <w:p w14:paraId="5C24DC55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  <w:t>30</w:t>
            </w:r>
          </w:p>
        </w:tc>
        <w:tc>
          <w:tcPr>
            <w:tcW w:w="2258" w:type="pct"/>
            <w:tcBorders>
              <w:top w:val="nil"/>
              <w:bottom w:val="single" w:color="auto" w:sz="8" w:space="0"/>
            </w:tcBorders>
          </w:tcPr>
          <w:p w14:paraId="05F829E8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kern w:val="0"/>
                <w:sz w:val="20"/>
                <w:szCs w:val="20"/>
              </w:rPr>
              <w:t>USEPA,2004</w:t>
            </w:r>
            <w:r>
              <w:rPr>
                <w:rFonts w:hint="default" w:ascii="Times New Roman Regular" w:hAnsi="Times New Roman Regular" w:cs="Times New Roman Regular"/>
                <w:color w:val="auto"/>
                <w:kern w:val="0"/>
                <w:sz w:val="20"/>
                <w:szCs w:val="20"/>
                <w:lang w:val="en-US" w:eastAsia="zh-CN"/>
              </w:rPr>
              <w:t>; Gao et al., 2022</w:t>
            </w:r>
          </w:p>
        </w:tc>
      </w:tr>
      <w:tr w14:paraId="667B68B8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501" w:type="pct"/>
            <w:vMerge w:val="restart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 w14:paraId="0D881353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  <w:t>Dermal</w:t>
            </w:r>
          </w:p>
        </w:tc>
        <w:tc>
          <w:tcPr>
            <w:tcW w:w="728" w:type="pct"/>
            <w:tcBorders>
              <w:top w:val="single" w:color="auto" w:sz="8" w:space="0"/>
              <w:bottom w:val="nil"/>
            </w:tcBorders>
            <w:vAlign w:val="center"/>
          </w:tcPr>
          <w:p w14:paraId="55717B1E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i/>
                <w:iCs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i/>
                <w:iCs/>
                <w:kern w:val="0"/>
                <w:sz w:val="20"/>
                <w:szCs w:val="20"/>
              </w:rPr>
              <w:t>BW</w:t>
            </w:r>
          </w:p>
        </w:tc>
        <w:tc>
          <w:tcPr>
            <w:tcW w:w="394" w:type="pct"/>
            <w:tcBorders>
              <w:top w:val="single" w:color="auto" w:sz="8" w:space="0"/>
              <w:bottom w:val="nil"/>
            </w:tcBorders>
            <w:vAlign w:val="center"/>
          </w:tcPr>
          <w:p w14:paraId="236F69BA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  <w:highlight w:val="none"/>
              </w:rPr>
            </w:pPr>
            <w:r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  <w:highlight w:val="none"/>
              </w:rPr>
              <w:t>kg</w:t>
            </w:r>
          </w:p>
        </w:tc>
        <w:tc>
          <w:tcPr>
            <w:tcW w:w="566" w:type="pct"/>
            <w:tcBorders>
              <w:top w:val="single" w:color="auto" w:sz="8" w:space="0"/>
              <w:bottom w:val="nil"/>
            </w:tcBorders>
            <w:vAlign w:val="center"/>
          </w:tcPr>
          <w:p w14:paraId="30F99F47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  <w:highlight w:val="none"/>
              </w:rPr>
            </w:pPr>
            <w:r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  <w:highlight w:val="none"/>
              </w:rPr>
              <w:t>15</w:t>
            </w:r>
          </w:p>
        </w:tc>
        <w:tc>
          <w:tcPr>
            <w:tcW w:w="550" w:type="pct"/>
            <w:tcBorders>
              <w:top w:val="single" w:color="auto" w:sz="8" w:space="0"/>
              <w:bottom w:val="nil"/>
            </w:tcBorders>
            <w:vAlign w:val="center"/>
          </w:tcPr>
          <w:p w14:paraId="6268B9EE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 w:eastAsiaTheme="minorEastAsia"/>
                <w:kern w:val="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Times New Roman Regular" w:hAnsi="Times New Roman Regular" w:cs="Times New Roman Regular"/>
                <w:kern w:val="0"/>
                <w:sz w:val="20"/>
                <w:szCs w:val="20"/>
                <w:highlight w:val="none"/>
                <w:lang w:val="en-US" w:eastAsia="zh-CN"/>
              </w:rPr>
              <w:t>61.75</w:t>
            </w:r>
          </w:p>
        </w:tc>
        <w:tc>
          <w:tcPr>
            <w:tcW w:w="2258" w:type="pct"/>
            <w:tcBorders>
              <w:top w:val="single" w:color="auto" w:sz="8" w:space="0"/>
              <w:bottom w:val="nil"/>
            </w:tcBorders>
          </w:tcPr>
          <w:p w14:paraId="79F05BC3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color w:val="auto"/>
                <w:kern w:val="0"/>
                <w:sz w:val="20"/>
                <w:szCs w:val="20"/>
                <w:highlight w:val="none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kern w:val="0"/>
                <w:sz w:val="20"/>
                <w:szCs w:val="20"/>
                <w:highlight w:val="none"/>
              </w:rPr>
              <w:t>USEPA,2004</w:t>
            </w:r>
            <w:r>
              <w:rPr>
                <w:rFonts w:hint="default" w:ascii="Times New Roman Regular" w:hAnsi="Times New Roman Regular" w:cs="Times New Roman Regular"/>
                <w:color w:val="auto"/>
                <w:kern w:val="0"/>
                <w:sz w:val="20"/>
                <w:szCs w:val="20"/>
                <w:highlight w:val="none"/>
                <w:lang w:val="en-US" w:eastAsia="zh-CN"/>
              </w:rPr>
              <w:t>; Gao et al., 2022</w:t>
            </w:r>
          </w:p>
        </w:tc>
      </w:tr>
      <w:tr w14:paraId="0CE1C35C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501" w:type="pct"/>
            <w:vMerge w:val="continue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 w14:paraId="3AAB428F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</w:p>
        </w:tc>
        <w:tc>
          <w:tcPr>
            <w:tcW w:w="728" w:type="pct"/>
            <w:tcBorders>
              <w:top w:val="nil"/>
            </w:tcBorders>
            <w:vAlign w:val="center"/>
          </w:tcPr>
          <w:p w14:paraId="6E0460E4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i/>
                <w:iCs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i/>
                <w:iCs/>
                <w:kern w:val="0"/>
                <w:sz w:val="20"/>
                <w:szCs w:val="20"/>
              </w:rPr>
              <w:t>EF</w:t>
            </w:r>
          </w:p>
        </w:tc>
        <w:tc>
          <w:tcPr>
            <w:tcW w:w="394" w:type="pct"/>
            <w:tcBorders>
              <w:top w:val="nil"/>
            </w:tcBorders>
            <w:vAlign w:val="center"/>
          </w:tcPr>
          <w:p w14:paraId="57FBE431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  <w:t>d/a</w:t>
            </w:r>
          </w:p>
        </w:tc>
        <w:tc>
          <w:tcPr>
            <w:tcW w:w="566" w:type="pct"/>
            <w:tcBorders>
              <w:top w:val="nil"/>
            </w:tcBorders>
            <w:vAlign w:val="center"/>
          </w:tcPr>
          <w:p w14:paraId="05DFF5BF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  <w:t>200</w:t>
            </w:r>
          </w:p>
        </w:tc>
        <w:tc>
          <w:tcPr>
            <w:tcW w:w="550" w:type="pct"/>
            <w:tcBorders>
              <w:top w:val="nil"/>
            </w:tcBorders>
            <w:vAlign w:val="center"/>
          </w:tcPr>
          <w:p w14:paraId="67C5B246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  <w:t>200</w:t>
            </w:r>
          </w:p>
        </w:tc>
        <w:tc>
          <w:tcPr>
            <w:tcW w:w="2258" w:type="pct"/>
            <w:tcBorders>
              <w:top w:val="nil"/>
            </w:tcBorders>
          </w:tcPr>
          <w:p w14:paraId="75AE8474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kern w:val="0"/>
                <w:sz w:val="20"/>
                <w:szCs w:val="20"/>
              </w:rPr>
              <w:t>USEPA,2004</w:t>
            </w:r>
            <w:r>
              <w:rPr>
                <w:rFonts w:hint="default" w:ascii="Times New Roman Regular" w:hAnsi="Times New Roman Regular" w:cs="Times New Roman Regular"/>
                <w:color w:val="auto"/>
                <w:kern w:val="0"/>
                <w:sz w:val="20"/>
                <w:szCs w:val="20"/>
                <w:lang w:val="en-US" w:eastAsia="zh-CN"/>
              </w:rPr>
              <w:t>; Gao et al., 2022</w:t>
            </w:r>
          </w:p>
        </w:tc>
      </w:tr>
      <w:tr w14:paraId="3ED74194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501" w:type="pct"/>
            <w:vMerge w:val="continue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 w14:paraId="3A42728B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</w:p>
        </w:tc>
        <w:tc>
          <w:tcPr>
            <w:tcW w:w="728" w:type="pct"/>
            <w:vAlign w:val="center"/>
          </w:tcPr>
          <w:p w14:paraId="7AA04F18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i/>
                <w:iCs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i/>
                <w:iCs/>
                <w:kern w:val="0"/>
                <w:sz w:val="20"/>
                <w:szCs w:val="20"/>
              </w:rPr>
              <w:t>ED</w:t>
            </w:r>
          </w:p>
        </w:tc>
        <w:tc>
          <w:tcPr>
            <w:tcW w:w="394" w:type="pct"/>
            <w:vAlign w:val="center"/>
          </w:tcPr>
          <w:p w14:paraId="5D9A2F3E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  <w:t>a</w:t>
            </w:r>
          </w:p>
        </w:tc>
        <w:tc>
          <w:tcPr>
            <w:tcW w:w="566" w:type="pct"/>
            <w:vAlign w:val="center"/>
          </w:tcPr>
          <w:p w14:paraId="6E054978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  <w:t>6</w:t>
            </w:r>
          </w:p>
        </w:tc>
        <w:tc>
          <w:tcPr>
            <w:tcW w:w="550" w:type="pct"/>
            <w:vAlign w:val="center"/>
          </w:tcPr>
          <w:p w14:paraId="7D00B995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  <w:t>30</w:t>
            </w:r>
          </w:p>
        </w:tc>
        <w:tc>
          <w:tcPr>
            <w:tcW w:w="2258" w:type="pct"/>
          </w:tcPr>
          <w:p w14:paraId="39D919F2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kern w:val="0"/>
                <w:sz w:val="20"/>
                <w:szCs w:val="20"/>
              </w:rPr>
              <w:t>USEPA,2004</w:t>
            </w:r>
            <w:r>
              <w:rPr>
                <w:rFonts w:hint="default" w:ascii="Times New Roman Regular" w:hAnsi="Times New Roman Regular" w:cs="Times New Roman Regular"/>
                <w:color w:val="auto"/>
                <w:kern w:val="0"/>
                <w:sz w:val="20"/>
                <w:szCs w:val="20"/>
                <w:lang w:val="en-US" w:eastAsia="zh-CN"/>
              </w:rPr>
              <w:t>; Gao et al., 2022</w:t>
            </w:r>
          </w:p>
        </w:tc>
      </w:tr>
      <w:tr w14:paraId="5273DFDC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501" w:type="pct"/>
            <w:vMerge w:val="continue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 w14:paraId="5B8E4E74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</w:p>
        </w:tc>
        <w:tc>
          <w:tcPr>
            <w:tcW w:w="728" w:type="pct"/>
            <w:vAlign w:val="center"/>
          </w:tcPr>
          <w:p w14:paraId="0C630B6F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i/>
                <w:iCs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i/>
                <w:iCs/>
                <w:kern w:val="0"/>
                <w:sz w:val="20"/>
                <w:szCs w:val="20"/>
              </w:rPr>
              <w:t>AT</w:t>
            </w:r>
          </w:p>
        </w:tc>
        <w:tc>
          <w:tcPr>
            <w:tcW w:w="394" w:type="pct"/>
            <w:vAlign w:val="center"/>
          </w:tcPr>
          <w:p w14:paraId="214EA904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  <w:t>d</w:t>
            </w:r>
          </w:p>
        </w:tc>
        <w:tc>
          <w:tcPr>
            <w:tcW w:w="566" w:type="pct"/>
            <w:vAlign w:val="center"/>
          </w:tcPr>
          <w:p w14:paraId="1C7C2712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  <w:t>3650</w:t>
            </w:r>
          </w:p>
        </w:tc>
        <w:tc>
          <w:tcPr>
            <w:tcW w:w="550" w:type="pct"/>
            <w:vAlign w:val="center"/>
          </w:tcPr>
          <w:p w14:paraId="785F6383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  <w:t>27258.2</w:t>
            </w:r>
          </w:p>
        </w:tc>
        <w:tc>
          <w:tcPr>
            <w:tcW w:w="2258" w:type="pct"/>
          </w:tcPr>
          <w:p w14:paraId="70E400FF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kern w:val="0"/>
                <w:sz w:val="20"/>
                <w:szCs w:val="20"/>
              </w:rPr>
              <w:t>USEPA,2004</w:t>
            </w:r>
            <w:r>
              <w:rPr>
                <w:rFonts w:hint="default" w:ascii="Times New Roman Regular" w:hAnsi="Times New Roman Regular" w:cs="Times New Roman Regular"/>
                <w:color w:val="auto"/>
                <w:kern w:val="0"/>
                <w:sz w:val="20"/>
                <w:szCs w:val="20"/>
                <w:lang w:val="en-US" w:eastAsia="zh-CN"/>
              </w:rPr>
              <w:t>; Gao et al., 2022</w:t>
            </w:r>
          </w:p>
        </w:tc>
      </w:tr>
      <w:tr w14:paraId="604325E5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501" w:type="pct"/>
            <w:vMerge w:val="continue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 w14:paraId="00D132B8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</w:p>
        </w:tc>
        <w:tc>
          <w:tcPr>
            <w:tcW w:w="728" w:type="pct"/>
            <w:vAlign w:val="center"/>
          </w:tcPr>
          <w:p w14:paraId="4CFB0B0B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i/>
                <w:iCs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i/>
                <w:iCs/>
                <w:kern w:val="0"/>
                <w:sz w:val="20"/>
                <w:szCs w:val="20"/>
              </w:rPr>
              <w:t>SA</w:t>
            </w:r>
          </w:p>
        </w:tc>
        <w:tc>
          <w:tcPr>
            <w:tcW w:w="394" w:type="pct"/>
            <w:vAlign w:val="center"/>
          </w:tcPr>
          <w:p w14:paraId="62E7F6DF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  <w:t>cm</w:t>
            </w:r>
            <w:r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66" w:type="pct"/>
            <w:vAlign w:val="center"/>
          </w:tcPr>
          <w:p w14:paraId="1CEE3814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  <w:t>8650</w:t>
            </w:r>
          </w:p>
        </w:tc>
        <w:tc>
          <w:tcPr>
            <w:tcW w:w="550" w:type="pct"/>
            <w:vAlign w:val="center"/>
          </w:tcPr>
          <w:p w14:paraId="21E23029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  <w:t>16110</w:t>
            </w:r>
          </w:p>
        </w:tc>
        <w:tc>
          <w:tcPr>
            <w:tcW w:w="2258" w:type="pct"/>
          </w:tcPr>
          <w:p w14:paraId="0121F810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 w:eastAsiaTheme="minorEastAsia"/>
                <w:color w:val="auto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kern w:val="0"/>
                <w:sz w:val="20"/>
                <w:szCs w:val="20"/>
              </w:rPr>
              <w:t>USEPA,2004</w:t>
            </w:r>
            <w:r>
              <w:rPr>
                <w:rFonts w:hint="default" w:ascii="Times New Roman Regular" w:hAnsi="Times New Roman Regular" w:cs="Times New Roman Regular"/>
                <w:color w:val="auto"/>
                <w:kern w:val="0"/>
                <w:sz w:val="20"/>
                <w:szCs w:val="20"/>
                <w:lang w:val="en-US" w:eastAsia="zh-CN"/>
              </w:rPr>
              <w:t>; Gao et al., 2022</w:t>
            </w:r>
          </w:p>
        </w:tc>
      </w:tr>
      <w:tr w14:paraId="70AC9A80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501" w:type="pct"/>
            <w:vMerge w:val="continue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 w14:paraId="6965AAA2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</w:p>
        </w:tc>
        <w:tc>
          <w:tcPr>
            <w:tcW w:w="728" w:type="pct"/>
            <w:vAlign w:val="center"/>
          </w:tcPr>
          <w:p w14:paraId="55890CE0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i/>
                <w:iCs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i/>
                <w:iCs/>
                <w:kern w:val="0"/>
                <w:sz w:val="20"/>
                <w:szCs w:val="20"/>
              </w:rPr>
              <w:t>EV</w:t>
            </w:r>
          </w:p>
        </w:tc>
        <w:tc>
          <w:tcPr>
            <w:tcW w:w="394" w:type="pct"/>
            <w:vAlign w:val="center"/>
          </w:tcPr>
          <w:p w14:paraId="1609B976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  <w:t>d</w:t>
            </w:r>
            <w:r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566" w:type="pct"/>
            <w:vAlign w:val="center"/>
          </w:tcPr>
          <w:p w14:paraId="4B322DF7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  <w:t>1</w:t>
            </w:r>
          </w:p>
        </w:tc>
        <w:tc>
          <w:tcPr>
            <w:tcW w:w="550" w:type="pct"/>
            <w:vAlign w:val="center"/>
          </w:tcPr>
          <w:p w14:paraId="486C2CEA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  <w:t>1</w:t>
            </w:r>
          </w:p>
        </w:tc>
        <w:tc>
          <w:tcPr>
            <w:tcW w:w="2258" w:type="pct"/>
          </w:tcPr>
          <w:p w14:paraId="52E415DC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kern w:val="0"/>
                <w:sz w:val="20"/>
                <w:szCs w:val="20"/>
              </w:rPr>
              <w:t>Wang et al., 2008</w:t>
            </w:r>
            <w:r>
              <w:rPr>
                <w:rFonts w:hint="default" w:ascii="Times New Roman Regular" w:hAnsi="Times New Roman Regular" w:cs="Times New Roman Regular"/>
                <w:color w:val="auto"/>
                <w:kern w:val="0"/>
                <w:sz w:val="20"/>
                <w:szCs w:val="20"/>
                <w:lang w:val="en-US" w:eastAsia="zh-CN"/>
              </w:rPr>
              <w:t>; Gao et al., 2022</w:t>
            </w:r>
          </w:p>
        </w:tc>
      </w:tr>
      <w:tr w14:paraId="3089CA68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501" w:type="pct"/>
            <w:vMerge w:val="continue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 w14:paraId="2A36CCB1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</w:p>
        </w:tc>
        <w:tc>
          <w:tcPr>
            <w:tcW w:w="728" w:type="pct"/>
            <w:vAlign w:val="center"/>
          </w:tcPr>
          <w:p w14:paraId="7FE89365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i/>
                <w:iCs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i/>
                <w:iCs/>
                <w:kern w:val="0"/>
                <w:sz w:val="20"/>
                <w:szCs w:val="20"/>
              </w:rPr>
              <w:t>K</w:t>
            </w:r>
            <w:r>
              <w:rPr>
                <w:rFonts w:hint="default" w:ascii="Times New Roman Regular" w:hAnsi="Times New Roman Regular" w:cs="Times New Roman Regular"/>
                <w:i/>
                <w:iCs/>
                <w:kern w:val="0"/>
                <w:sz w:val="20"/>
                <w:szCs w:val="20"/>
                <w:vertAlign w:val="subscript"/>
              </w:rPr>
              <w:t>p</w:t>
            </w:r>
          </w:p>
        </w:tc>
        <w:tc>
          <w:tcPr>
            <w:tcW w:w="394" w:type="pct"/>
            <w:vAlign w:val="center"/>
          </w:tcPr>
          <w:p w14:paraId="3DE5004C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  <w:t>cm/h</w:t>
            </w:r>
          </w:p>
        </w:tc>
        <w:tc>
          <w:tcPr>
            <w:tcW w:w="566" w:type="pct"/>
            <w:vAlign w:val="center"/>
          </w:tcPr>
          <w:p w14:paraId="6FF27B24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  <w:t>0.001</w:t>
            </w:r>
          </w:p>
        </w:tc>
        <w:tc>
          <w:tcPr>
            <w:tcW w:w="550" w:type="pct"/>
            <w:vAlign w:val="center"/>
          </w:tcPr>
          <w:p w14:paraId="1297558C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  <w:t>0.001</w:t>
            </w:r>
          </w:p>
        </w:tc>
        <w:tc>
          <w:tcPr>
            <w:tcW w:w="2258" w:type="pct"/>
          </w:tcPr>
          <w:p w14:paraId="0F029AB7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kern w:val="0"/>
                <w:sz w:val="20"/>
                <w:szCs w:val="20"/>
              </w:rPr>
              <w:t>USEPA,2004</w:t>
            </w:r>
            <w:r>
              <w:rPr>
                <w:rFonts w:hint="default" w:ascii="Times New Roman Regular" w:hAnsi="Times New Roman Regular" w:cs="Times New Roman Regular"/>
                <w:color w:val="auto"/>
                <w:kern w:val="0"/>
                <w:sz w:val="20"/>
                <w:szCs w:val="20"/>
                <w:lang w:val="en-US" w:eastAsia="zh-CN"/>
              </w:rPr>
              <w:t>; Gao et al., 2022</w:t>
            </w:r>
          </w:p>
        </w:tc>
      </w:tr>
      <w:tr w14:paraId="4F03220F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60" w:hRule="atLeast"/>
          <w:jc w:val="center"/>
        </w:trPr>
        <w:tc>
          <w:tcPr>
            <w:tcW w:w="501" w:type="pct"/>
            <w:vMerge w:val="continue"/>
            <w:tcBorders>
              <w:top w:val="single" w:color="auto" w:sz="8" w:space="0"/>
              <w:bottom w:val="single" w:color="auto" w:sz="12" w:space="0"/>
            </w:tcBorders>
            <w:vAlign w:val="center"/>
          </w:tcPr>
          <w:p w14:paraId="744771F8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</w:p>
        </w:tc>
        <w:tc>
          <w:tcPr>
            <w:tcW w:w="728" w:type="pct"/>
            <w:tcBorders>
              <w:bottom w:val="single" w:color="auto" w:sz="12" w:space="0"/>
            </w:tcBorders>
            <w:vAlign w:val="center"/>
          </w:tcPr>
          <w:p w14:paraId="188131F7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  <w:t>t</w:t>
            </w:r>
            <w:r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  <w:vertAlign w:val="subscript"/>
              </w:rPr>
              <w:t>event</w:t>
            </w:r>
          </w:p>
        </w:tc>
        <w:tc>
          <w:tcPr>
            <w:tcW w:w="394" w:type="pct"/>
            <w:tcBorders>
              <w:bottom w:val="single" w:color="auto" w:sz="12" w:space="0"/>
            </w:tcBorders>
            <w:vAlign w:val="center"/>
          </w:tcPr>
          <w:p w14:paraId="1BCE40AD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  <w:t>h</w:t>
            </w:r>
          </w:p>
        </w:tc>
        <w:tc>
          <w:tcPr>
            <w:tcW w:w="566" w:type="pct"/>
            <w:tcBorders>
              <w:bottom w:val="single" w:color="auto" w:sz="12" w:space="0"/>
            </w:tcBorders>
            <w:vAlign w:val="center"/>
          </w:tcPr>
          <w:p w14:paraId="4BED2E79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  <w:t>0.33</w:t>
            </w:r>
          </w:p>
        </w:tc>
        <w:tc>
          <w:tcPr>
            <w:tcW w:w="550" w:type="pct"/>
            <w:tcBorders>
              <w:bottom w:val="single" w:color="auto" w:sz="12" w:space="0"/>
            </w:tcBorders>
            <w:vAlign w:val="center"/>
          </w:tcPr>
          <w:p w14:paraId="0ED9E02A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kern w:val="0"/>
                <w:sz w:val="20"/>
                <w:szCs w:val="20"/>
              </w:rPr>
              <w:t>0.25</w:t>
            </w:r>
          </w:p>
        </w:tc>
        <w:tc>
          <w:tcPr>
            <w:tcW w:w="2258" w:type="pct"/>
            <w:tcBorders>
              <w:bottom w:val="single" w:color="auto" w:sz="12" w:space="0"/>
            </w:tcBorders>
          </w:tcPr>
          <w:p w14:paraId="3DB185FE">
            <w:pPr>
              <w:keepNext w:val="0"/>
              <w:keepLines w:val="0"/>
              <w:suppressLineNumbers w:val="0"/>
              <w:tabs>
                <w:tab w:val="left" w:pos="0"/>
                <w:tab w:val="center" w:pos="4200"/>
                <w:tab w:val="right" w:pos="8400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cs="Times New Roman Regular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kern w:val="0"/>
                <w:sz w:val="20"/>
                <w:szCs w:val="20"/>
              </w:rPr>
              <w:t>USEPA,2004</w:t>
            </w:r>
            <w:r>
              <w:rPr>
                <w:rFonts w:hint="default" w:ascii="Times New Roman Regular" w:hAnsi="Times New Roman Regular" w:cs="Times New Roman Regular"/>
                <w:color w:val="auto"/>
                <w:kern w:val="0"/>
                <w:sz w:val="20"/>
                <w:szCs w:val="20"/>
                <w:lang w:val="en-US" w:eastAsia="zh-CN"/>
              </w:rPr>
              <w:t>; Gao et al., 2022</w:t>
            </w:r>
          </w:p>
        </w:tc>
      </w:tr>
      <w:bookmarkEnd w:id="0"/>
    </w:tbl>
    <w:p w14:paraId="69CE0371">
      <w:pPr>
        <w:numPr>
          <w:ilvl w:val="0"/>
          <w:numId w:val="0"/>
        </w:numPr>
        <w:ind w:leftChars="0"/>
        <w:rPr>
          <w:rFonts w:hint="default" w:ascii="Times New Roman Regular" w:hAnsi="Times New Roman Regular" w:cs="Times New Roman Regular"/>
          <w:sz w:val="24"/>
          <w:szCs w:val="24"/>
          <w:lang w:val="en-US" w:eastAsia="zh-CN"/>
        </w:rPr>
      </w:pPr>
    </w:p>
    <w:p w14:paraId="1CDA23DE">
      <w:pPr>
        <w:pStyle w:val="11"/>
        <w:spacing w:line="360" w:lineRule="auto"/>
        <w:rPr>
          <w:sz w:val="24"/>
        </w:rPr>
      </w:pPr>
      <w:r>
        <w:rPr>
          <w:b/>
          <w:sz w:val="24"/>
        </w:rPr>
        <w:t>Table S</w:t>
      </w:r>
      <w:r>
        <w:rPr>
          <w:rFonts w:hint="eastAsia"/>
          <w:b/>
          <w:sz w:val="24"/>
          <w:lang w:val="en-US" w:eastAsia="zh-CN"/>
        </w:rPr>
        <w:t>3</w:t>
      </w:r>
      <w:r>
        <w:rPr>
          <w:b/>
          <w:sz w:val="24"/>
        </w:rPr>
        <w:t xml:space="preserve"> </w:t>
      </w:r>
      <w:r>
        <w:rPr>
          <w:sz w:val="24"/>
        </w:rPr>
        <w:t>Fitted distribution of NO</w:t>
      </w:r>
      <w:r>
        <w:rPr>
          <w:sz w:val="24"/>
          <w:vertAlign w:val="subscript"/>
        </w:rPr>
        <w:t>3</w:t>
      </w:r>
      <w:r>
        <w:rPr>
          <w:sz w:val="24"/>
          <w:vertAlign w:val="superscript"/>
        </w:rPr>
        <w:t>-</w:t>
      </w:r>
      <w:r>
        <w:rPr>
          <w:sz w:val="24"/>
        </w:rPr>
        <w:t>-N</w:t>
      </w:r>
      <w:r>
        <w:rPr>
          <w:rFonts w:hint="eastAsia"/>
          <w:sz w:val="24"/>
          <w:lang w:val="en-US" w:eastAsia="zh-CN"/>
        </w:rPr>
        <w:t>, F</w:t>
      </w:r>
      <w:r>
        <w:rPr>
          <w:rFonts w:hint="eastAsia"/>
          <w:sz w:val="24"/>
          <w:vertAlign w:val="superscript"/>
          <w:lang w:val="en-US" w:eastAsia="zh-CN"/>
        </w:rPr>
        <w:t>-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sz w:val="24"/>
        </w:rPr>
        <w:t>and exposure variables</w:t>
      </w:r>
      <w:r>
        <w:rPr>
          <w:rFonts w:hint="eastAsia"/>
          <w:sz w:val="24"/>
        </w:rPr>
        <w:t>.</w:t>
      </w:r>
    </w:p>
    <w:tbl>
      <w:tblPr>
        <w:tblStyle w:val="4"/>
        <w:tblW w:w="5000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23"/>
        <w:gridCol w:w="3077"/>
        <w:gridCol w:w="3156"/>
      </w:tblGrid>
      <w:tr w14:paraId="5A4594F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155" w:hRule="atLeast"/>
          <w:jc w:val="center"/>
        </w:trPr>
        <w:tc>
          <w:tcPr>
            <w:tcW w:w="1481" w:type="pct"/>
            <w:vMerge w:val="restart"/>
            <w:tcBorders>
              <w:top w:val="single" w:color="auto" w:sz="12" w:space="0"/>
              <w:bottom w:val="nil"/>
            </w:tcBorders>
            <w:shd w:val="clear" w:color="auto" w:fill="auto"/>
            <w:vAlign w:val="center"/>
          </w:tcPr>
          <w:p w14:paraId="6B82C88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Indicator</w:t>
            </w:r>
          </w:p>
        </w:tc>
        <w:tc>
          <w:tcPr>
            <w:tcW w:w="3519" w:type="pct"/>
            <w:gridSpan w:val="2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</w:tcPr>
          <w:p w14:paraId="71634A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Distribution type</w:t>
            </w:r>
          </w:p>
        </w:tc>
      </w:tr>
      <w:tr w14:paraId="36E8D0F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155" w:hRule="atLeast"/>
          <w:jc w:val="center"/>
        </w:trPr>
        <w:tc>
          <w:tcPr>
            <w:tcW w:w="1481" w:type="pct"/>
            <w:vMerge w:val="continue"/>
            <w:tcBorders>
              <w:top w:val="nil"/>
              <w:bottom w:val="single" w:color="auto" w:sz="4" w:space="0"/>
            </w:tcBorders>
            <w:shd w:val="clear" w:color="auto" w:fill="auto"/>
          </w:tcPr>
          <w:p w14:paraId="05E19F5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1737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14:paraId="5A809B0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Children</w:t>
            </w:r>
          </w:p>
        </w:tc>
        <w:tc>
          <w:tcPr>
            <w:tcW w:w="1782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14:paraId="77ED8D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Adults</w:t>
            </w:r>
          </w:p>
        </w:tc>
      </w:tr>
      <w:tr w14:paraId="0FF146B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155" w:hRule="atLeast"/>
          <w:jc w:val="center"/>
        </w:trPr>
        <w:tc>
          <w:tcPr>
            <w:tcW w:w="1481" w:type="pct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29B7E0CB">
            <w:pPr>
              <w:pStyle w:val="1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="Times New Roman" w:hAnsi="Times New Roman" w:eastAsiaTheme="minorEastAsia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/>
                <w:sz w:val="21"/>
                <w:szCs w:val="21"/>
              </w:rPr>
              <w:t>NO</w:t>
            </w:r>
            <w:r>
              <w:rPr>
                <w:rFonts w:hint="default" w:ascii="Times New Roman" w:hAnsi="Times New Roman"/>
                <w:sz w:val="21"/>
                <w:szCs w:val="21"/>
                <w:vertAlign w:val="subscript"/>
              </w:rPr>
              <w:t>3</w:t>
            </w:r>
            <w:r>
              <w:rPr>
                <w:rFonts w:hint="default" w:ascii="Times New Roman" w:hAnsi="Times New Roman"/>
                <w:sz w:val="21"/>
                <w:szCs w:val="21"/>
                <w:vertAlign w:val="superscript"/>
              </w:rPr>
              <w:t>-</w:t>
            </w:r>
            <w:r>
              <w:rPr>
                <w:rFonts w:hint="default" w:ascii="Times New Roman" w:hAnsi="Times New Roman"/>
                <w:sz w:val="21"/>
                <w:szCs w:val="21"/>
              </w:rPr>
              <w:t>-N</w:t>
            </w:r>
          </w:p>
        </w:tc>
        <w:tc>
          <w:tcPr>
            <w:tcW w:w="3519" w:type="pct"/>
            <w:gridSpan w:val="2"/>
            <w:tcBorders>
              <w:top w:val="single" w:color="auto" w:sz="4" w:space="0"/>
            </w:tcBorders>
            <w:shd w:val="clear" w:color="auto" w:fill="auto"/>
          </w:tcPr>
          <w:p w14:paraId="5E7E367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 w:eastAsiaTheme="minorEastAsia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Cs w:val="21"/>
              </w:rPr>
              <w:t>LN(</w:t>
            </w:r>
            <w:r>
              <w:rPr>
                <w:rFonts w:hint="eastAsia" w:ascii="Times New Roman" w:hAnsi="Times New Roman" w:eastAsia="宋体"/>
                <w:szCs w:val="21"/>
              </w:rPr>
              <w:t>(0.72, 0.38)</w:t>
            </w:r>
            <w:r>
              <w:rPr>
                <w:rFonts w:hint="default" w:ascii="Times New Roman" w:hAnsi="Times New Roman" w:eastAsia="宋体"/>
                <w:szCs w:val="21"/>
              </w:rPr>
              <w:t>)</w:t>
            </w:r>
          </w:p>
        </w:tc>
      </w:tr>
      <w:tr w14:paraId="7566536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155" w:hRule="atLeast"/>
          <w:jc w:val="center"/>
        </w:trPr>
        <w:tc>
          <w:tcPr>
            <w:tcW w:w="1481" w:type="pct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199CFC91">
            <w:pPr>
              <w:pStyle w:val="1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="Times New Roman" w:hAnsi="Times New Roman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  <w:lang w:val="en-US" w:eastAsia="zh-CN"/>
              </w:rPr>
              <w:t>F</w:t>
            </w:r>
            <w:r>
              <w:rPr>
                <w:rFonts w:hint="eastAsia" w:ascii="Times New Roman" w:hAnsi="Times New Roman" w:eastAsia="宋体"/>
                <w:sz w:val="21"/>
                <w:szCs w:val="21"/>
                <w:vertAlign w:val="superscript"/>
                <w:lang w:val="en-US" w:eastAsia="zh-CN"/>
              </w:rPr>
              <w:t>-</w:t>
            </w:r>
          </w:p>
        </w:tc>
        <w:tc>
          <w:tcPr>
            <w:tcW w:w="3519" w:type="pct"/>
            <w:gridSpan w:val="2"/>
            <w:tcBorders>
              <w:top w:val="single" w:color="auto" w:sz="4" w:space="0"/>
            </w:tcBorders>
            <w:shd w:val="clear" w:color="auto" w:fill="auto"/>
          </w:tcPr>
          <w:p w14:paraId="4BCA4B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宋体"/>
                <w:szCs w:val="21"/>
              </w:rPr>
              <w:t>LN(</w:t>
            </w:r>
            <w:r>
              <w:rPr>
                <w:rFonts w:hint="eastAsia" w:ascii="Times New Roman" w:hAnsi="Times New Roman" w:eastAsia="宋体"/>
                <w:szCs w:val="21"/>
              </w:rPr>
              <w:t>(0.19, 0.03)</w:t>
            </w:r>
            <w:r>
              <w:rPr>
                <w:rFonts w:hint="default" w:ascii="Times New Roman" w:hAnsi="Times New Roman" w:eastAsia="宋体"/>
                <w:szCs w:val="21"/>
              </w:rPr>
              <w:t>)</w:t>
            </w:r>
          </w:p>
        </w:tc>
      </w:tr>
      <w:tr w14:paraId="56E01A1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155" w:hRule="atLeast"/>
          <w:jc w:val="center"/>
        </w:trPr>
        <w:tc>
          <w:tcPr>
            <w:tcW w:w="1481" w:type="pct"/>
            <w:shd w:val="clear" w:color="auto" w:fill="auto"/>
            <w:vAlign w:val="center"/>
          </w:tcPr>
          <w:p w14:paraId="15123AD1">
            <w:pPr>
              <w:pStyle w:val="1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="Times New Roman" w:hAnsi="Times New Roman" w:eastAsia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color w:val="auto"/>
                <w:sz w:val="21"/>
                <w:szCs w:val="21"/>
                <w:lang w:eastAsia="zh-CN"/>
              </w:rPr>
              <w:t>IR</w:t>
            </w:r>
            <w:r>
              <w:rPr>
                <w:rFonts w:hint="eastAsia" w:ascii="Times New Roman" w:hAnsi="Times New Roman" w:eastAsia="宋体"/>
                <w:color w:val="auto"/>
                <w:sz w:val="21"/>
                <w:szCs w:val="21"/>
                <w:lang w:val="en-US" w:eastAsia="zh-CN"/>
              </w:rPr>
              <w:t xml:space="preserve"> (Qiu et al., 2023)</w:t>
            </w:r>
          </w:p>
        </w:tc>
        <w:tc>
          <w:tcPr>
            <w:tcW w:w="1737" w:type="pct"/>
            <w:shd w:val="clear" w:color="auto" w:fill="auto"/>
          </w:tcPr>
          <w:p w14:paraId="2AF59CA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N(0.85,0.09)</w:t>
            </w:r>
          </w:p>
        </w:tc>
        <w:tc>
          <w:tcPr>
            <w:tcW w:w="1782" w:type="pct"/>
            <w:shd w:val="clear" w:color="auto" w:fill="auto"/>
          </w:tcPr>
          <w:p w14:paraId="0DF9DF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N(1.5,0.15)</w:t>
            </w:r>
          </w:p>
        </w:tc>
      </w:tr>
      <w:tr w14:paraId="6343C9E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155" w:hRule="atLeast"/>
          <w:jc w:val="center"/>
        </w:trPr>
        <w:tc>
          <w:tcPr>
            <w:tcW w:w="1481" w:type="pct"/>
            <w:shd w:val="clear" w:color="auto" w:fill="auto"/>
            <w:vAlign w:val="center"/>
          </w:tcPr>
          <w:p w14:paraId="222BD825">
            <w:pPr>
              <w:pStyle w:val="1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="Times New Roman" w:hAnsi="Times New Roman" w:eastAsia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/>
                <w:color w:val="auto"/>
                <w:sz w:val="21"/>
                <w:szCs w:val="21"/>
                <w:lang w:eastAsia="zh-CN"/>
              </w:rPr>
              <w:t>EF</w:t>
            </w:r>
            <w:r>
              <w:rPr>
                <w:rFonts w:hint="eastAsia" w:ascii="Times New Roman" w:hAnsi="Times New Roman" w:eastAsia="宋体"/>
                <w:color w:val="auto"/>
                <w:sz w:val="21"/>
                <w:szCs w:val="21"/>
                <w:lang w:val="en-US" w:eastAsia="zh-CN"/>
              </w:rPr>
              <w:t>(Qiu et al., 2023)</w:t>
            </w:r>
          </w:p>
        </w:tc>
        <w:tc>
          <w:tcPr>
            <w:tcW w:w="1737" w:type="pct"/>
            <w:shd w:val="clear" w:color="auto" w:fill="auto"/>
          </w:tcPr>
          <w:p w14:paraId="11077F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T(180, 365, 345)</w:t>
            </w:r>
          </w:p>
        </w:tc>
        <w:tc>
          <w:tcPr>
            <w:tcW w:w="1782" w:type="pct"/>
            <w:shd w:val="clear" w:color="auto" w:fill="auto"/>
          </w:tcPr>
          <w:p w14:paraId="46D7A7D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T(180, 365, 345)</w:t>
            </w:r>
          </w:p>
        </w:tc>
      </w:tr>
      <w:tr w14:paraId="0A365E3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155" w:hRule="atLeast"/>
          <w:jc w:val="center"/>
        </w:trPr>
        <w:tc>
          <w:tcPr>
            <w:tcW w:w="1481" w:type="pct"/>
            <w:shd w:val="clear" w:color="auto" w:fill="auto"/>
            <w:vAlign w:val="center"/>
          </w:tcPr>
          <w:p w14:paraId="30AF8E27">
            <w:pPr>
              <w:pStyle w:val="1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="Times New Roman" w:hAnsi="Times New Roman" w:eastAsia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/>
                <w:color w:val="auto"/>
                <w:sz w:val="21"/>
                <w:szCs w:val="21"/>
                <w:lang w:eastAsia="zh-CN"/>
              </w:rPr>
              <w:t>BW</w:t>
            </w:r>
            <w:r>
              <w:rPr>
                <w:rFonts w:hint="eastAsia" w:ascii="Times New Roman" w:hAnsi="Times New Roman" w:eastAsia="宋体"/>
                <w:color w:val="auto"/>
                <w:sz w:val="21"/>
                <w:szCs w:val="21"/>
                <w:lang w:val="en-US" w:eastAsia="zh-CN"/>
              </w:rPr>
              <w:t>(Qiu et al., 2023)</w:t>
            </w:r>
          </w:p>
        </w:tc>
        <w:tc>
          <w:tcPr>
            <w:tcW w:w="1737" w:type="pct"/>
            <w:shd w:val="clear" w:color="auto" w:fill="auto"/>
          </w:tcPr>
          <w:p w14:paraId="3152AD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LN(15.0,1.50)</w:t>
            </w:r>
          </w:p>
        </w:tc>
        <w:tc>
          <w:tcPr>
            <w:tcW w:w="1782" w:type="pct"/>
            <w:shd w:val="clear" w:color="auto" w:fill="auto"/>
          </w:tcPr>
          <w:p w14:paraId="107A4A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LN(61.75,6.18)</w:t>
            </w:r>
          </w:p>
        </w:tc>
      </w:tr>
    </w:tbl>
    <w:p w14:paraId="5F81C6E8">
      <w:pPr>
        <w:numPr>
          <w:ilvl w:val="0"/>
          <w:numId w:val="0"/>
        </w:numPr>
        <w:ind w:leftChars="0"/>
        <w:rPr>
          <w:rFonts w:hint="default" w:ascii="Times New Roman Regular" w:hAnsi="Times New Roman Regular" w:cs="Times New Roman Regular"/>
          <w:sz w:val="24"/>
          <w:szCs w:val="24"/>
          <w:lang w:val="en-US" w:eastAsia="zh-CN"/>
        </w:rPr>
      </w:pPr>
    </w:p>
    <w:p w14:paraId="5DF1113F">
      <w:pPr>
        <w:numPr>
          <w:ilvl w:val="0"/>
          <w:numId w:val="0"/>
        </w:numPr>
        <w:ind w:leftChars="0"/>
        <w:rPr>
          <w:rFonts w:hint="default" w:ascii="Times New Roman Regular" w:hAnsi="Times New Roman Regular" w:cs="Times New Roman Regular"/>
          <w:sz w:val="24"/>
          <w:szCs w:val="24"/>
          <w:lang w:val="en-US" w:eastAsia="zh-CN"/>
        </w:rPr>
      </w:pPr>
      <w:r>
        <w:rPr>
          <w:rFonts w:hint="eastAsia" w:ascii="Times New Roman Regular" w:hAnsi="Times New Roman Regular" w:cs="Times New Roman Regular"/>
          <w:sz w:val="24"/>
          <w:szCs w:val="24"/>
          <w:lang w:val="en-US" w:eastAsia="zh-CN"/>
        </w:rPr>
        <w:t xml:space="preserve">Reference: </w:t>
      </w:r>
    </w:p>
    <w:p w14:paraId="2222D878">
      <w:pPr>
        <w:pStyle w:val="10"/>
        <w:spacing w:line="348" w:lineRule="auto"/>
        <w:ind w:left="400" w:hanging="400" w:hangingChars="200"/>
        <w:rPr>
          <w:rFonts w:hint="default" w:ascii="Times New Roman Regular" w:hAnsi="Times New Roman Regular" w:cs="Times New Roman Regular" w:eastAsiaTheme="minorEastAsia"/>
          <w:color w:val="auto"/>
          <w:szCs w:val="21"/>
        </w:rPr>
      </w:pPr>
      <w:r>
        <w:rPr>
          <w:rFonts w:hint="default" w:ascii="Times New Roman Regular" w:hAnsi="Times New Roman Regular" w:cs="Times New Roman Regular" w:eastAsiaTheme="minorEastAsia"/>
          <w:color w:val="auto"/>
          <w:szCs w:val="21"/>
        </w:rPr>
        <w:t>Wang, Z.; Liu, S.; Chen, X.; Lin, C., Estimates of the exposed dermal surface area of Chinese in view of human health risk. Journal of Safety and Environment 2008, (04), 152-156.</w:t>
      </w:r>
    </w:p>
    <w:p w14:paraId="7AB3CF68">
      <w:pPr>
        <w:pStyle w:val="10"/>
        <w:spacing w:line="348" w:lineRule="auto"/>
        <w:ind w:left="400" w:hanging="400" w:hangingChars="200"/>
        <w:rPr>
          <w:rFonts w:hint="default" w:ascii="Times New Roman Regular" w:hAnsi="Times New Roman Regular" w:cs="Times New Roman Regular" w:eastAsiaTheme="minorEastAsia"/>
          <w:color w:val="auto"/>
          <w:szCs w:val="21"/>
        </w:rPr>
      </w:pPr>
      <w:r>
        <w:rPr>
          <w:rFonts w:hint="default" w:ascii="Times New Roman Regular" w:hAnsi="Times New Roman Regular" w:cs="Times New Roman Regular" w:eastAsiaTheme="minorEastAsia"/>
          <w:color w:val="auto"/>
          <w:szCs w:val="21"/>
        </w:rPr>
        <w:t>USEPA. Risk Assessment Guidance for Superfund Volume I: Human Health Evaluation Muanual (Part e, supplemental guidance for dermal risk assessment) final. 2004.</w:t>
      </w:r>
    </w:p>
    <w:p w14:paraId="628E311D">
      <w:pPr>
        <w:pStyle w:val="10"/>
        <w:spacing w:line="348" w:lineRule="auto"/>
        <w:ind w:left="400" w:hanging="400" w:hangingChars="200"/>
        <w:rPr>
          <w:rFonts w:hint="default" w:ascii="Times New Roman Regular" w:hAnsi="Times New Roman Regular" w:cs="Times New Roman Regular"/>
          <w:color w:val="auto"/>
          <w:kern w:val="0"/>
        </w:rPr>
      </w:pPr>
      <w:r>
        <w:rPr>
          <w:rFonts w:hint="default" w:ascii="Times New Roman Regular" w:hAnsi="Times New Roman Regular" w:cs="Times New Roman Regular"/>
          <w:color w:val="auto"/>
          <w:kern w:val="0"/>
        </w:rPr>
        <w:t xml:space="preserve">Gao, Y. </w:t>
      </w:r>
      <w:r>
        <w:rPr>
          <w:rFonts w:hint="default" w:ascii="Times New Roman Regular" w:hAnsi="Times New Roman Regular" w:cs="Times New Roman Regular"/>
          <w:i/>
          <w:iCs/>
          <w:color w:val="auto"/>
          <w:kern w:val="0"/>
        </w:rPr>
        <w:t>et al.</w:t>
      </w:r>
      <w:r>
        <w:rPr>
          <w:rFonts w:hint="default" w:ascii="Times New Roman Regular" w:hAnsi="Times New Roman Regular" w:cs="Times New Roman Regular"/>
          <w:color w:val="auto"/>
          <w:kern w:val="0"/>
        </w:rPr>
        <w:t xml:space="preserve"> Cumulative health risk assessment of multiple chemicals in groundwater based on deterministic and Monte Carlo models in </w:t>
      </w:r>
      <w:bookmarkStart w:id="1" w:name="_GoBack"/>
      <w:bookmarkEnd w:id="1"/>
      <w:r>
        <w:rPr>
          <w:rFonts w:hint="default" w:ascii="Times New Roman Regular" w:hAnsi="Times New Roman Regular" w:cs="Times New Roman Regular"/>
          <w:color w:val="auto"/>
          <w:kern w:val="0"/>
        </w:rPr>
        <w:t xml:space="preserve">a large semiarid basin. </w:t>
      </w:r>
      <w:r>
        <w:rPr>
          <w:rFonts w:hint="default" w:ascii="Times New Roman Regular" w:hAnsi="Times New Roman Regular" w:cs="Times New Roman Regular"/>
          <w:i/>
          <w:iCs/>
          <w:color w:val="auto"/>
          <w:kern w:val="0"/>
        </w:rPr>
        <w:t>J. Clean. Prod.</w:t>
      </w:r>
      <w:r>
        <w:rPr>
          <w:rFonts w:hint="default" w:ascii="Times New Roman Regular" w:hAnsi="Times New Roman Regular" w:cs="Times New Roman Regular"/>
          <w:color w:val="auto"/>
          <w:kern w:val="0"/>
        </w:rPr>
        <w:t xml:space="preserve"> </w:t>
      </w:r>
      <w:r>
        <w:rPr>
          <w:rFonts w:hint="default" w:ascii="Times New Roman Regular" w:hAnsi="Times New Roman Regular" w:cs="Times New Roman Regular"/>
          <w:b/>
          <w:bCs/>
          <w:color w:val="auto"/>
          <w:kern w:val="0"/>
        </w:rPr>
        <w:t>352</w:t>
      </w:r>
      <w:r>
        <w:rPr>
          <w:rFonts w:hint="default" w:ascii="Times New Roman Regular" w:hAnsi="Times New Roman Regular" w:cs="Times New Roman Regular"/>
          <w:color w:val="auto"/>
          <w:kern w:val="0"/>
        </w:rPr>
        <w:t>, (2022).</w:t>
      </w:r>
    </w:p>
    <w:p w14:paraId="2D539617">
      <w:pPr>
        <w:pStyle w:val="10"/>
        <w:spacing w:line="348" w:lineRule="auto"/>
        <w:ind w:left="400" w:hanging="400" w:hangingChars="200"/>
        <w:rPr>
          <w:rFonts w:hint="eastAsia" w:ascii="Times New Roman" w:hAnsi="Times New Roman" w:eastAsia="DengXian" w:cs="Times New Roman"/>
          <w:color w:val="FF0000"/>
          <w:kern w:val="2"/>
          <w:sz w:val="24"/>
          <w:szCs w:val="24"/>
          <w:lang w:val="en-US" w:eastAsia="zh-CN" w:bidi="ar"/>
        </w:rPr>
      </w:pPr>
      <w:r>
        <w:rPr>
          <w:rFonts w:hint="default" w:ascii="Times New Roman Regular" w:hAnsi="Times New Roman Regular" w:eastAsia="宋体" w:cs="Times New Roman Regular"/>
          <w:color w:val="auto"/>
          <w:kern w:val="0"/>
          <w:lang w:val="en-US" w:eastAsia="zh-CN"/>
        </w:rPr>
        <w:t>Qiu, H.</w:t>
      </w:r>
      <w:r>
        <w:rPr>
          <w:rFonts w:hint="eastAsia" w:ascii="Times New Roman Regular" w:hAnsi="Times New Roman Regular" w:eastAsia="宋体" w:cs="Times New Roman Regular"/>
          <w:color w:val="auto"/>
          <w:kern w:val="0"/>
          <w:lang w:val="en-US" w:eastAsia="zh-CN"/>
        </w:rPr>
        <w:t xml:space="preserve"> et al</w:t>
      </w:r>
      <w:r>
        <w:rPr>
          <w:rFonts w:hint="default" w:ascii="Times New Roman Regular" w:hAnsi="Times New Roman Regular" w:eastAsia="宋体" w:cs="Times New Roman Regular"/>
          <w:color w:val="auto"/>
          <w:kern w:val="0"/>
          <w:lang w:val="en-US" w:eastAsia="zh-CN"/>
        </w:rPr>
        <w:t>. Quantifying nitrate pollution sources of shallow groundwater and related health risks based on deterministic and Monte Carlo models: A study in Huaibei mining area, Huaibei coalfield, China. Ecotoxicology and Environmental Safety 2023</w:t>
      </w:r>
      <w:r>
        <w:rPr>
          <w:rFonts w:hint="eastAsia" w:ascii="Times New Roman Regular" w:hAnsi="Times New Roman Regular" w:eastAsia="宋体" w:cs="Times New Roman Regular"/>
          <w:color w:val="auto"/>
          <w:kern w:val="0"/>
          <w:lang w:val="en-US" w:eastAsia="zh-CN"/>
        </w:rPr>
        <w:t>(</w:t>
      </w:r>
      <w:r>
        <w:rPr>
          <w:rFonts w:hint="default" w:ascii="Times New Roman Regular" w:hAnsi="Times New Roman Regular" w:eastAsia="宋体" w:cs="Times New Roman Regular"/>
          <w:color w:val="auto"/>
          <w:kern w:val="0"/>
          <w:lang w:val="en-US" w:eastAsia="zh-CN"/>
        </w:rPr>
        <w:t>249</w:t>
      </w:r>
      <w:r>
        <w:rPr>
          <w:rFonts w:hint="eastAsia" w:ascii="Times New Roman Regular" w:hAnsi="Times New Roman Regular" w:eastAsia="宋体" w:cs="Times New Roman Regular"/>
          <w:color w:val="auto"/>
          <w:kern w:val="0"/>
          <w:lang w:val="en-US" w:eastAsia="zh-CN"/>
        </w:rPr>
        <w:t xml:space="preserve">): </w:t>
      </w:r>
      <w:r>
        <w:rPr>
          <w:rFonts w:hint="default" w:ascii="Times New Roman Regular" w:hAnsi="Times New Roman Regular" w:eastAsia="宋体" w:cs="Times New Roman Regular"/>
          <w:color w:val="auto"/>
          <w:kern w:val="0"/>
          <w:lang w:val="en-US" w:eastAsia="zh-CN"/>
        </w:rPr>
        <w:t xml:space="preserve">114434. </w:t>
      </w:r>
    </w:p>
    <w:p w14:paraId="26FCFF2D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0" w:firstLineChars="0"/>
        <w:jc w:val="center"/>
        <w:rPr>
          <w:rFonts w:hint="default" w:ascii="Times New Roman" w:hAnsi="Times New Roman" w:eastAsia="DengXian" w:cs="Times New Roman"/>
          <w:color w:val="auto"/>
          <w:kern w:val="2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DengXian" w:cs="Times New Roman"/>
          <w:color w:val="auto"/>
          <w:kern w:val="2"/>
          <w:sz w:val="24"/>
          <w:szCs w:val="24"/>
          <w:lang w:val="en-US" w:eastAsia="zh-CN" w:bidi="ar"/>
        </w:rPr>
        <w:t>Table S4 The comparison of geochemical characteris to guidelines and other studies</w:t>
      </w:r>
    </w:p>
    <w:tbl>
      <w:tblPr>
        <w:tblStyle w:val="4"/>
        <w:tblW w:w="876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9"/>
        <w:gridCol w:w="1095"/>
        <w:gridCol w:w="1797"/>
        <w:gridCol w:w="1044"/>
        <w:gridCol w:w="1605"/>
        <w:gridCol w:w="1274"/>
        <w:gridCol w:w="1096"/>
      </w:tblGrid>
      <w:tr w14:paraId="33449B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520" w:hRule="atLeast"/>
          <w:jc w:val="center"/>
        </w:trPr>
        <w:tc>
          <w:tcPr>
            <w:tcW w:w="849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7B61C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095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5A5450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This study</w:t>
            </w:r>
          </w:p>
        </w:tc>
        <w:tc>
          <w:tcPr>
            <w:tcW w:w="1797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7C436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cs="Times New Roman Regular" w:eastAsiaTheme="minorEastAsia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1"/>
                <w:szCs w:val="21"/>
              </w:rPr>
              <w:t>Class III groundwater standards</w:t>
            </w:r>
            <w:r>
              <w:rPr>
                <w:rFonts w:hint="default" w:ascii="Times New Roman Regular" w:hAnsi="Times New Roman Regular" w:cs="Times New Roman Regular"/>
                <w:color w:val="auto"/>
                <w:sz w:val="21"/>
                <w:szCs w:val="21"/>
                <w:lang w:val="en-US" w:eastAsia="zh-CN"/>
              </w:rPr>
              <w:t>,China</w:t>
            </w:r>
          </w:p>
        </w:tc>
        <w:tc>
          <w:tcPr>
            <w:tcW w:w="1044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55324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WHO</w:t>
            </w:r>
          </w:p>
        </w:tc>
        <w:tc>
          <w:tcPr>
            <w:tcW w:w="1605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562EA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Ordos Basin, China</w:t>
            </w:r>
          </w:p>
        </w:tc>
        <w:tc>
          <w:tcPr>
            <w:tcW w:w="1274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D9439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Okinawa Island, Japan</w:t>
            </w:r>
          </w:p>
        </w:tc>
        <w:tc>
          <w:tcPr>
            <w:tcW w:w="109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DD8E3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Sargodha, Pakistan</w:t>
            </w:r>
          </w:p>
        </w:tc>
      </w:tr>
      <w:tr w14:paraId="7B3ACA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190" w:hRule="atLeast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CA7C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Na</w:t>
            </w: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+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7AD5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12.14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3F6ED8">
            <w:pPr>
              <w:keepNext w:val="0"/>
              <w:keepLines w:val="0"/>
              <w:widowControl/>
              <w:suppressLineNumbers w:val="0"/>
              <w:wordWrap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0EF1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200.00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3AEC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301.51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9489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26.20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D4B33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177.60</w:t>
            </w:r>
          </w:p>
        </w:tc>
      </w:tr>
      <w:tr w14:paraId="6E7042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24" w:hRule="atLeast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2541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K</w:t>
            </w: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+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D3AB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5.63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7A4CA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3C56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12.00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C500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2.79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CC4B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78.16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FBC6D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11.30</w:t>
            </w:r>
          </w:p>
        </w:tc>
      </w:tr>
      <w:tr w14:paraId="4BC12A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185" w:hRule="atLeast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16EC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F</w:t>
            </w: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-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0FC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0.55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6806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  <w:t>1.0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7870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7323B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1.82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ED53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2A0F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 w14:paraId="3FB42D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185" w:hRule="atLeast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D6B7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NO</w:t>
            </w: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3</w:t>
            </w: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-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6B5D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7.26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77F7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5B91D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50.00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07B9D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40.62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D5020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8.31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8592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7.23</w:t>
            </w:r>
          </w:p>
        </w:tc>
      </w:tr>
      <w:tr w14:paraId="626912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185" w:hRule="atLeast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D89E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SO</w:t>
            </w: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4</w:t>
            </w: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2-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297B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27.22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5618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250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631C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500.00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90C2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369.26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DE9A9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101.24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D028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590.48</w:t>
            </w:r>
          </w:p>
        </w:tc>
      </w:tr>
      <w:tr w14:paraId="473AA0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185" w:hRule="atLeast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95DC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Mn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8FDD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0.49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697F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  <w:t>0.1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AE30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90D8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A8B15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14E0D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 w14:paraId="25890C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185" w:hRule="atLeast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F5D05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COD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BAB8F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0.73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DE76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  <w:t>3.0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28E23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192F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E7B4A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0A04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 w14:paraId="24B0B2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185" w:hRule="atLeast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6C49D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NH</w:t>
            </w: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4</w:t>
            </w: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+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9FFD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0.52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7FA74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  <w:t>0.5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F156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5C79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848F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FEB7A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 w14:paraId="51B517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185" w:hRule="atLeast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00A6E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TDS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FD3D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213.56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C02B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1000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9F985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1000.00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DB88F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1404.00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1B6D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C9528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1272.00</w:t>
            </w:r>
          </w:p>
        </w:tc>
      </w:tr>
      <w:tr w14:paraId="098ECB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185" w:hRule="atLeast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5AA5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  <w:t>TH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E9A5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137.59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3776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  <w:t>450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B3C5B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10C91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F2AC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AEE15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 w14:paraId="0B1FD1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185" w:hRule="atLeast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B4322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pH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39E94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6.96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7DC0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6.5-8.5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8D36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6.5-9.5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0EA9B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7.99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5CD25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7.50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1852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7.87</w:t>
            </w:r>
          </w:p>
        </w:tc>
      </w:tr>
      <w:tr w14:paraId="5292E5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185" w:hRule="atLeast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B6196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Fe</w:t>
            </w: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3+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E691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0.40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8271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0.3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9DFD4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0.30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B3C4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3201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8987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0.44</w:t>
            </w:r>
          </w:p>
        </w:tc>
      </w:tr>
      <w:tr w14:paraId="7F9464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185" w:hRule="atLeast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4C28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Al</w:t>
            </w: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3+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DB57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0.07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682D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  <w:t>0.2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2152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16570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CFB3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6961E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 w14:paraId="689C61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185" w:hRule="atLeast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DD74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Cl</w:t>
            </w: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-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36F6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19.72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A243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250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3262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250.00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A6D06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258.32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6A5D0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14.60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3461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273.56</w:t>
            </w:r>
          </w:p>
        </w:tc>
      </w:tr>
      <w:tr w14:paraId="501D4C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185" w:hRule="atLeast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8A913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HCO</w:t>
            </w: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3</w:t>
            </w: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-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0E3F8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137.61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1F6D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5A036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500.00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058C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422.99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977E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437.16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2D64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472.42</w:t>
            </w:r>
          </w:p>
        </w:tc>
      </w:tr>
      <w:tr w14:paraId="1AEC15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185" w:hRule="atLeast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AF28D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Ca</w:t>
            </w: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2+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C01E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34.68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CD37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12C2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100.00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6875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69.75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0923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18.04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73E3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84.20</w:t>
            </w:r>
          </w:p>
        </w:tc>
      </w:tr>
      <w:tr w14:paraId="10E85B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190" w:hRule="atLeast"/>
          <w:jc w:val="center"/>
        </w:trPr>
        <w:tc>
          <w:tcPr>
            <w:tcW w:w="849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077DC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</w:t>
            </w: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2+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37F7A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12.38</w:t>
            </w:r>
          </w:p>
        </w:tc>
        <w:tc>
          <w:tcPr>
            <w:tcW w:w="1797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F24B6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EE40FA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50.00</w:t>
            </w:r>
          </w:p>
        </w:tc>
        <w:tc>
          <w:tcPr>
            <w:tcW w:w="160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4E314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77.27</w:t>
            </w:r>
          </w:p>
        </w:tc>
        <w:tc>
          <w:tcPr>
            <w:tcW w:w="1274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BB253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12.38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A74DE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20.04</w:t>
            </w:r>
          </w:p>
        </w:tc>
      </w:tr>
    </w:tbl>
    <w:p w14:paraId="51C5BBC7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0" w:firstLineChars="0"/>
        <w:jc w:val="center"/>
        <w:rPr>
          <w:rFonts w:hint="eastAsia" w:ascii="Times New Roman" w:hAnsi="Times New Roman" w:eastAsia="DengXian" w:cs="Times New Roman"/>
          <w:color w:val="auto"/>
          <w:kern w:val="2"/>
          <w:sz w:val="24"/>
          <w:szCs w:val="24"/>
          <w:lang w:val="en-US" w:eastAsia="zh-CN" w:bidi="ar"/>
        </w:rPr>
      </w:pPr>
    </w:p>
    <w:p w14:paraId="411720A4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0" w:firstLineChars="0"/>
        <w:jc w:val="center"/>
        <w:rPr>
          <w:rFonts w:hint="default" w:ascii="Times New Roman" w:hAnsi="Times New Roman" w:eastAsia="DengXian" w:cs="Times New Roman"/>
          <w:color w:val="FF0000"/>
          <w:kern w:val="2"/>
          <w:sz w:val="24"/>
          <w:szCs w:val="24"/>
          <w:lang w:val="en-US" w:eastAsia="zh-CN" w:bidi="ar"/>
        </w:rPr>
      </w:pPr>
    </w:p>
    <w:sectPr>
      <w:type w:val="continuous"/>
      <w:pgSz w:w="12240" w:h="15840"/>
      <w:pgMar w:top="1440" w:right="1800" w:bottom="1440" w:left="1800" w:header="720" w:footer="72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Palatino Linotype">
    <w:altName w:val="苹方-简"/>
    <w:panose1 w:val="02040502050505030304"/>
    <w:charset w:val="00"/>
    <w:family w:val="roman"/>
    <w:pitch w:val="default"/>
    <w:sig w:usb0="00000000" w:usb1="00000000" w:usb2="00000000" w:usb3="00000000" w:csb0="2000019F" w:csb1="00000000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DengXian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FB96AB"/>
    <w:multiLevelType w:val="singleLevel"/>
    <w:tmpl w:val="DEFB96AB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3399BC"/>
    <w:rsid w:val="59BF74B6"/>
    <w:rsid w:val="6FEE9F31"/>
    <w:rsid w:val="6FFFDC29"/>
    <w:rsid w:val="7F3399BC"/>
    <w:rsid w:val="C5475775"/>
    <w:rsid w:val="DDFF537B"/>
    <w:rsid w:val="EDFFC722"/>
    <w:rsid w:val="EEEF6154"/>
    <w:rsid w:val="EFC765B2"/>
    <w:rsid w:val="F0FE7D46"/>
    <w:rsid w:val="F5ADB9BF"/>
    <w:rsid w:val="F755F015"/>
    <w:rsid w:val="FFD57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9"/>
    <w:pPr>
      <w:keepNext/>
      <w:keepLines/>
      <w:spacing w:line="480" w:lineRule="auto"/>
      <w:outlineLvl w:val="3"/>
    </w:pPr>
    <w:rPr>
      <w:rFonts w:eastAsiaTheme="majorEastAsia" w:cstheme="majorBidi"/>
      <w:bCs/>
      <w:i/>
      <w:szCs w:val="28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unhideWhenUsed/>
    <w:qFormat/>
    <w:uiPriority w:val="99"/>
    <w:pPr>
      <w:spacing w:after="120"/>
    </w:pPr>
  </w:style>
  <w:style w:type="table" w:styleId="5">
    <w:name w:val="Table Grid"/>
    <w:basedOn w:val="4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标题1.0"/>
    <w:basedOn w:val="2"/>
    <w:qFormat/>
    <w:uiPriority w:val="0"/>
    <w:pPr>
      <w:outlineLvl w:val="1"/>
    </w:pPr>
    <w:rPr>
      <w:rFonts w:cs="Times New Roman"/>
      <w:i w:val="0"/>
    </w:rPr>
  </w:style>
  <w:style w:type="paragraph" w:customStyle="1" w:styleId="8">
    <w:name w:val="标题1.1"/>
    <w:basedOn w:val="2"/>
    <w:qFormat/>
    <w:uiPriority w:val="0"/>
    <w:pPr>
      <w:outlineLvl w:val="2"/>
    </w:pPr>
    <w:rPr>
      <w:rFonts w:cs="Times New Roman"/>
    </w:rPr>
  </w:style>
  <w:style w:type="paragraph" w:customStyle="1" w:styleId="9">
    <w:name w:val="标题 1.1.1"/>
    <w:basedOn w:val="1"/>
    <w:qFormat/>
    <w:uiPriority w:val="0"/>
    <w:pPr>
      <w:spacing w:line="480" w:lineRule="auto"/>
      <w:outlineLvl w:val="3"/>
    </w:pPr>
    <w:rPr>
      <w:rFonts w:cs="Times New Roman"/>
    </w:rPr>
  </w:style>
  <w:style w:type="paragraph" w:customStyle="1" w:styleId="10">
    <w:name w:val="EndNote Bibliography"/>
    <w:basedOn w:val="1"/>
    <w:qFormat/>
    <w:uiPriority w:val="0"/>
    <w:pPr>
      <w:ind w:firstLine="200" w:firstLineChars="200"/>
    </w:pPr>
    <w:rPr>
      <w:rFonts w:eastAsia="Times New Roman" w:cs="Times New Roman"/>
      <w:kern w:val="0"/>
      <w:sz w:val="20"/>
      <w:szCs w:val="20"/>
    </w:rPr>
  </w:style>
  <w:style w:type="paragraph" w:customStyle="1" w:styleId="11">
    <w:name w:val="15表题"/>
    <w:basedOn w:val="12"/>
    <w:qFormat/>
    <w:uiPriority w:val="0"/>
    <w:pPr>
      <w:spacing w:line="260" w:lineRule="atLeast"/>
      <w:ind w:firstLine="0" w:firstLineChars="0"/>
    </w:pPr>
    <w:rPr>
      <w:rFonts w:eastAsia="黑体"/>
      <w:sz w:val="18"/>
    </w:rPr>
  </w:style>
  <w:style w:type="paragraph" w:customStyle="1" w:styleId="12">
    <w:name w:val="04中文单位"/>
    <w:basedOn w:val="13"/>
    <w:qFormat/>
    <w:uiPriority w:val="0"/>
    <w:pPr>
      <w:spacing w:line="200" w:lineRule="atLeast"/>
      <w:jc w:val="center"/>
    </w:pPr>
    <w:rPr>
      <w:sz w:val="15"/>
    </w:rPr>
  </w:style>
  <w:style w:type="paragraph" w:customStyle="1" w:styleId="13">
    <w:name w:val="10正文"/>
    <w:basedOn w:val="3"/>
    <w:qFormat/>
    <w:uiPriority w:val="0"/>
    <w:pPr>
      <w:spacing w:after="0" w:line="312" w:lineRule="atLeast"/>
      <w:ind w:firstLine="200" w:firstLineChars="200"/>
    </w:pPr>
    <w:rPr>
      <w:rFonts w:ascii="Times New Roman" w:hAnsi="Times New Roman" w:eastAsia="宋体" w:cs="Times New Roman"/>
      <w:szCs w:val="24"/>
    </w:rPr>
  </w:style>
  <w:style w:type="paragraph" w:customStyle="1" w:styleId="14">
    <w:name w:val="MDPI_4.2_table_body"/>
    <w:qFormat/>
    <w:uiPriority w:val="0"/>
    <w:pPr>
      <w:adjustRightInd w:val="0"/>
      <w:snapToGrid w:val="0"/>
      <w:spacing w:line="260" w:lineRule="atLeast"/>
      <w:jc w:val="center"/>
    </w:pPr>
    <w:rPr>
      <w:rFonts w:ascii="Palatino Linotype" w:hAnsi="Palatino Linotype" w:eastAsia="Times New Roman" w:cs="Times New Roman"/>
      <w:snapToGrid w:val="0"/>
      <w:color w:val="000000"/>
      <w:lang w:val="en-US" w:eastAsia="de-DE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6</TotalTime>
  <ScaleCrop>false</ScaleCrop>
  <LinksUpToDate>false</LinksUpToDate>
  <CharactersWithSpaces>0</CharactersWithSpaces>
  <Application>WPS Office_7.2.0.8943_F1E327BC-269C-435d-A152-05C5408002CA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2024-07-25T09:35:00Z</dcterms:created>
  <dc:creator>HEREYOUGO</dc:creator>
  <cp:lastModifiedBy>HEREYOUGO</cp:lastModifiedBy>
  <dcterms:modified xsi:type="dcterms:W3CDTF">2025-06-30T20:41:13Z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2052-7.2.0.8943</vt:lpwstr>
  </property>
  <property fmtid="{D5CDD505-2E9C-101B-9397-08002B2CF9AE}" pid="3" name="ICV">
    <vt:lpwstr>190BF16EBDD03684C4279E663E1631AF_41</vt:lpwstr>
  </property>
</Properties>
</file>