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BCB2" w14:textId="6B539718" w:rsidR="00B14881" w:rsidRDefault="003D1E30" w:rsidP="006E42A2">
      <w:pPr>
        <w:jc w:val="center"/>
      </w:pPr>
      <w:r>
        <w:rPr>
          <w:noProof/>
        </w:rPr>
        <w:drawing>
          <wp:inline distT="0" distB="0" distL="0" distR="0" wp14:anchorId="00D867A3" wp14:editId="15A07F5B">
            <wp:extent cx="5727700" cy="8399145"/>
            <wp:effectExtent l="0" t="0" r="0" b="0"/>
            <wp:docPr id="1806407104" name="Picture 1" descr="A collage of graphs and cha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407104" name="Picture 1" descr="A collage of graphs and chart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D96D9" w14:textId="77777777" w:rsidR="00C209DB" w:rsidRDefault="00C209DB" w:rsidP="00B14881">
      <w:pPr>
        <w:rPr>
          <w:rFonts w:ascii="Times New Roman" w:hAnsi="Times New Roman" w:cs="Times New Roman"/>
          <w:b/>
          <w:szCs w:val="21"/>
        </w:rPr>
      </w:pPr>
    </w:p>
    <w:p w14:paraId="112CC876" w14:textId="79BC0165" w:rsidR="00E86B87" w:rsidRPr="00E86B87" w:rsidRDefault="00B14881" w:rsidP="00B14881">
      <w:pPr>
        <w:rPr>
          <w:rFonts w:ascii="Times New Roman" w:hAnsi="Times New Roman" w:cs="Times New Roman"/>
        </w:rPr>
      </w:pPr>
      <w:r w:rsidRPr="00F008D9">
        <w:rPr>
          <w:rFonts w:ascii="Times New Roman" w:hAnsi="Times New Roman" w:cs="Times New Roman"/>
          <w:b/>
          <w:szCs w:val="21"/>
        </w:rPr>
        <w:lastRenderedPageBreak/>
        <w:t xml:space="preserve">Figure </w:t>
      </w:r>
      <w:r>
        <w:rPr>
          <w:rFonts w:ascii="Times New Roman" w:hAnsi="Times New Roman" w:cs="Times New Roman"/>
          <w:b/>
          <w:szCs w:val="21"/>
        </w:rPr>
        <w:t>S</w:t>
      </w:r>
      <w:r w:rsidR="00326AC4">
        <w:rPr>
          <w:rFonts w:ascii="Times New Roman" w:hAnsi="Times New Roman" w:cs="Times New Roman"/>
          <w:b/>
          <w:szCs w:val="21"/>
        </w:rPr>
        <w:t>5</w:t>
      </w:r>
      <w:r w:rsidRPr="00F008D9">
        <w:rPr>
          <w:rFonts w:ascii="Times New Roman" w:hAnsi="Times New Roman" w:cs="Times New Roman"/>
          <w:b/>
          <w:szCs w:val="21"/>
        </w:rPr>
        <w:t xml:space="preserve">. </w:t>
      </w:r>
      <w:r w:rsidR="0028643F">
        <w:rPr>
          <w:rFonts w:ascii="Times New Roman" w:hAnsi="Times New Roman" w:cs="Times New Roman"/>
          <w:b/>
          <w:szCs w:val="21"/>
        </w:rPr>
        <w:t>Analysis of b</w:t>
      </w:r>
      <w:r w:rsidR="0028643F" w:rsidRPr="00F008D9">
        <w:rPr>
          <w:rFonts w:ascii="Times New Roman" w:hAnsi="Times New Roman" w:cs="Times New Roman"/>
          <w:b/>
          <w:szCs w:val="21"/>
        </w:rPr>
        <w:t xml:space="preserve">inding free energy </w:t>
      </w:r>
      <w:r w:rsidR="0028643F">
        <w:rPr>
          <w:rFonts w:ascii="Times New Roman" w:hAnsi="Times New Roman" w:cs="Times New Roman"/>
          <w:b/>
          <w:szCs w:val="21"/>
        </w:rPr>
        <w:t xml:space="preserve">components and per-residue decomposition from the </w:t>
      </w:r>
      <w:r w:rsidR="007939FA">
        <w:rPr>
          <w:rFonts w:ascii="Times New Roman" w:hAnsi="Times New Roman" w:cs="Times New Roman"/>
          <w:b/>
          <w:szCs w:val="21"/>
        </w:rPr>
        <w:t>second</w:t>
      </w:r>
      <w:r w:rsidR="0028643F">
        <w:rPr>
          <w:rFonts w:ascii="Times New Roman" w:hAnsi="Times New Roman" w:cs="Times New Roman"/>
          <w:b/>
          <w:szCs w:val="21"/>
        </w:rPr>
        <w:t xml:space="preserve"> molecular dynamics (MD) trajectory of</w:t>
      </w:r>
      <w:r w:rsidR="0028643F" w:rsidRPr="00F008D9">
        <w:rPr>
          <w:rFonts w:ascii="Times New Roman" w:hAnsi="Times New Roman" w:cs="Times New Roman"/>
          <w:b/>
          <w:szCs w:val="21"/>
        </w:rPr>
        <w:t xml:space="preserve"> PmrB-ATP interaction.</w:t>
      </w:r>
      <w:r w:rsidR="0028643F">
        <w:rPr>
          <w:rFonts w:ascii="Times New Roman" w:hAnsi="Times New Roman" w:cs="Times New Roman"/>
          <w:b/>
          <w:szCs w:val="21"/>
        </w:rPr>
        <w:t xml:space="preserve"> </w:t>
      </w:r>
      <w:r w:rsidR="0028643F" w:rsidRPr="00204379">
        <w:rPr>
          <w:rFonts w:ascii="Times New Roman" w:hAnsi="Times New Roman" w:cs="Times New Roman"/>
          <w:bCs/>
          <w:szCs w:val="21"/>
        </w:rPr>
        <w:t>The left panel</w:t>
      </w:r>
      <w:r w:rsidR="0028643F">
        <w:rPr>
          <w:rFonts w:ascii="Times New Roman" w:hAnsi="Times New Roman" w:cs="Times New Roman"/>
          <w:bCs/>
          <w:szCs w:val="21"/>
        </w:rPr>
        <w:t xml:space="preserve"> </w:t>
      </w:r>
      <w:r w:rsidR="0028643F" w:rsidRPr="00040752">
        <w:rPr>
          <w:rFonts w:ascii="Times New Roman" w:hAnsi="Times New Roman" w:cs="Times New Roman"/>
          <w:bCs/>
          <w:szCs w:val="21"/>
        </w:rPr>
        <w:t xml:space="preserve">(A-D) </w:t>
      </w:r>
      <w:r w:rsidR="0028643F">
        <w:rPr>
          <w:rFonts w:ascii="Times New Roman" w:hAnsi="Times New Roman" w:cs="Times New Roman"/>
          <w:bCs/>
          <w:szCs w:val="21"/>
        </w:rPr>
        <w:t>represents</w:t>
      </w:r>
      <w:r w:rsidR="0028643F" w:rsidRPr="00040752">
        <w:rPr>
          <w:rFonts w:ascii="Times New Roman" w:hAnsi="Times New Roman" w:cs="Times New Roman"/>
          <w:bCs/>
          <w:szCs w:val="21"/>
        </w:rPr>
        <w:t xml:space="preserve"> energetic components contributing to the total binding free energy (ΔG)</w:t>
      </w:r>
      <w:r w:rsidR="0028643F">
        <w:rPr>
          <w:rFonts w:ascii="Times New Roman" w:hAnsi="Times New Roman" w:cs="Times New Roman"/>
          <w:bCs/>
          <w:szCs w:val="21"/>
        </w:rPr>
        <w:t>, which</w:t>
      </w:r>
      <w:r w:rsidR="0028643F" w:rsidRPr="00040752">
        <w:rPr>
          <w:rFonts w:ascii="Times New Roman" w:hAnsi="Times New Roman" w:cs="Times New Roman"/>
          <w:bCs/>
          <w:szCs w:val="21"/>
        </w:rPr>
        <w:t xml:space="preserve"> </w:t>
      </w:r>
      <w:r w:rsidR="0028643F">
        <w:rPr>
          <w:rFonts w:ascii="Times New Roman" w:hAnsi="Times New Roman" w:cs="Times New Roman"/>
          <w:bCs/>
          <w:szCs w:val="21"/>
        </w:rPr>
        <w:t xml:space="preserve">were </w:t>
      </w:r>
      <w:r w:rsidR="0028643F" w:rsidRPr="00040752">
        <w:rPr>
          <w:rFonts w:ascii="Times New Roman" w:hAnsi="Times New Roman" w:cs="Times New Roman"/>
          <w:bCs/>
          <w:szCs w:val="21"/>
        </w:rPr>
        <w:t xml:space="preserve">calculated using the MMGBSA method for </w:t>
      </w:r>
      <w:r w:rsidR="0028643F" w:rsidRPr="00040752">
        <w:rPr>
          <w:rFonts w:ascii="Times New Roman" w:hAnsi="Times New Roman" w:cs="Times New Roman"/>
          <w:bCs/>
          <w:i/>
          <w:iCs/>
          <w:szCs w:val="21"/>
        </w:rPr>
        <w:t xml:space="preserve">A. baumannii </w:t>
      </w:r>
      <w:r w:rsidR="0028643F" w:rsidRPr="00040752">
        <w:rPr>
          <w:rFonts w:ascii="Times New Roman" w:hAnsi="Times New Roman" w:cs="Times New Roman"/>
          <w:bCs/>
          <w:szCs w:val="21"/>
        </w:rPr>
        <w:t xml:space="preserve">(A), </w:t>
      </w:r>
      <w:r w:rsidR="0028643F" w:rsidRPr="00040752">
        <w:rPr>
          <w:rFonts w:ascii="Times New Roman" w:hAnsi="Times New Roman" w:cs="Times New Roman"/>
          <w:bCs/>
          <w:i/>
          <w:iCs/>
          <w:szCs w:val="21"/>
        </w:rPr>
        <w:t>E. coli</w:t>
      </w:r>
      <w:r w:rsidR="0028643F" w:rsidRPr="00040752">
        <w:rPr>
          <w:rFonts w:ascii="Times New Roman" w:hAnsi="Times New Roman" w:cs="Times New Roman"/>
          <w:bCs/>
          <w:szCs w:val="21"/>
        </w:rPr>
        <w:t xml:space="preserve"> (B), </w:t>
      </w:r>
      <w:r w:rsidR="0028643F" w:rsidRPr="00040752">
        <w:rPr>
          <w:rFonts w:ascii="Times New Roman" w:hAnsi="Times New Roman" w:cs="Times New Roman"/>
          <w:bCs/>
          <w:i/>
          <w:iCs/>
          <w:szCs w:val="21"/>
        </w:rPr>
        <w:t>K. pneumoniae</w:t>
      </w:r>
      <w:r w:rsidR="0028643F" w:rsidRPr="00040752">
        <w:rPr>
          <w:rFonts w:ascii="Times New Roman" w:hAnsi="Times New Roman" w:cs="Times New Roman"/>
          <w:bCs/>
          <w:szCs w:val="21"/>
        </w:rPr>
        <w:t xml:space="preserve"> (C), and </w:t>
      </w:r>
      <w:r w:rsidR="0028643F" w:rsidRPr="00040752">
        <w:rPr>
          <w:rFonts w:ascii="Times New Roman" w:hAnsi="Times New Roman" w:cs="Times New Roman"/>
          <w:bCs/>
          <w:i/>
          <w:iCs/>
          <w:szCs w:val="21"/>
        </w:rPr>
        <w:t xml:space="preserve">P. aeruginosa </w:t>
      </w:r>
      <w:r w:rsidR="0028643F" w:rsidRPr="00040752">
        <w:rPr>
          <w:rFonts w:ascii="Times New Roman" w:hAnsi="Times New Roman" w:cs="Times New Roman"/>
          <w:bCs/>
          <w:szCs w:val="21"/>
        </w:rPr>
        <w:t>(D).</w:t>
      </w:r>
      <w:r w:rsidR="0028643F">
        <w:rPr>
          <w:rFonts w:ascii="Times New Roman" w:hAnsi="Times New Roman" w:cs="Times New Roman"/>
          <w:bCs/>
          <w:szCs w:val="21"/>
        </w:rPr>
        <w:t xml:space="preserve"> </w:t>
      </w:r>
      <w:r w:rsidR="0028643F" w:rsidRPr="00204379">
        <w:rPr>
          <w:rFonts w:ascii="Times New Roman" w:hAnsi="Times New Roman" w:cs="Times New Roman"/>
          <w:bCs/>
          <w:szCs w:val="21"/>
        </w:rPr>
        <w:t>Energy components include van der Waals (VDWAALS), electrostatic (EEL), polar solvation (EGB), and nonpolar solvation (ESURF) energies.</w:t>
      </w:r>
      <w:r w:rsidR="0028643F">
        <w:rPr>
          <w:rFonts w:ascii="Times New Roman" w:hAnsi="Times New Roman" w:cs="Times New Roman"/>
          <w:bCs/>
          <w:szCs w:val="21"/>
        </w:rPr>
        <w:t xml:space="preserve"> </w:t>
      </w:r>
      <w:r w:rsidR="0028643F" w:rsidRPr="00D97B5A">
        <w:rPr>
          <w:rFonts w:ascii="Times New Roman" w:hAnsi="Times New Roman" w:cs="Times New Roman"/>
          <w:color w:val="000000"/>
          <w:sz w:val="27"/>
          <w:szCs w:val="27"/>
        </w:rPr>
        <w:t xml:space="preserve">The right panel </w:t>
      </w:r>
      <w:r w:rsidR="0028643F">
        <w:rPr>
          <w:rFonts w:ascii="Times New Roman" w:hAnsi="Times New Roman" w:cs="Times New Roman"/>
          <w:color w:val="000000"/>
          <w:sz w:val="27"/>
          <w:szCs w:val="27"/>
        </w:rPr>
        <w:t>(E-H) displays p</w:t>
      </w:r>
      <w:r w:rsidR="0028643F" w:rsidRPr="00204379">
        <w:rPr>
          <w:rFonts w:ascii="Times New Roman" w:hAnsi="Times New Roman" w:cs="Times New Roman"/>
          <w:color w:val="000000"/>
          <w:sz w:val="27"/>
          <w:szCs w:val="27"/>
        </w:rPr>
        <w:t xml:space="preserve">er-residue decomposition analysis of the PmrB-ATP binding free energy for </w:t>
      </w:r>
      <w:r w:rsidR="0028643F" w:rsidRPr="00204379">
        <w:rPr>
          <w:rFonts w:ascii="Times New Roman" w:hAnsi="Times New Roman" w:cs="Times New Roman"/>
          <w:i/>
          <w:iCs/>
          <w:color w:val="000000"/>
          <w:sz w:val="27"/>
          <w:szCs w:val="27"/>
        </w:rPr>
        <w:t>A. baumannii</w:t>
      </w:r>
      <w:r w:rsidR="0028643F" w:rsidRPr="00204379">
        <w:rPr>
          <w:rFonts w:ascii="Times New Roman" w:hAnsi="Times New Roman" w:cs="Times New Roman"/>
          <w:color w:val="000000"/>
          <w:sz w:val="27"/>
          <w:szCs w:val="27"/>
        </w:rPr>
        <w:t xml:space="preserve"> (E), </w:t>
      </w:r>
      <w:r w:rsidR="0028643F" w:rsidRPr="00204379">
        <w:rPr>
          <w:rFonts w:ascii="Times New Roman" w:hAnsi="Times New Roman" w:cs="Times New Roman"/>
          <w:i/>
          <w:iCs/>
          <w:color w:val="000000"/>
          <w:sz w:val="27"/>
          <w:szCs w:val="27"/>
        </w:rPr>
        <w:t>E. coli</w:t>
      </w:r>
      <w:r w:rsidR="0028643F" w:rsidRPr="00204379">
        <w:rPr>
          <w:rFonts w:ascii="Times New Roman" w:hAnsi="Times New Roman" w:cs="Times New Roman"/>
          <w:color w:val="000000"/>
          <w:sz w:val="27"/>
          <w:szCs w:val="27"/>
        </w:rPr>
        <w:t xml:space="preserve"> (F), </w:t>
      </w:r>
      <w:r w:rsidR="0028643F" w:rsidRPr="00204379">
        <w:rPr>
          <w:rFonts w:ascii="Times New Roman" w:hAnsi="Times New Roman" w:cs="Times New Roman"/>
          <w:i/>
          <w:iCs/>
          <w:color w:val="000000"/>
          <w:sz w:val="27"/>
          <w:szCs w:val="27"/>
        </w:rPr>
        <w:t>K. pneumoniae</w:t>
      </w:r>
      <w:r w:rsidR="0028643F" w:rsidRPr="00204379">
        <w:rPr>
          <w:rFonts w:ascii="Times New Roman" w:hAnsi="Times New Roman" w:cs="Times New Roman"/>
          <w:color w:val="000000"/>
          <w:sz w:val="27"/>
          <w:szCs w:val="27"/>
        </w:rPr>
        <w:t xml:space="preserve"> (G), and </w:t>
      </w:r>
      <w:r w:rsidR="0028643F" w:rsidRPr="00204379">
        <w:rPr>
          <w:rFonts w:ascii="Times New Roman" w:hAnsi="Times New Roman" w:cs="Times New Roman"/>
          <w:i/>
          <w:iCs/>
          <w:color w:val="000000"/>
          <w:sz w:val="27"/>
          <w:szCs w:val="27"/>
        </w:rPr>
        <w:t>P. aeruginosa</w:t>
      </w:r>
      <w:r w:rsidR="0028643F" w:rsidRPr="00204379">
        <w:rPr>
          <w:rFonts w:ascii="Times New Roman" w:hAnsi="Times New Roman" w:cs="Times New Roman"/>
          <w:color w:val="000000"/>
          <w:sz w:val="27"/>
          <w:szCs w:val="27"/>
        </w:rPr>
        <w:t xml:space="preserve"> (H)</w:t>
      </w:r>
      <w:r w:rsidR="0028643F">
        <w:rPr>
          <w:rFonts w:ascii="Times New Roman" w:hAnsi="Times New Roman" w:cs="Times New Roman"/>
          <w:color w:val="000000"/>
          <w:sz w:val="27"/>
          <w:szCs w:val="27"/>
        </w:rPr>
        <w:t xml:space="preserve"> highlighting individual residues' energetic contribution</w:t>
      </w:r>
      <w:r w:rsidR="0028643F" w:rsidRPr="00D97B5A">
        <w:rPr>
          <w:rFonts w:ascii="Times New Roman" w:hAnsi="Times New Roman" w:cs="Times New Roman"/>
          <w:color w:val="000000"/>
          <w:sz w:val="27"/>
          <w:szCs w:val="27"/>
        </w:rPr>
        <w:t xml:space="preserve"> to the PmrB-ATP </w:t>
      </w:r>
      <w:r w:rsidR="0028643F">
        <w:rPr>
          <w:rFonts w:ascii="Times New Roman" w:hAnsi="Times New Roman" w:cs="Times New Roman"/>
          <w:color w:val="000000"/>
          <w:sz w:val="27"/>
          <w:szCs w:val="27"/>
        </w:rPr>
        <w:t>interaction, where the r</w:t>
      </w:r>
      <w:r w:rsidR="0028643F" w:rsidRPr="00204379">
        <w:rPr>
          <w:rFonts w:ascii="Times New Roman" w:hAnsi="Times New Roman" w:cs="Times New Roman"/>
          <w:color w:val="000000"/>
          <w:sz w:val="27"/>
          <w:szCs w:val="27"/>
        </w:rPr>
        <w:t xml:space="preserve">esidues with negative values contribute favorably to </w:t>
      </w:r>
      <w:r w:rsidR="0028643F">
        <w:rPr>
          <w:rFonts w:ascii="Times New Roman" w:hAnsi="Times New Roman" w:cs="Times New Roman"/>
          <w:color w:val="000000"/>
          <w:sz w:val="27"/>
          <w:szCs w:val="27"/>
        </w:rPr>
        <w:t xml:space="preserve">the </w:t>
      </w:r>
      <w:r w:rsidR="0028643F" w:rsidRPr="00204379">
        <w:rPr>
          <w:rFonts w:ascii="Times New Roman" w:hAnsi="Times New Roman" w:cs="Times New Roman"/>
          <w:color w:val="000000"/>
          <w:sz w:val="27"/>
          <w:szCs w:val="27"/>
        </w:rPr>
        <w:t>binding</w:t>
      </w:r>
      <w:r w:rsidR="0028643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sectPr w:rsidR="00E86B87" w:rsidRPr="00E86B87" w:rsidSect="007D720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7"/>
    <w:rsid w:val="000110F2"/>
    <w:rsid w:val="00030132"/>
    <w:rsid w:val="0005224D"/>
    <w:rsid w:val="000657A1"/>
    <w:rsid w:val="0006698D"/>
    <w:rsid w:val="00076594"/>
    <w:rsid w:val="00087C64"/>
    <w:rsid w:val="000A6098"/>
    <w:rsid w:val="000C62AC"/>
    <w:rsid w:val="000D3725"/>
    <w:rsid w:val="0010204F"/>
    <w:rsid w:val="001229A8"/>
    <w:rsid w:val="0013583F"/>
    <w:rsid w:val="001516E3"/>
    <w:rsid w:val="0016647F"/>
    <w:rsid w:val="001E302C"/>
    <w:rsid w:val="0022290B"/>
    <w:rsid w:val="00265FF1"/>
    <w:rsid w:val="00280F4D"/>
    <w:rsid w:val="0028643F"/>
    <w:rsid w:val="0029255A"/>
    <w:rsid w:val="00303F6B"/>
    <w:rsid w:val="00326AC4"/>
    <w:rsid w:val="003332E1"/>
    <w:rsid w:val="00352AF1"/>
    <w:rsid w:val="003548CB"/>
    <w:rsid w:val="003573D1"/>
    <w:rsid w:val="00357C9A"/>
    <w:rsid w:val="003B2811"/>
    <w:rsid w:val="003B3300"/>
    <w:rsid w:val="003B3DC8"/>
    <w:rsid w:val="003C2D1E"/>
    <w:rsid w:val="003D1E30"/>
    <w:rsid w:val="00403F3C"/>
    <w:rsid w:val="00414C2C"/>
    <w:rsid w:val="00415F4A"/>
    <w:rsid w:val="00416178"/>
    <w:rsid w:val="0045565C"/>
    <w:rsid w:val="004776D4"/>
    <w:rsid w:val="00496A3C"/>
    <w:rsid w:val="004D5758"/>
    <w:rsid w:val="004D5837"/>
    <w:rsid w:val="004E035F"/>
    <w:rsid w:val="00503F3A"/>
    <w:rsid w:val="00515F4C"/>
    <w:rsid w:val="0052493C"/>
    <w:rsid w:val="00554AB5"/>
    <w:rsid w:val="00557D28"/>
    <w:rsid w:val="00572F5F"/>
    <w:rsid w:val="005842FB"/>
    <w:rsid w:val="00585D93"/>
    <w:rsid w:val="00592F25"/>
    <w:rsid w:val="00596CD4"/>
    <w:rsid w:val="005A23D2"/>
    <w:rsid w:val="005B6F72"/>
    <w:rsid w:val="005C49BB"/>
    <w:rsid w:val="0060203E"/>
    <w:rsid w:val="00610960"/>
    <w:rsid w:val="00641E6E"/>
    <w:rsid w:val="006569E5"/>
    <w:rsid w:val="0068462A"/>
    <w:rsid w:val="006A38CE"/>
    <w:rsid w:val="006A3CC4"/>
    <w:rsid w:val="006C11E8"/>
    <w:rsid w:val="006E12A5"/>
    <w:rsid w:val="006E42A2"/>
    <w:rsid w:val="006F00BF"/>
    <w:rsid w:val="0070265B"/>
    <w:rsid w:val="00707932"/>
    <w:rsid w:val="007500DB"/>
    <w:rsid w:val="00752865"/>
    <w:rsid w:val="007863C5"/>
    <w:rsid w:val="007939FA"/>
    <w:rsid w:val="007A0C7F"/>
    <w:rsid w:val="007A4F00"/>
    <w:rsid w:val="007C0DA9"/>
    <w:rsid w:val="007C41DD"/>
    <w:rsid w:val="007D4AED"/>
    <w:rsid w:val="007D720E"/>
    <w:rsid w:val="00804DC4"/>
    <w:rsid w:val="008103AD"/>
    <w:rsid w:val="008203F5"/>
    <w:rsid w:val="0082116A"/>
    <w:rsid w:val="00857003"/>
    <w:rsid w:val="008664BE"/>
    <w:rsid w:val="00866D7C"/>
    <w:rsid w:val="00883EF2"/>
    <w:rsid w:val="008C5C70"/>
    <w:rsid w:val="00906189"/>
    <w:rsid w:val="00910C00"/>
    <w:rsid w:val="00913B9F"/>
    <w:rsid w:val="00920435"/>
    <w:rsid w:val="00935CB8"/>
    <w:rsid w:val="00945459"/>
    <w:rsid w:val="00945EBF"/>
    <w:rsid w:val="0096780E"/>
    <w:rsid w:val="009701C0"/>
    <w:rsid w:val="00991569"/>
    <w:rsid w:val="00992B23"/>
    <w:rsid w:val="00993361"/>
    <w:rsid w:val="009A2050"/>
    <w:rsid w:val="009F2C7F"/>
    <w:rsid w:val="00A1545A"/>
    <w:rsid w:val="00A32CF4"/>
    <w:rsid w:val="00A646B0"/>
    <w:rsid w:val="00A90B66"/>
    <w:rsid w:val="00A936E7"/>
    <w:rsid w:val="00AA0CF9"/>
    <w:rsid w:val="00AC117D"/>
    <w:rsid w:val="00AD0621"/>
    <w:rsid w:val="00AF455F"/>
    <w:rsid w:val="00B14881"/>
    <w:rsid w:val="00B35087"/>
    <w:rsid w:val="00B52FAD"/>
    <w:rsid w:val="00B649B1"/>
    <w:rsid w:val="00BC2AE5"/>
    <w:rsid w:val="00C0570B"/>
    <w:rsid w:val="00C05DCB"/>
    <w:rsid w:val="00C209DB"/>
    <w:rsid w:val="00C27CE9"/>
    <w:rsid w:val="00C34687"/>
    <w:rsid w:val="00C34AB6"/>
    <w:rsid w:val="00C350BA"/>
    <w:rsid w:val="00C40012"/>
    <w:rsid w:val="00C75626"/>
    <w:rsid w:val="00C856AE"/>
    <w:rsid w:val="00C97F6B"/>
    <w:rsid w:val="00CA691B"/>
    <w:rsid w:val="00CC15BB"/>
    <w:rsid w:val="00CD01AD"/>
    <w:rsid w:val="00CE465B"/>
    <w:rsid w:val="00CF6541"/>
    <w:rsid w:val="00D02CD5"/>
    <w:rsid w:val="00D13522"/>
    <w:rsid w:val="00D42981"/>
    <w:rsid w:val="00D452EF"/>
    <w:rsid w:val="00D4536A"/>
    <w:rsid w:val="00D66443"/>
    <w:rsid w:val="00D86636"/>
    <w:rsid w:val="00D97EB8"/>
    <w:rsid w:val="00DA0DF1"/>
    <w:rsid w:val="00DB6477"/>
    <w:rsid w:val="00DC1E56"/>
    <w:rsid w:val="00DE0183"/>
    <w:rsid w:val="00E17085"/>
    <w:rsid w:val="00E65FCE"/>
    <w:rsid w:val="00E74BB9"/>
    <w:rsid w:val="00E80F54"/>
    <w:rsid w:val="00E854E8"/>
    <w:rsid w:val="00E86B87"/>
    <w:rsid w:val="00E940FB"/>
    <w:rsid w:val="00EA1095"/>
    <w:rsid w:val="00EA7279"/>
    <w:rsid w:val="00EB55F9"/>
    <w:rsid w:val="00EB6DE5"/>
    <w:rsid w:val="00EC2AA7"/>
    <w:rsid w:val="00EC482C"/>
    <w:rsid w:val="00ED58C5"/>
    <w:rsid w:val="00ED6CBE"/>
    <w:rsid w:val="00EE2420"/>
    <w:rsid w:val="00F043FC"/>
    <w:rsid w:val="00F254DD"/>
    <w:rsid w:val="00F33C05"/>
    <w:rsid w:val="00F508BF"/>
    <w:rsid w:val="00F579F9"/>
    <w:rsid w:val="00F648B5"/>
    <w:rsid w:val="00F64EB6"/>
    <w:rsid w:val="00F6658B"/>
    <w:rsid w:val="00F80B67"/>
    <w:rsid w:val="00F93034"/>
    <w:rsid w:val="00F93CD0"/>
    <w:rsid w:val="00FA66FB"/>
    <w:rsid w:val="00FC5855"/>
    <w:rsid w:val="00FD17F3"/>
    <w:rsid w:val="00FE6B97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63E46"/>
  <w15:chartTrackingRefBased/>
  <w15:docId w15:val="{4C50A9BD-1749-4D42-8B2B-8F02EF88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B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B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B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B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B8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B8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B8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B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B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B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B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B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B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B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86B8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B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86B8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86B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B87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B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B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B87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B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Nuttapat Anuwongcharoen</dc:creator>
  <cp:keywords/>
  <dc:description/>
  <cp:lastModifiedBy>Nuttapat Anuwongcharoen</cp:lastModifiedBy>
  <cp:revision>8</cp:revision>
  <dcterms:created xsi:type="dcterms:W3CDTF">2025-02-16T21:46:00Z</dcterms:created>
  <dcterms:modified xsi:type="dcterms:W3CDTF">2025-03-21T05:44:00Z</dcterms:modified>
</cp:coreProperties>
</file>