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3E251">
      <w:pPr>
        <w:jc w:val="center"/>
        <w:rPr>
          <w:rFonts w:hint="eastAsia" w:ascii="Times" w:hAnsi="Times" w:eastAsia="Arial" w:cs="Arial"/>
          <w:sz w:val="28"/>
          <w:szCs w:val="28"/>
          <w:highlight w:val="none"/>
          <w:lang w:val="en-US" w:eastAsia="zh-CN"/>
        </w:rPr>
      </w:pPr>
      <w:r>
        <w:rPr>
          <w:rFonts w:hint="eastAsia" w:ascii="Times" w:hAnsi="Times" w:eastAsia="Arial" w:cs="Arial"/>
          <w:sz w:val="28"/>
          <w:szCs w:val="28"/>
          <w:highlight w:val="none"/>
          <w:lang w:val="en-US" w:eastAsia="zh-CN"/>
        </w:rPr>
        <w:t>C</w:t>
      </w:r>
      <w:r>
        <w:rPr>
          <w:rFonts w:hint="default" w:ascii="Times" w:hAnsi="Times" w:eastAsia="Arial" w:cs="Arial"/>
          <w:sz w:val="28"/>
          <w:szCs w:val="28"/>
          <w:highlight w:val="none"/>
          <w:lang w:val="en-US" w:eastAsia="zh-CN"/>
        </w:rPr>
        <w:t>hecklist of</w:t>
      </w:r>
      <w:r>
        <w:rPr>
          <w:rFonts w:hint="eastAsia" w:ascii="Times" w:hAnsi="Times" w:eastAsia="Arial" w:cs="Arial"/>
          <w:sz w:val="28"/>
          <w:szCs w:val="28"/>
          <w:highlight w:val="none"/>
          <w:lang w:val="en-US" w:eastAsia="zh-CN"/>
        </w:rPr>
        <w:t xml:space="preserve"> i</w:t>
      </w:r>
      <w:r>
        <w:rPr>
          <w:rFonts w:hint="default" w:ascii="Times" w:hAnsi="Times" w:eastAsia="Arial" w:cs="Arial"/>
          <w:sz w:val="28"/>
          <w:szCs w:val="28"/>
          <w:highlight w:val="none"/>
          <w:lang w:val="en-US" w:eastAsia="zh-CN"/>
        </w:rPr>
        <w:t>tems</w:t>
      </w:r>
    </w:p>
    <w:tbl>
      <w:tblPr>
        <w:tblStyle w:val="3"/>
        <w:tblW w:w="10952" w:type="dxa"/>
        <w:tblInd w:w="-1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21"/>
        <w:gridCol w:w="629"/>
        <w:gridCol w:w="6594"/>
        <w:gridCol w:w="1608"/>
      </w:tblGrid>
      <w:tr w14:paraId="7063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Align w:val="center"/>
          </w:tcPr>
          <w:p w14:paraId="284BE735">
            <w:pPr>
              <w:jc w:val="cente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Topic</w:t>
            </w:r>
          </w:p>
        </w:tc>
        <w:tc>
          <w:tcPr>
            <w:tcW w:w="629" w:type="dxa"/>
            <w:vAlign w:val="center"/>
          </w:tcPr>
          <w:p w14:paraId="1016DEB8">
            <w:pPr>
              <w:jc w:val="cente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Item No</w:t>
            </w:r>
          </w:p>
        </w:tc>
        <w:tc>
          <w:tcPr>
            <w:tcW w:w="6594" w:type="dxa"/>
            <w:vAlign w:val="center"/>
          </w:tcPr>
          <w:p w14:paraId="706F1BA6">
            <w:pPr>
              <w:jc w:val="cente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Checklist</w:t>
            </w:r>
          </w:p>
        </w:tc>
        <w:tc>
          <w:tcPr>
            <w:tcW w:w="1608" w:type="dxa"/>
            <w:vAlign w:val="center"/>
          </w:tcPr>
          <w:p w14:paraId="07192FA8">
            <w:pPr>
              <w:jc w:val="cente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Reported on line</w:t>
            </w:r>
          </w:p>
        </w:tc>
      </w:tr>
      <w:tr w14:paraId="5FDF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Merge w:val="restart"/>
            <w:vAlign w:val="center"/>
          </w:tcPr>
          <w:p w14:paraId="111EB4A4">
            <w:pPr>
              <w:jc w:val="both"/>
              <w:rPr>
                <w:rFonts w:hint="default" w:ascii="Times" w:hAnsi="Times" w:eastAsia="Arial" w:cs="Arial"/>
                <w:sz w:val="21"/>
                <w:szCs w:val="21"/>
                <w:highlight w:val="none"/>
                <w:lang w:val="en-US" w:eastAsia="zh-CN"/>
              </w:rPr>
            </w:pPr>
            <w:r>
              <w:rPr>
                <w:rFonts w:hint="default" w:ascii="Times" w:hAnsi="Times" w:eastAsia="Arial" w:cs="Arial"/>
                <w:b/>
                <w:bCs/>
                <w:sz w:val="21"/>
                <w:szCs w:val="21"/>
                <w:highlight w:val="none"/>
                <w:lang w:val="en-US" w:eastAsia="zh-CN"/>
              </w:rPr>
              <w:t xml:space="preserve">Title </w:t>
            </w:r>
            <w:r>
              <w:rPr>
                <w:rFonts w:hint="eastAsia" w:ascii="Times" w:hAnsi="Times" w:eastAsia="Arial" w:cs="Arial"/>
                <w:b/>
                <w:bCs/>
                <w:sz w:val="21"/>
                <w:szCs w:val="21"/>
                <w:highlight w:val="none"/>
                <w:lang w:val="en-US" w:eastAsia="zh-CN"/>
              </w:rPr>
              <w:t>and abstract</w:t>
            </w:r>
          </w:p>
        </w:tc>
        <w:tc>
          <w:tcPr>
            <w:tcW w:w="629" w:type="dxa"/>
            <w:vMerge w:val="restart"/>
            <w:vAlign w:val="center"/>
          </w:tcPr>
          <w:p w14:paraId="0FA7584F">
            <w:pPr>
              <w:jc w:val="both"/>
              <w:rPr>
                <w:rFonts w:hint="eastAsia" w:eastAsiaTheme="minorEastAsia"/>
                <w:vertAlign w:val="baseline"/>
                <w:lang w:val="en-US" w:eastAsia="zh-CN"/>
              </w:rPr>
            </w:pPr>
            <w:r>
              <w:rPr>
                <w:rFonts w:hint="eastAsia"/>
                <w:vertAlign w:val="baseline"/>
                <w:lang w:val="en-US" w:eastAsia="zh-CN"/>
              </w:rPr>
              <w:t>1</w:t>
            </w:r>
          </w:p>
        </w:tc>
        <w:tc>
          <w:tcPr>
            <w:tcW w:w="6594" w:type="dxa"/>
          </w:tcPr>
          <w:p w14:paraId="47498DB0">
            <w:pP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(a)Impact of metabolic dysfunction-associated fatty liver disease on the functional cure of nucleoside analogues -treated chronic hepatitis B patients add-on pegylated interferon therapy</w:t>
            </w:r>
          </w:p>
        </w:tc>
        <w:tc>
          <w:tcPr>
            <w:tcW w:w="1608" w:type="dxa"/>
            <w:vAlign w:val="center"/>
          </w:tcPr>
          <w:p w14:paraId="111053F2">
            <w:pPr>
              <w:jc w:val="both"/>
              <w:rPr>
                <w:rFonts w:hint="default" w:eastAsiaTheme="minorEastAsia"/>
                <w:vertAlign w:val="baseline"/>
                <w:lang w:val="en-US" w:eastAsia="zh-CN"/>
              </w:rPr>
            </w:pPr>
            <w:r>
              <w:rPr>
                <w:rFonts w:hint="eastAsia"/>
                <w:vertAlign w:val="baseline"/>
                <w:lang w:val="en-US" w:eastAsia="zh-CN"/>
              </w:rPr>
              <w:t>19-22</w:t>
            </w:r>
          </w:p>
        </w:tc>
      </w:tr>
      <w:tr w14:paraId="558B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Merge w:val="continue"/>
            <w:tcBorders/>
          </w:tcPr>
          <w:p w14:paraId="0ACF65A8">
            <w:pPr>
              <w:rPr>
                <w:rFonts w:hint="eastAsia" w:ascii="Times" w:hAnsi="Times" w:eastAsia="Arial" w:cs="Arial"/>
                <w:sz w:val="21"/>
                <w:szCs w:val="21"/>
                <w:highlight w:val="none"/>
                <w:lang w:val="en-US" w:eastAsia="zh-CN"/>
              </w:rPr>
            </w:pPr>
          </w:p>
        </w:tc>
        <w:tc>
          <w:tcPr>
            <w:tcW w:w="629" w:type="dxa"/>
            <w:vMerge w:val="continue"/>
            <w:tcBorders/>
          </w:tcPr>
          <w:p w14:paraId="16029E23">
            <w:pPr>
              <w:rPr>
                <w:vertAlign w:val="baseline"/>
              </w:rPr>
            </w:pPr>
          </w:p>
        </w:tc>
        <w:tc>
          <w:tcPr>
            <w:tcW w:w="6594" w:type="dxa"/>
          </w:tcPr>
          <w:p w14:paraId="2DDDC9D7">
            <w:pP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(b)MAFLD has no effect on PEG-IFN therapy for NAs-treated CHB patients to achieve functional cure, but CHB patients with MAFLD are less likely to achieve ALT normalization during treatment.</w:t>
            </w:r>
          </w:p>
        </w:tc>
        <w:tc>
          <w:tcPr>
            <w:tcW w:w="1608" w:type="dxa"/>
            <w:vAlign w:val="center"/>
          </w:tcPr>
          <w:p w14:paraId="7306B70E">
            <w:pPr>
              <w:jc w:val="both"/>
              <w:rPr>
                <w:rFonts w:hint="default" w:eastAsiaTheme="minorEastAsia"/>
                <w:vertAlign w:val="baseline"/>
                <w:lang w:val="en-US" w:eastAsia="zh-CN"/>
              </w:rPr>
            </w:pPr>
            <w:r>
              <w:rPr>
                <w:rFonts w:hint="eastAsia"/>
                <w:vertAlign w:val="baseline"/>
                <w:lang w:val="en-US" w:eastAsia="zh-CN"/>
              </w:rPr>
              <w:t>35-59</w:t>
            </w:r>
          </w:p>
        </w:tc>
      </w:tr>
      <w:tr w14:paraId="5E16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52" w:type="dxa"/>
            <w:gridSpan w:val="4"/>
          </w:tcPr>
          <w:p w14:paraId="52AF1FF8">
            <w:pPr>
              <w:rPr>
                <w:rFonts w:hint="default" w:ascii="Times" w:hAnsi="Times" w:eastAsia="Arial" w:cs="Arial"/>
                <w:sz w:val="21"/>
                <w:szCs w:val="21"/>
                <w:highlight w:val="none"/>
                <w:lang w:val="en-US" w:eastAsia="zh-CN"/>
              </w:rPr>
            </w:pPr>
            <w:r>
              <w:rPr>
                <w:rFonts w:hint="eastAsia" w:ascii="Times" w:hAnsi="Times" w:eastAsia="Arial" w:cs="Arial"/>
                <w:b/>
                <w:bCs/>
                <w:sz w:val="21"/>
                <w:szCs w:val="21"/>
                <w:highlight w:val="none"/>
                <w:lang w:val="en-US" w:eastAsia="zh-CN"/>
              </w:rPr>
              <w:t>Introduction</w:t>
            </w:r>
          </w:p>
        </w:tc>
      </w:tr>
      <w:tr w14:paraId="4DD8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5514FB38">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Background/rationale</w:t>
            </w:r>
          </w:p>
        </w:tc>
        <w:tc>
          <w:tcPr>
            <w:tcW w:w="629" w:type="dxa"/>
            <w:vAlign w:val="center"/>
          </w:tcPr>
          <w:p w14:paraId="368101F8">
            <w:pPr>
              <w:jc w:val="both"/>
              <w:rPr>
                <w:rFonts w:hint="eastAsia" w:eastAsiaTheme="minorEastAsia"/>
                <w:vertAlign w:val="baseline"/>
                <w:lang w:val="en-US" w:eastAsia="zh-CN"/>
              </w:rPr>
            </w:pPr>
            <w:r>
              <w:rPr>
                <w:rFonts w:hint="eastAsia"/>
                <w:vertAlign w:val="baseline"/>
                <w:lang w:val="en-US" w:eastAsia="zh-CN"/>
              </w:rPr>
              <w:t>2</w:t>
            </w:r>
          </w:p>
        </w:tc>
        <w:tc>
          <w:tcPr>
            <w:tcW w:w="6594" w:type="dxa"/>
          </w:tcPr>
          <w:p w14:paraId="3B3194D6">
            <w:pP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MAFLD is prevalent among patients with chronic hepatitis B .The impact of MAFLD on the clinical cure of chronic hepatitis B patients with PEG-IFN-alfha therapy remains unclear.</w:t>
            </w:r>
          </w:p>
        </w:tc>
        <w:tc>
          <w:tcPr>
            <w:tcW w:w="1608" w:type="dxa"/>
            <w:vAlign w:val="center"/>
          </w:tcPr>
          <w:p w14:paraId="6DAF4720">
            <w:pPr>
              <w:jc w:val="both"/>
              <w:rPr>
                <w:rFonts w:hint="default" w:eastAsiaTheme="minorEastAsia"/>
                <w:vertAlign w:val="baseline"/>
                <w:lang w:val="en-US" w:eastAsia="zh-CN"/>
              </w:rPr>
            </w:pPr>
            <w:r>
              <w:rPr>
                <w:rFonts w:hint="eastAsia"/>
                <w:vertAlign w:val="baseline"/>
                <w:lang w:val="en-US" w:eastAsia="zh-CN"/>
              </w:rPr>
              <w:t>63-103</w:t>
            </w:r>
          </w:p>
        </w:tc>
      </w:tr>
      <w:tr w14:paraId="0C06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7EE09415">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Objectives</w:t>
            </w:r>
          </w:p>
        </w:tc>
        <w:tc>
          <w:tcPr>
            <w:tcW w:w="629" w:type="dxa"/>
            <w:vAlign w:val="center"/>
          </w:tcPr>
          <w:p w14:paraId="3669B7C3">
            <w:pPr>
              <w:jc w:val="both"/>
              <w:rPr>
                <w:rFonts w:hint="eastAsia" w:eastAsiaTheme="minorEastAsia"/>
                <w:vertAlign w:val="baseline"/>
                <w:lang w:val="en-US" w:eastAsia="zh-CN"/>
              </w:rPr>
            </w:pPr>
            <w:r>
              <w:rPr>
                <w:rFonts w:hint="eastAsia"/>
                <w:vertAlign w:val="baseline"/>
                <w:lang w:val="en-US" w:eastAsia="zh-CN"/>
              </w:rPr>
              <w:t>3</w:t>
            </w:r>
          </w:p>
        </w:tc>
        <w:tc>
          <w:tcPr>
            <w:tcW w:w="6594" w:type="dxa"/>
          </w:tcPr>
          <w:p w14:paraId="7142D7CC">
            <w:pPr>
              <w:rPr>
                <w:vertAlign w:val="baseline"/>
              </w:rPr>
            </w:pPr>
            <w:r>
              <w:rPr>
                <w:rFonts w:hint="eastAsia" w:ascii="Times" w:hAnsi="Times" w:eastAsia="Arial" w:cs="Arial"/>
                <w:sz w:val="21"/>
                <w:szCs w:val="21"/>
                <w:highlight w:val="none"/>
                <w:lang w:val="en-US" w:eastAsia="zh-CN"/>
              </w:rPr>
              <w:t>T</w:t>
            </w:r>
            <w:r>
              <w:rPr>
                <w:rFonts w:hint="default" w:ascii="Times" w:hAnsi="Times" w:eastAsia="Arial" w:cs="Arial"/>
                <w:sz w:val="21"/>
                <w:szCs w:val="21"/>
                <w:highlight w:val="none"/>
                <w:lang w:val="en-US" w:eastAsia="zh-CN"/>
              </w:rPr>
              <w:t xml:space="preserve">he primary purpose of this study is to observe the impact of MAFLD on achieving HBsAg clearance in </w:t>
            </w:r>
            <w:r>
              <w:rPr>
                <w:rFonts w:hint="eastAsia" w:ascii="Times" w:hAnsi="Times" w:eastAsia="Arial" w:cs="Arial"/>
                <w:sz w:val="21"/>
                <w:szCs w:val="21"/>
                <w:highlight w:val="none"/>
                <w:lang w:val="en-US" w:eastAsia="zh-CN"/>
              </w:rPr>
              <w:t>NAs</w:t>
            </w:r>
            <w:r>
              <w:rPr>
                <w:rFonts w:hint="default" w:ascii="Times" w:hAnsi="Times" w:eastAsia="Arial" w:cs="Arial"/>
                <w:sz w:val="21"/>
                <w:szCs w:val="21"/>
                <w:highlight w:val="none"/>
                <w:lang w:val="en-US" w:eastAsia="zh-CN"/>
              </w:rPr>
              <w:t>-treated CHB patients receiving PEG-IFN therapy.</w:t>
            </w:r>
          </w:p>
        </w:tc>
        <w:tc>
          <w:tcPr>
            <w:tcW w:w="1608" w:type="dxa"/>
            <w:vAlign w:val="center"/>
          </w:tcPr>
          <w:p w14:paraId="4B78B19F">
            <w:pPr>
              <w:jc w:val="both"/>
              <w:rPr>
                <w:rFonts w:hint="default" w:eastAsiaTheme="minorEastAsia"/>
                <w:vertAlign w:val="baseline"/>
                <w:lang w:val="en-US" w:eastAsia="zh-CN"/>
              </w:rPr>
            </w:pPr>
            <w:r>
              <w:rPr>
                <w:rFonts w:hint="eastAsia"/>
                <w:vertAlign w:val="baseline"/>
                <w:lang w:val="en-US" w:eastAsia="zh-CN"/>
              </w:rPr>
              <w:t>104-105</w:t>
            </w:r>
          </w:p>
        </w:tc>
      </w:tr>
      <w:tr w14:paraId="254D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52" w:type="dxa"/>
            <w:gridSpan w:val="4"/>
          </w:tcPr>
          <w:p w14:paraId="4926A490">
            <w:pPr>
              <w:rPr>
                <w:rFonts w:hint="eastAsia" w:ascii="Times" w:hAnsi="Times" w:eastAsia="Arial" w:cs="Arial"/>
                <w:sz w:val="21"/>
                <w:szCs w:val="21"/>
                <w:highlight w:val="none"/>
                <w:lang w:val="en-US" w:eastAsia="zh-CN"/>
              </w:rPr>
            </w:pPr>
            <w:r>
              <w:rPr>
                <w:rFonts w:hint="eastAsia" w:ascii="Times" w:hAnsi="Times" w:eastAsia="Arial" w:cs="Arial"/>
                <w:b/>
                <w:bCs/>
                <w:sz w:val="21"/>
                <w:szCs w:val="21"/>
                <w:highlight w:val="none"/>
                <w:lang w:val="en-US" w:eastAsia="zh-CN"/>
              </w:rPr>
              <w:t>Methods</w:t>
            </w:r>
          </w:p>
        </w:tc>
      </w:tr>
      <w:tr w14:paraId="228F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30" w:hRule="atLeast"/>
        </w:trPr>
        <w:tc>
          <w:tcPr>
            <w:tcW w:w="2121" w:type="dxa"/>
            <w:vAlign w:val="center"/>
          </w:tcPr>
          <w:p w14:paraId="5C8524CF">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Study design</w:t>
            </w:r>
          </w:p>
        </w:tc>
        <w:tc>
          <w:tcPr>
            <w:tcW w:w="629" w:type="dxa"/>
            <w:vAlign w:val="center"/>
          </w:tcPr>
          <w:p w14:paraId="45C4F51B">
            <w:pPr>
              <w:jc w:val="both"/>
              <w:rPr>
                <w:rFonts w:hint="eastAsia" w:eastAsiaTheme="minorEastAsia"/>
                <w:vertAlign w:val="baseline"/>
                <w:lang w:val="en-US" w:eastAsia="zh-CN"/>
              </w:rPr>
            </w:pPr>
            <w:r>
              <w:rPr>
                <w:rFonts w:hint="eastAsia"/>
                <w:vertAlign w:val="baseline"/>
                <w:lang w:val="en-US" w:eastAsia="zh-CN"/>
              </w:rPr>
              <w:t>4</w:t>
            </w:r>
          </w:p>
        </w:tc>
        <w:tc>
          <w:tcPr>
            <w:tcW w:w="6594" w:type="dxa"/>
          </w:tcPr>
          <w:p w14:paraId="5FADEB99">
            <w:pPr>
              <w:rPr>
                <w:rFonts w:hint="default" w:ascii="Times" w:hAnsi="Times" w:eastAsia="Arial" w:cs="Arial"/>
                <w:sz w:val="21"/>
                <w:szCs w:val="21"/>
                <w:highlight w:val="none"/>
                <w:lang w:val="en-US" w:eastAsia="en-US"/>
              </w:rPr>
            </w:pPr>
            <w:r>
              <w:rPr>
                <w:rFonts w:hint="default" w:ascii="Times" w:hAnsi="Times" w:eastAsia="Arial" w:cs="Arial"/>
                <w:sz w:val="21"/>
                <w:szCs w:val="21"/>
                <w:highlight w:val="none"/>
                <w:lang w:val="en-US" w:eastAsia="en-US"/>
              </w:rPr>
              <w:t xml:space="preserve">A retrospective analysis was performed on </w:t>
            </w:r>
            <w:r>
              <w:rPr>
                <w:rFonts w:hint="default" w:ascii="Times" w:hAnsi="Times" w:eastAsia="Arial" w:cs="Arial"/>
                <w:sz w:val="21"/>
                <w:szCs w:val="21"/>
                <w:highlight w:val="none"/>
                <w:lang w:val="en-US" w:eastAsia="zh-CN"/>
              </w:rPr>
              <w:t>NAs</w:t>
            </w:r>
            <w:r>
              <w:rPr>
                <w:rFonts w:hint="default" w:ascii="Times" w:hAnsi="Times" w:eastAsia="Arial" w:cs="Arial"/>
                <w:sz w:val="21"/>
                <w:szCs w:val="21"/>
                <w:highlight w:val="none"/>
                <w:lang w:val="en-US" w:eastAsia="en-US"/>
              </w:rPr>
              <w:t>-treated CHB patients who underwent PEG-IFN combination therapy . The patients were divided into CHB group and CHB-MAFLD group based on whether they were complicated with fatty liver. The primary endpoint was to assess the difference in HBsAg seroclearance rates between the two groups, and the secondary endpoint was to evaluate the differences in biochemical parameters and adverse reactions.</w:t>
            </w:r>
          </w:p>
          <w:p w14:paraId="44661AC4">
            <w:pPr>
              <w:rPr>
                <w:rFonts w:hint="eastAsia" w:ascii="Times" w:hAnsi="Times" w:eastAsia="Arial" w:cs="Arial"/>
                <w:sz w:val="21"/>
                <w:szCs w:val="21"/>
                <w:highlight w:val="none"/>
                <w:lang w:val="en-US" w:eastAsia="zh-CN"/>
              </w:rPr>
            </w:pPr>
          </w:p>
        </w:tc>
        <w:tc>
          <w:tcPr>
            <w:tcW w:w="1608" w:type="dxa"/>
            <w:vAlign w:val="center"/>
          </w:tcPr>
          <w:p w14:paraId="500420C4">
            <w:pPr>
              <w:jc w:val="both"/>
              <w:rPr>
                <w:rFonts w:hint="default" w:eastAsiaTheme="minorEastAsia"/>
                <w:vertAlign w:val="baseline"/>
                <w:lang w:val="en-US" w:eastAsia="zh-CN"/>
              </w:rPr>
            </w:pPr>
            <w:r>
              <w:rPr>
                <w:rFonts w:hint="eastAsia"/>
                <w:vertAlign w:val="baseline"/>
                <w:lang w:val="en-US" w:eastAsia="zh-CN"/>
              </w:rPr>
              <w:t>118-130</w:t>
            </w:r>
          </w:p>
        </w:tc>
      </w:tr>
      <w:tr w14:paraId="2FC1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41D0183E">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Setting</w:t>
            </w:r>
          </w:p>
        </w:tc>
        <w:tc>
          <w:tcPr>
            <w:tcW w:w="629" w:type="dxa"/>
            <w:vAlign w:val="center"/>
          </w:tcPr>
          <w:p w14:paraId="2C0FB6FE">
            <w:pPr>
              <w:jc w:val="both"/>
              <w:rPr>
                <w:rFonts w:hint="eastAsia" w:eastAsiaTheme="minorEastAsia"/>
                <w:vertAlign w:val="baseline"/>
                <w:lang w:val="en-US" w:eastAsia="zh-CN"/>
              </w:rPr>
            </w:pPr>
            <w:r>
              <w:rPr>
                <w:rFonts w:hint="eastAsia"/>
                <w:vertAlign w:val="baseline"/>
                <w:lang w:val="en-US" w:eastAsia="zh-CN"/>
              </w:rPr>
              <w:t>5</w:t>
            </w:r>
          </w:p>
        </w:tc>
        <w:tc>
          <w:tcPr>
            <w:tcW w:w="6594" w:type="dxa"/>
          </w:tcPr>
          <w:p w14:paraId="6D7B857D">
            <w:pPr>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This study retrospectively collected the clinical data from NAs-treated CHB patients receiving Peg-IFN therapy at the Affiliated Hospital of Xuzhou Medical University from September 1, 2018, to December 31, 2022.</w:t>
            </w:r>
          </w:p>
        </w:tc>
        <w:tc>
          <w:tcPr>
            <w:tcW w:w="1608" w:type="dxa"/>
            <w:vAlign w:val="center"/>
          </w:tcPr>
          <w:p w14:paraId="265D156D">
            <w:pPr>
              <w:jc w:val="both"/>
              <w:rPr>
                <w:rFonts w:hint="default" w:eastAsiaTheme="minorEastAsia"/>
                <w:vertAlign w:val="baseline"/>
                <w:lang w:val="en-US" w:eastAsia="zh-CN"/>
              </w:rPr>
            </w:pPr>
            <w:r>
              <w:rPr>
                <w:rFonts w:hint="eastAsia"/>
                <w:vertAlign w:val="baseline"/>
                <w:lang w:val="en-US" w:eastAsia="zh-CN"/>
              </w:rPr>
              <w:t>108-110</w:t>
            </w:r>
          </w:p>
        </w:tc>
      </w:tr>
      <w:tr w14:paraId="760C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5FED6619">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Participants</w:t>
            </w:r>
          </w:p>
        </w:tc>
        <w:tc>
          <w:tcPr>
            <w:tcW w:w="629" w:type="dxa"/>
            <w:vAlign w:val="center"/>
          </w:tcPr>
          <w:p w14:paraId="357E0381">
            <w:pPr>
              <w:jc w:val="both"/>
              <w:rPr>
                <w:rFonts w:hint="eastAsia" w:eastAsiaTheme="minorEastAsia"/>
                <w:vertAlign w:val="baseline"/>
                <w:lang w:val="en-US" w:eastAsia="zh-CN"/>
              </w:rPr>
            </w:pPr>
            <w:r>
              <w:rPr>
                <w:rFonts w:hint="eastAsia"/>
                <w:vertAlign w:val="baseline"/>
                <w:lang w:val="en-US" w:eastAsia="zh-CN"/>
              </w:rPr>
              <w:t>6</w:t>
            </w:r>
          </w:p>
        </w:tc>
        <w:tc>
          <w:tcPr>
            <w:tcW w:w="6594" w:type="dxa"/>
          </w:tcPr>
          <w:p w14:paraId="49E950C0">
            <w:pPr>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 xml:space="preserve">Inclusion criteria :(1) age ≥18 years old; (2) CHB diagnosis meeting the criteria of the "Chinese guidelines for the prevention and treatment of chronic hepatitis B (version 2022)"; (3)NAs treatment duration ≥1 year; (4) levels of serum HBV DNA &lt; 20 IU/mL; (5)available liver ultrasound or FibroScan or other abdominal imaging reports before initial interferon treatment and at the end of follow-up. </w:t>
            </w:r>
          </w:p>
          <w:p w14:paraId="73BD1E85">
            <w:pPr>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Exclusion criteria :(1) co-infection with other viruses (such as HCV, HDV, HIV, etc.); (2)concurrent alcoholic hepatitis, autoimmune liver disease, decompensated liver disease, or other severe diseases such as malignancies; (3)pregnant or lactating women; (4) lack of baseline or follow-up data.</w:t>
            </w:r>
          </w:p>
        </w:tc>
        <w:tc>
          <w:tcPr>
            <w:tcW w:w="1608" w:type="dxa"/>
            <w:vAlign w:val="center"/>
          </w:tcPr>
          <w:p w14:paraId="18186290">
            <w:pPr>
              <w:jc w:val="both"/>
              <w:rPr>
                <w:rFonts w:hint="default" w:eastAsiaTheme="minorEastAsia"/>
                <w:vertAlign w:val="baseline"/>
                <w:lang w:val="en-US" w:eastAsia="zh-CN"/>
              </w:rPr>
            </w:pPr>
            <w:r>
              <w:rPr>
                <w:rFonts w:hint="eastAsia"/>
                <w:vertAlign w:val="baseline"/>
                <w:lang w:val="en-US" w:eastAsia="zh-CN"/>
              </w:rPr>
              <w:t>110-117</w:t>
            </w:r>
          </w:p>
        </w:tc>
      </w:tr>
      <w:tr w14:paraId="3910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top"/>
          </w:tcPr>
          <w:p w14:paraId="27E817C3">
            <w:pPr>
              <w:jc w:val="both"/>
              <w:rPr>
                <w:rFonts w:hint="eastAsia"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Variables</w:t>
            </w:r>
          </w:p>
          <w:p w14:paraId="2367D448">
            <w:pPr>
              <w:jc w:val="both"/>
              <w:rPr>
                <w:rFonts w:hint="eastAsia" w:ascii="Times" w:hAnsi="Times" w:eastAsia="Arial" w:cs="Arial"/>
                <w:sz w:val="21"/>
                <w:szCs w:val="21"/>
                <w:highlight w:val="none"/>
                <w:lang w:val="en-US" w:eastAsia="zh-CN"/>
              </w:rPr>
            </w:pPr>
          </w:p>
        </w:tc>
        <w:tc>
          <w:tcPr>
            <w:tcW w:w="629" w:type="dxa"/>
          </w:tcPr>
          <w:p w14:paraId="082221EF">
            <w:pPr>
              <w:rPr>
                <w:rFonts w:hint="eastAsia" w:eastAsiaTheme="minorEastAsia"/>
                <w:vertAlign w:val="baseline"/>
                <w:lang w:val="en-US" w:eastAsia="zh-CN"/>
              </w:rPr>
            </w:pPr>
            <w:r>
              <w:rPr>
                <w:rFonts w:hint="eastAsia"/>
                <w:vertAlign w:val="baseline"/>
                <w:lang w:val="en-US" w:eastAsia="zh-CN"/>
              </w:rPr>
              <w:t>7</w:t>
            </w:r>
          </w:p>
        </w:tc>
        <w:tc>
          <w:tcPr>
            <w:tcW w:w="6594" w:type="dxa"/>
          </w:tcPr>
          <w:p w14:paraId="46675325">
            <w:pPr>
              <w:rPr>
                <w:rFonts w:hint="eastAsia"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Variables related to patient age</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sex</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family</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history</w:t>
            </w:r>
            <w:r>
              <w:rPr>
                <w:rFonts w:hint="eastAsia" w:ascii="Times" w:hAnsi="Times" w:eastAsia="Arial" w:cs="Arial"/>
                <w:sz w:val="21"/>
                <w:szCs w:val="21"/>
                <w:highlight w:val="none"/>
                <w:lang w:val="en-US" w:eastAsia="zh-CN"/>
              </w:rPr>
              <w:t>,</w:t>
            </w:r>
            <w:r>
              <w:rPr>
                <w:rFonts w:hint="default" w:ascii="Times" w:hAnsi="Times" w:eastAsia="Arial" w:cs="Arial"/>
                <w:sz w:val="21"/>
                <w:szCs w:val="21"/>
                <w:highlight w:val="none"/>
                <w:lang w:val="en-US" w:eastAsia="zh-CN"/>
              </w:rPr>
              <w:t xml:space="preserve"> NAs type and treatment duration</w:t>
            </w:r>
            <w:r>
              <w:rPr>
                <w:rFonts w:hint="eastAsia" w:ascii="Times" w:hAnsi="Times" w:eastAsia="Arial" w:cs="Arial"/>
                <w:sz w:val="21"/>
                <w:szCs w:val="21"/>
                <w:highlight w:val="none"/>
                <w:lang w:val="en-US" w:eastAsia="zh-CN"/>
              </w:rPr>
              <w:t>,</w:t>
            </w:r>
            <w:r>
              <w:rPr>
                <w:rFonts w:hint="default" w:ascii="Times" w:hAnsi="Times" w:eastAsia="Arial" w:cs="Arial"/>
                <w:sz w:val="21"/>
                <w:szCs w:val="21"/>
                <w:highlight w:val="none"/>
                <w:lang w:val="en-US" w:eastAsia="zh-CN"/>
              </w:rPr>
              <w:t xml:space="preserve"> adverse reactions</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HBV DNA, HBV serum infection markers</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complete blood count</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blood biochemistry</w:t>
            </w:r>
            <w:r>
              <w:rPr>
                <w:rFonts w:hint="eastAsia" w:ascii="Times" w:hAnsi="Times" w:eastAsia="Arial" w:cs="Arial"/>
                <w:sz w:val="21"/>
                <w:szCs w:val="21"/>
                <w:highlight w:val="none"/>
                <w:lang w:val="en-US" w:eastAsia="zh-CN"/>
              </w:rPr>
              <w:t xml:space="preserve"> and imaging were collected</w:t>
            </w:r>
          </w:p>
        </w:tc>
        <w:tc>
          <w:tcPr>
            <w:tcW w:w="1608" w:type="dxa"/>
          </w:tcPr>
          <w:p w14:paraId="5313F180">
            <w:pPr>
              <w:rPr>
                <w:rFonts w:hint="default" w:eastAsiaTheme="minorEastAsia"/>
                <w:vertAlign w:val="baseline"/>
                <w:lang w:val="en-US" w:eastAsia="zh-CN"/>
              </w:rPr>
            </w:pPr>
            <w:r>
              <w:rPr>
                <w:rFonts w:hint="eastAsia"/>
                <w:vertAlign w:val="baseline"/>
                <w:lang w:val="en-US" w:eastAsia="zh-CN"/>
              </w:rPr>
              <w:t>133-135</w:t>
            </w:r>
          </w:p>
        </w:tc>
      </w:tr>
      <w:tr w14:paraId="119D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52B3EAB5">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 xml:space="preserve">Data sources/ </w:t>
            </w:r>
          </w:p>
          <w:p w14:paraId="5C55BAB6">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measurement</w:t>
            </w:r>
          </w:p>
        </w:tc>
        <w:tc>
          <w:tcPr>
            <w:tcW w:w="629" w:type="dxa"/>
            <w:vAlign w:val="center"/>
          </w:tcPr>
          <w:p w14:paraId="097A393E">
            <w:pPr>
              <w:jc w:val="both"/>
              <w:rPr>
                <w:rFonts w:hint="default"/>
                <w:vertAlign w:val="baseline"/>
                <w:lang w:val="en-US" w:eastAsia="zh-CN"/>
              </w:rPr>
            </w:pPr>
            <w:r>
              <w:rPr>
                <w:rFonts w:hint="eastAsia"/>
                <w:vertAlign w:val="baseline"/>
                <w:lang w:val="en-US" w:eastAsia="zh-CN"/>
              </w:rPr>
              <w:t>8</w:t>
            </w:r>
          </w:p>
        </w:tc>
        <w:tc>
          <w:tcPr>
            <w:tcW w:w="6594" w:type="dxa"/>
          </w:tcPr>
          <w:p w14:paraId="5069D54E">
            <w:pPr>
              <w:tabs>
                <w:tab w:val="left" w:pos="813"/>
              </w:tabs>
              <w:bidi w:val="0"/>
              <w:jc w:val="left"/>
              <w:rPr>
                <w:rFonts w:hint="default" w:asciiTheme="minorHAnsi" w:hAnsiTheme="minorHAnsi" w:eastAsiaTheme="minorEastAsia" w:cstheme="minorBidi"/>
                <w:kern w:val="2"/>
                <w:sz w:val="21"/>
                <w:szCs w:val="24"/>
                <w:lang w:val="en-US" w:eastAsia="zh-CN" w:bidi="ar-SA"/>
              </w:rPr>
            </w:pPr>
            <w:r>
              <w:rPr>
                <w:rFonts w:hint="eastAsia" w:ascii="Times" w:hAnsi="Times" w:eastAsia="Arial" w:cs="Arial"/>
                <w:sz w:val="21"/>
                <w:szCs w:val="21"/>
                <w:highlight w:val="none"/>
                <w:lang w:val="en-US" w:eastAsia="zh-CN"/>
              </w:rPr>
              <w:t>The clinical data of patients were obtained from the electronic medical record system of Xuzhou Medical University Affiliated Hospital. Patient information was updated every three months based on outpatient records and telephone follow-ups.</w:t>
            </w:r>
          </w:p>
        </w:tc>
        <w:tc>
          <w:tcPr>
            <w:tcW w:w="1608" w:type="dxa"/>
            <w:vAlign w:val="center"/>
          </w:tcPr>
          <w:p w14:paraId="50E46FA6">
            <w:pPr>
              <w:jc w:val="both"/>
              <w:rPr>
                <w:rFonts w:hint="default" w:eastAsiaTheme="minorEastAsia"/>
                <w:vertAlign w:val="baseline"/>
                <w:lang w:val="en-US" w:eastAsia="zh-CN"/>
              </w:rPr>
            </w:pPr>
            <w:r>
              <w:rPr>
                <w:rFonts w:hint="eastAsia"/>
                <w:vertAlign w:val="baseline"/>
                <w:lang w:val="en-US" w:eastAsia="zh-CN"/>
              </w:rPr>
              <w:t>132-136</w:t>
            </w:r>
          </w:p>
        </w:tc>
      </w:tr>
      <w:tr w14:paraId="4317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89" w:hRule="atLeast"/>
        </w:trPr>
        <w:tc>
          <w:tcPr>
            <w:tcW w:w="2121" w:type="dxa"/>
            <w:vAlign w:val="center"/>
          </w:tcPr>
          <w:p w14:paraId="62FD84F6">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Statistical methods</w:t>
            </w:r>
          </w:p>
        </w:tc>
        <w:tc>
          <w:tcPr>
            <w:tcW w:w="629" w:type="dxa"/>
            <w:vAlign w:val="center"/>
          </w:tcPr>
          <w:p w14:paraId="16CE6232">
            <w:pPr>
              <w:jc w:val="both"/>
              <w:rPr>
                <w:rFonts w:hint="default"/>
                <w:vertAlign w:val="baseline"/>
                <w:lang w:val="en-US" w:eastAsia="zh-CN"/>
              </w:rPr>
            </w:pPr>
            <w:r>
              <w:rPr>
                <w:rFonts w:hint="eastAsia"/>
                <w:vertAlign w:val="baseline"/>
                <w:lang w:val="en-US" w:eastAsia="zh-CN"/>
              </w:rPr>
              <w:t>9</w:t>
            </w:r>
          </w:p>
        </w:tc>
        <w:tc>
          <w:tcPr>
            <w:tcW w:w="6594" w:type="dxa"/>
          </w:tcPr>
          <w:p w14:paraId="57C8938B">
            <w:pPr>
              <w:tabs>
                <w:tab w:val="left" w:pos="813"/>
              </w:tabs>
              <w:bidi w:val="0"/>
              <w:jc w:val="left"/>
              <w:rPr>
                <w:rFonts w:hint="eastAsia"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All measurement data were non-normal continuous distributions. The Mann-Whitney U test was used to compare independent samples between the two groups and presented as the median (P25, P75). Categorical data are expressed as percentages (%) and were compared using the chi-square test. Binary logistic regression was used to analyze factors associated with HBsAg seroclearance. Propensity score matching (PSM) was performed to overcome baseline imbalances. Kaplan-Meier survival analysis was employed to compare the cumulative incidence of HBsAg seroclearance in predefined groups, with the log-rank test used to evaluate survival curves. A P value &lt; 0.05 was considered to indicate statistical significance.</w:t>
            </w:r>
          </w:p>
          <w:p w14:paraId="5D2BE643">
            <w:pPr>
              <w:rPr>
                <w:rFonts w:hint="default" w:ascii="Times" w:hAnsi="Times" w:eastAsia="Arial" w:cs="Arial"/>
                <w:sz w:val="21"/>
                <w:szCs w:val="21"/>
                <w:highlight w:val="none"/>
                <w:lang w:val="en-US" w:eastAsia="zh-CN"/>
              </w:rPr>
            </w:pPr>
          </w:p>
        </w:tc>
        <w:tc>
          <w:tcPr>
            <w:tcW w:w="1608" w:type="dxa"/>
            <w:vAlign w:val="center"/>
          </w:tcPr>
          <w:p w14:paraId="00077174">
            <w:pPr>
              <w:jc w:val="both"/>
              <w:rPr>
                <w:rFonts w:hint="default" w:eastAsiaTheme="minorEastAsia"/>
                <w:vertAlign w:val="baseline"/>
                <w:lang w:val="en-US" w:eastAsia="zh-CN"/>
              </w:rPr>
            </w:pPr>
            <w:r>
              <w:rPr>
                <w:rFonts w:hint="eastAsia"/>
                <w:vertAlign w:val="baseline"/>
                <w:lang w:val="en-US" w:eastAsia="zh-CN"/>
              </w:rPr>
              <w:t>144-153</w:t>
            </w:r>
          </w:p>
        </w:tc>
      </w:tr>
      <w:tr w14:paraId="2605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52" w:type="dxa"/>
            <w:gridSpan w:val="4"/>
          </w:tcPr>
          <w:p w14:paraId="709EC19A">
            <w:pPr>
              <w:rPr>
                <w:rFonts w:hint="eastAsia" w:ascii="Times" w:hAnsi="Times" w:eastAsia="Arial" w:cs="Arial"/>
                <w:sz w:val="21"/>
                <w:szCs w:val="21"/>
                <w:highlight w:val="none"/>
                <w:lang w:val="en-US" w:eastAsia="zh-CN"/>
              </w:rPr>
            </w:pPr>
            <w:r>
              <w:rPr>
                <w:rFonts w:hint="eastAsia" w:ascii="Times" w:hAnsi="Times" w:eastAsia="Arial" w:cs="Arial"/>
                <w:b/>
                <w:bCs/>
                <w:sz w:val="21"/>
                <w:szCs w:val="21"/>
                <w:highlight w:val="none"/>
                <w:lang w:val="en-US" w:eastAsia="zh-CN"/>
              </w:rPr>
              <w:t>Results</w:t>
            </w:r>
          </w:p>
        </w:tc>
      </w:tr>
      <w:tr w14:paraId="4E29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61601697">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Participants</w:t>
            </w:r>
          </w:p>
        </w:tc>
        <w:tc>
          <w:tcPr>
            <w:tcW w:w="629" w:type="dxa"/>
            <w:vAlign w:val="center"/>
          </w:tcPr>
          <w:p w14:paraId="186CB566">
            <w:pPr>
              <w:jc w:val="both"/>
              <w:rPr>
                <w:rFonts w:hint="default"/>
                <w:vertAlign w:val="baseline"/>
                <w:lang w:val="en-US" w:eastAsia="zh-CN"/>
              </w:rPr>
            </w:pPr>
            <w:r>
              <w:rPr>
                <w:rFonts w:hint="eastAsia"/>
                <w:vertAlign w:val="baseline"/>
                <w:lang w:val="en-US" w:eastAsia="zh-CN"/>
              </w:rPr>
              <w:t>10</w:t>
            </w:r>
          </w:p>
        </w:tc>
        <w:tc>
          <w:tcPr>
            <w:tcW w:w="6594" w:type="dxa"/>
          </w:tcPr>
          <w:p w14:paraId="32561304">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Report numbers of individuals of study</w:t>
            </w:r>
            <w:r>
              <w:rPr>
                <w:rFonts w:hint="eastAsia" w:ascii="Times" w:hAnsi="Times" w:eastAsia="Arial" w:cs="Arial"/>
                <w:sz w:val="21"/>
                <w:szCs w:val="21"/>
                <w:highlight w:val="none"/>
                <w:lang w:val="en-US" w:eastAsia="zh-CN"/>
              </w:rPr>
              <w:t>－eg:</w:t>
            </w:r>
            <w:r>
              <w:rPr>
                <w:rFonts w:hint="default" w:ascii="Times" w:hAnsi="Times" w:eastAsia="Arial" w:cs="Arial"/>
                <w:sz w:val="21"/>
                <w:szCs w:val="21"/>
                <w:highlight w:val="none"/>
                <w:lang w:val="en-US" w:eastAsia="zh-CN"/>
              </w:rPr>
              <w:t>numbers potentially eligible, confirmed eligible, included in the study, completing follow-up, and analysed</w:t>
            </w:r>
          </w:p>
          <w:p w14:paraId="174304F9">
            <w:pPr>
              <w:tabs>
                <w:tab w:val="left" w:pos="813"/>
              </w:tabs>
              <w:bidi w:val="0"/>
              <w:jc w:val="left"/>
              <w:rPr>
                <w:rFonts w:hint="default" w:ascii="Times" w:hAnsi="Times" w:eastAsia="Arial" w:cs="Arial"/>
                <w:sz w:val="21"/>
                <w:szCs w:val="21"/>
                <w:highlight w:val="none"/>
                <w:lang w:val="en-US" w:eastAsia="zh-CN"/>
              </w:rPr>
            </w:pPr>
          </w:p>
        </w:tc>
        <w:tc>
          <w:tcPr>
            <w:tcW w:w="1608" w:type="dxa"/>
            <w:vAlign w:val="center"/>
          </w:tcPr>
          <w:p w14:paraId="64434CFD">
            <w:pPr>
              <w:jc w:val="both"/>
              <w:rPr>
                <w:vertAlign w:val="baseline"/>
              </w:rPr>
            </w:pPr>
            <w:r>
              <w:rPr>
                <w:rFonts w:hint="default" w:ascii="Times" w:hAnsi="Times" w:eastAsia="Arial" w:cs="Arial"/>
                <w:sz w:val="21"/>
                <w:szCs w:val="21"/>
                <w:highlight w:val="none"/>
                <w:lang w:val="en-US" w:eastAsia="zh-CN"/>
              </w:rPr>
              <w:t>Figure 1</w:t>
            </w:r>
          </w:p>
        </w:tc>
      </w:tr>
      <w:tr w14:paraId="7839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Align w:val="center"/>
          </w:tcPr>
          <w:p w14:paraId="2EA42794">
            <w:pPr>
              <w:jc w:val="both"/>
              <w:rPr>
                <w:rFonts w:hint="eastAsia"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Descriptive data</w:t>
            </w:r>
          </w:p>
          <w:p w14:paraId="458105A2">
            <w:pPr>
              <w:jc w:val="both"/>
              <w:rPr>
                <w:rFonts w:hint="eastAsia" w:ascii="Times" w:hAnsi="Times" w:eastAsia="Arial" w:cs="Arial"/>
                <w:sz w:val="21"/>
                <w:szCs w:val="21"/>
                <w:highlight w:val="none"/>
                <w:lang w:val="en-US" w:eastAsia="zh-CN"/>
              </w:rPr>
            </w:pPr>
          </w:p>
        </w:tc>
        <w:tc>
          <w:tcPr>
            <w:tcW w:w="629" w:type="dxa"/>
            <w:vAlign w:val="center"/>
          </w:tcPr>
          <w:p w14:paraId="5FE3B26E">
            <w:pPr>
              <w:jc w:val="both"/>
              <w:rPr>
                <w:rFonts w:hint="default"/>
                <w:vertAlign w:val="baseline"/>
                <w:lang w:val="en-US" w:eastAsia="zh-CN"/>
              </w:rPr>
            </w:pPr>
            <w:r>
              <w:rPr>
                <w:rFonts w:hint="eastAsia"/>
                <w:vertAlign w:val="baseline"/>
                <w:lang w:val="en-US" w:eastAsia="zh-CN"/>
              </w:rPr>
              <w:t>11</w:t>
            </w:r>
          </w:p>
        </w:tc>
        <w:tc>
          <w:tcPr>
            <w:tcW w:w="6594" w:type="dxa"/>
          </w:tcPr>
          <w:p w14:paraId="1E143799">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Give characteristics of study participants</w:t>
            </w:r>
          </w:p>
          <w:p w14:paraId="6F79A266">
            <w:pPr>
              <w:tabs>
                <w:tab w:val="left" w:pos="813"/>
              </w:tabs>
              <w:bidi w:val="0"/>
              <w:jc w:val="left"/>
              <w:rPr>
                <w:rFonts w:hint="default" w:ascii="Times" w:hAnsi="Times" w:eastAsia="Arial" w:cs="Arial"/>
                <w:sz w:val="21"/>
                <w:szCs w:val="21"/>
                <w:highlight w:val="none"/>
                <w:lang w:val="en-US" w:eastAsia="zh-CN"/>
              </w:rPr>
            </w:pPr>
          </w:p>
        </w:tc>
        <w:tc>
          <w:tcPr>
            <w:tcW w:w="1608" w:type="dxa"/>
            <w:vAlign w:val="center"/>
          </w:tcPr>
          <w:p w14:paraId="74B6363A">
            <w:pPr>
              <w:jc w:val="both"/>
              <w:rPr>
                <w:rFonts w:hint="default" w:eastAsiaTheme="minorEastAsia"/>
                <w:vertAlign w:val="baseline"/>
                <w:lang w:val="en-US" w:eastAsia="zh-CN"/>
              </w:rPr>
            </w:pPr>
            <w:r>
              <w:rPr>
                <w:rFonts w:hint="eastAsia"/>
                <w:vertAlign w:val="baseline"/>
                <w:lang w:val="en-US" w:eastAsia="zh-CN"/>
              </w:rPr>
              <w:t>156-166</w:t>
            </w:r>
          </w:p>
          <w:p w14:paraId="2F042D7F">
            <w:pPr>
              <w:jc w:val="both"/>
              <w:rPr>
                <w:vertAlign w:val="baseline"/>
              </w:rPr>
            </w:pPr>
            <w:r>
              <w:rPr>
                <w:rFonts w:hint="eastAsia" w:ascii="Times" w:hAnsi="Times" w:eastAsia="Arial" w:cs="Arial"/>
                <w:sz w:val="21"/>
                <w:szCs w:val="21"/>
                <w:highlight w:val="none"/>
                <w:lang w:val="en-US" w:eastAsia="zh-CN"/>
              </w:rPr>
              <w:t>T able 1</w:t>
            </w:r>
          </w:p>
        </w:tc>
      </w:tr>
      <w:tr w14:paraId="75DC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Merge w:val="restart"/>
            <w:vAlign w:val="center"/>
          </w:tcPr>
          <w:p w14:paraId="158AEE53">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Outcome data</w:t>
            </w:r>
          </w:p>
        </w:tc>
        <w:tc>
          <w:tcPr>
            <w:tcW w:w="629" w:type="dxa"/>
            <w:vAlign w:val="center"/>
          </w:tcPr>
          <w:p w14:paraId="7C649A27">
            <w:pPr>
              <w:jc w:val="both"/>
              <w:rPr>
                <w:rFonts w:hint="default"/>
                <w:vertAlign w:val="baseline"/>
                <w:lang w:val="en-US" w:eastAsia="zh-CN"/>
              </w:rPr>
            </w:pPr>
            <w:r>
              <w:rPr>
                <w:rFonts w:hint="eastAsia"/>
                <w:vertAlign w:val="baseline"/>
                <w:lang w:val="en-US" w:eastAsia="zh-CN"/>
              </w:rPr>
              <w:t>12a</w:t>
            </w:r>
          </w:p>
        </w:tc>
        <w:tc>
          <w:tcPr>
            <w:tcW w:w="6594" w:type="dxa"/>
          </w:tcPr>
          <w:p w14:paraId="1080A165">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 xml:space="preserve">The </w:t>
            </w:r>
            <w:r>
              <w:rPr>
                <w:rFonts w:hint="eastAsia" w:ascii="Times" w:hAnsi="Times" w:eastAsia="Arial" w:cs="Arial"/>
                <w:sz w:val="21"/>
                <w:szCs w:val="21"/>
                <w:highlight w:val="none"/>
                <w:lang w:val="en-US" w:eastAsia="zh-CN"/>
              </w:rPr>
              <w:t>d</w:t>
            </w:r>
            <w:r>
              <w:rPr>
                <w:rFonts w:hint="default" w:ascii="Times" w:hAnsi="Times" w:eastAsia="Arial" w:cs="Arial"/>
                <w:sz w:val="21"/>
                <w:szCs w:val="21"/>
                <w:highlight w:val="none"/>
                <w:lang w:val="en-US" w:eastAsia="zh-CN"/>
              </w:rPr>
              <w:t xml:space="preserve">ifference of </w:t>
            </w:r>
            <w:r>
              <w:rPr>
                <w:rFonts w:hint="eastAsia" w:ascii="Times" w:hAnsi="Times" w:eastAsia="Arial" w:cs="Arial"/>
                <w:sz w:val="21"/>
                <w:szCs w:val="21"/>
                <w:highlight w:val="none"/>
                <w:lang w:val="en-US" w:eastAsia="zh-CN"/>
              </w:rPr>
              <w:t>f</w:t>
            </w:r>
            <w:r>
              <w:rPr>
                <w:rFonts w:hint="default" w:ascii="Times" w:hAnsi="Times" w:eastAsia="Arial" w:cs="Arial"/>
                <w:sz w:val="21"/>
                <w:szCs w:val="21"/>
                <w:highlight w:val="none"/>
                <w:lang w:val="en-US" w:eastAsia="zh-CN"/>
              </w:rPr>
              <w:t xml:space="preserve">unctional </w:t>
            </w:r>
            <w:r>
              <w:rPr>
                <w:rFonts w:hint="eastAsia" w:ascii="Times" w:hAnsi="Times" w:eastAsia="Arial" w:cs="Arial"/>
                <w:sz w:val="21"/>
                <w:szCs w:val="21"/>
                <w:highlight w:val="none"/>
                <w:lang w:val="en-US" w:eastAsia="zh-CN"/>
              </w:rPr>
              <w:t>c</w:t>
            </w:r>
            <w:r>
              <w:rPr>
                <w:rFonts w:hint="default" w:ascii="Times" w:hAnsi="Times" w:eastAsia="Arial" w:cs="Arial"/>
                <w:sz w:val="21"/>
                <w:szCs w:val="21"/>
                <w:highlight w:val="none"/>
                <w:lang w:val="en-US" w:eastAsia="zh-CN"/>
              </w:rPr>
              <w:t xml:space="preserve">ure </w:t>
            </w:r>
            <w:r>
              <w:rPr>
                <w:rFonts w:hint="eastAsia" w:ascii="Times" w:hAnsi="Times" w:eastAsia="Arial" w:cs="Arial"/>
                <w:sz w:val="21"/>
                <w:szCs w:val="21"/>
                <w:highlight w:val="none"/>
                <w:lang w:val="en-US" w:eastAsia="zh-CN"/>
              </w:rPr>
              <w:t>b</w:t>
            </w:r>
            <w:r>
              <w:rPr>
                <w:rFonts w:hint="default" w:ascii="Times" w:hAnsi="Times" w:eastAsia="Arial" w:cs="Arial"/>
                <w:sz w:val="21"/>
                <w:szCs w:val="21"/>
                <w:highlight w:val="none"/>
                <w:lang w:val="en-US" w:eastAsia="zh-CN"/>
              </w:rPr>
              <w:t xml:space="preserve">etween </w:t>
            </w:r>
            <w:r>
              <w:rPr>
                <w:rFonts w:hint="eastAsia" w:ascii="Times" w:hAnsi="Times" w:eastAsia="Arial" w:cs="Arial"/>
                <w:sz w:val="21"/>
                <w:szCs w:val="21"/>
                <w:highlight w:val="none"/>
                <w:lang w:val="en-US" w:eastAsia="zh-CN"/>
              </w:rPr>
              <w:t>t</w:t>
            </w:r>
            <w:r>
              <w:rPr>
                <w:rFonts w:hint="default" w:ascii="Times" w:hAnsi="Times" w:eastAsia="Arial" w:cs="Arial"/>
                <w:sz w:val="21"/>
                <w:szCs w:val="21"/>
                <w:highlight w:val="none"/>
                <w:lang w:val="en-US" w:eastAsia="zh-CN"/>
              </w:rPr>
              <w:t xml:space="preserve">he two </w:t>
            </w:r>
            <w:r>
              <w:rPr>
                <w:rFonts w:hint="eastAsia" w:ascii="Times" w:hAnsi="Times" w:eastAsia="Arial" w:cs="Arial"/>
                <w:sz w:val="21"/>
                <w:szCs w:val="21"/>
                <w:highlight w:val="none"/>
                <w:lang w:val="en-US" w:eastAsia="zh-CN"/>
              </w:rPr>
              <w:t>g</w:t>
            </w:r>
            <w:r>
              <w:rPr>
                <w:rFonts w:hint="default" w:ascii="Times" w:hAnsi="Times" w:eastAsia="Arial" w:cs="Arial"/>
                <w:sz w:val="21"/>
                <w:szCs w:val="21"/>
                <w:highlight w:val="none"/>
                <w:lang w:val="en-US" w:eastAsia="zh-CN"/>
              </w:rPr>
              <w:t>roups</w:t>
            </w:r>
            <w:r>
              <w:rPr>
                <w:rFonts w:hint="eastAsia" w:ascii="Times" w:hAnsi="Times" w:eastAsia="Arial" w:cs="Arial"/>
                <w:sz w:val="21"/>
                <w:szCs w:val="21"/>
                <w:highlight w:val="none"/>
                <w:lang w:val="en-US" w:eastAsia="zh-CN"/>
              </w:rPr>
              <w:t>－The results showed no significant difference in HBsAg clearance rates between CHB patients with and without MAFLD following PEG-IFN treatment.</w:t>
            </w:r>
          </w:p>
        </w:tc>
        <w:tc>
          <w:tcPr>
            <w:tcW w:w="1608" w:type="dxa"/>
            <w:vAlign w:val="center"/>
          </w:tcPr>
          <w:p w14:paraId="387F73BE">
            <w:pPr>
              <w:jc w:val="both"/>
              <w:rPr>
                <w:rFonts w:hint="eastAsia"/>
                <w:vertAlign w:val="baseline"/>
                <w:lang w:val="en-US" w:eastAsia="zh-CN"/>
              </w:rPr>
            </w:pPr>
            <w:r>
              <w:rPr>
                <w:rFonts w:hint="eastAsia"/>
                <w:vertAlign w:val="baseline"/>
                <w:lang w:val="en-US" w:eastAsia="zh-CN"/>
              </w:rPr>
              <w:t>168-198</w:t>
            </w:r>
          </w:p>
          <w:p w14:paraId="711B2864">
            <w:pPr>
              <w:jc w:val="both"/>
              <w:rPr>
                <w:rFonts w:hint="default"/>
                <w:vertAlign w:val="baseline"/>
                <w:lang w:val="en-US" w:eastAsia="zh-CN"/>
              </w:rPr>
            </w:pPr>
            <w:r>
              <w:rPr>
                <w:rFonts w:hint="default" w:ascii="Times" w:hAnsi="Times" w:eastAsia="Arial" w:cs="Arial"/>
                <w:sz w:val="21"/>
                <w:szCs w:val="21"/>
                <w:highlight w:val="none"/>
                <w:lang w:val="en-US" w:eastAsia="zh-CN"/>
              </w:rPr>
              <w:t xml:space="preserve">Figure 2 </w:t>
            </w:r>
          </w:p>
        </w:tc>
      </w:tr>
      <w:tr w14:paraId="3A98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Merge w:val="continue"/>
            <w:tcBorders/>
          </w:tcPr>
          <w:p w14:paraId="0AE76E7C">
            <w:pPr>
              <w:rPr>
                <w:rFonts w:hint="eastAsia" w:ascii="Times" w:hAnsi="Times" w:eastAsia="Arial" w:cs="Arial"/>
                <w:sz w:val="21"/>
                <w:szCs w:val="21"/>
                <w:highlight w:val="none"/>
                <w:lang w:val="en-US" w:eastAsia="zh-CN"/>
              </w:rPr>
            </w:pPr>
          </w:p>
        </w:tc>
        <w:tc>
          <w:tcPr>
            <w:tcW w:w="629" w:type="dxa"/>
            <w:vAlign w:val="center"/>
          </w:tcPr>
          <w:p w14:paraId="3E65187F">
            <w:pPr>
              <w:jc w:val="both"/>
              <w:rPr>
                <w:rFonts w:hint="default"/>
                <w:vertAlign w:val="baseline"/>
                <w:lang w:val="en-US" w:eastAsia="zh-CN"/>
              </w:rPr>
            </w:pPr>
            <w:r>
              <w:rPr>
                <w:rFonts w:hint="eastAsia"/>
                <w:vertAlign w:val="baseline"/>
                <w:lang w:val="en-US" w:eastAsia="zh-CN"/>
              </w:rPr>
              <w:t>12b</w:t>
            </w:r>
          </w:p>
        </w:tc>
        <w:tc>
          <w:tcPr>
            <w:tcW w:w="6594" w:type="dxa"/>
          </w:tcPr>
          <w:p w14:paraId="33160DF2">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 xml:space="preserve">The </w:t>
            </w:r>
            <w:r>
              <w:rPr>
                <w:rFonts w:hint="eastAsia" w:ascii="Times" w:hAnsi="Times" w:eastAsia="Arial" w:cs="Arial"/>
                <w:sz w:val="21"/>
                <w:szCs w:val="21"/>
                <w:highlight w:val="none"/>
                <w:lang w:val="en-US" w:eastAsia="zh-CN"/>
              </w:rPr>
              <w:t>c</w:t>
            </w:r>
            <w:r>
              <w:rPr>
                <w:rFonts w:hint="default" w:ascii="Times" w:hAnsi="Times" w:eastAsia="Arial" w:cs="Arial"/>
                <w:sz w:val="21"/>
                <w:szCs w:val="21"/>
                <w:highlight w:val="none"/>
                <w:lang w:val="en-US" w:eastAsia="zh-CN"/>
              </w:rPr>
              <w:t xml:space="preserve">omparison of </w:t>
            </w:r>
            <w:r>
              <w:rPr>
                <w:rFonts w:hint="eastAsia" w:ascii="Times" w:hAnsi="Times" w:eastAsia="Arial" w:cs="Arial"/>
                <w:sz w:val="21"/>
                <w:szCs w:val="21"/>
                <w:highlight w:val="none"/>
                <w:lang w:val="en-US" w:eastAsia="zh-CN"/>
              </w:rPr>
              <w:t>b</w:t>
            </w:r>
            <w:r>
              <w:rPr>
                <w:rFonts w:hint="default" w:ascii="Times" w:hAnsi="Times" w:eastAsia="Arial" w:cs="Arial"/>
                <w:sz w:val="21"/>
                <w:szCs w:val="21"/>
                <w:highlight w:val="none"/>
                <w:lang w:val="en-US" w:eastAsia="zh-CN"/>
              </w:rPr>
              <w:t xml:space="preserve">iochemical </w:t>
            </w:r>
            <w:r>
              <w:rPr>
                <w:rFonts w:hint="eastAsia" w:ascii="Times" w:hAnsi="Times" w:eastAsia="Arial" w:cs="Arial"/>
                <w:sz w:val="21"/>
                <w:szCs w:val="21"/>
                <w:highlight w:val="none"/>
                <w:lang w:val="en-US" w:eastAsia="zh-CN"/>
              </w:rPr>
              <w:t>i</w:t>
            </w:r>
            <w:r>
              <w:rPr>
                <w:rFonts w:hint="default" w:ascii="Times" w:hAnsi="Times" w:eastAsia="Arial" w:cs="Arial"/>
                <w:sz w:val="21"/>
                <w:szCs w:val="21"/>
                <w:highlight w:val="none"/>
                <w:lang w:val="en-US" w:eastAsia="zh-CN"/>
              </w:rPr>
              <w:t xml:space="preserve">ndices </w:t>
            </w:r>
            <w:r>
              <w:rPr>
                <w:rFonts w:hint="eastAsia" w:ascii="Times" w:hAnsi="Times" w:eastAsia="Arial" w:cs="Arial"/>
                <w:sz w:val="21"/>
                <w:szCs w:val="21"/>
                <w:highlight w:val="none"/>
                <w:lang w:val="en-US" w:eastAsia="zh-CN"/>
              </w:rPr>
              <w:t>a</w:t>
            </w:r>
            <w:r>
              <w:rPr>
                <w:rFonts w:hint="default" w:ascii="Times" w:hAnsi="Times" w:eastAsia="Arial" w:cs="Arial"/>
                <w:sz w:val="21"/>
                <w:szCs w:val="21"/>
                <w:highlight w:val="none"/>
                <w:lang w:val="en-US" w:eastAsia="zh-CN"/>
              </w:rPr>
              <w:t xml:space="preserve">fter PEG-IFN </w:t>
            </w:r>
            <w:r>
              <w:rPr>
                <w:rFonts w:hint="eastAsia" w:ascii="Times" w:hAnsi="Times" w:eastAsia="Arial" w:cs="Arial"/>
                <w:sz w:val="21"/>
                <w:szCs w:val="21"/>
                <w:highlight w:val="none"/>
                <w:lang w:val="en-US" w:eastAsia="zh-CN"/>
              </w:rPr>
              <w:t>t</w:t>
            </w:r>
            <w:r>
              <w:rPr>
                <w:rFonts w:hint="default" w:ascii="Times" w:hAnsi="Times" w:eastAsia="Arial" w:cs="Arial"/>
                <w:sz w:val="21"/>
                <w:szCs w:val="21"/>
                <w:highlight w:val="none"/>
                <w:lang w:val="en-US" w:eastAsia="zh-CN"/>
              </w:rPr>
              <w:t xml:space="preserve">reatment </w:t>
            </w:r>
            <w:r>
              <w:rPr>
                <w:rFonts w:hint="eastAsia" w:ascii="Times" w:hAnsi="Times" w:eastAsia="Arial" w:cs="Arial"/>
                <w:sz w:val="21"/>
                <w:szCs w:val="21"/>
                <w:highlight w:val="none"/>
                <w:lang w:val="en-US" w:eastAsia="zh-CN"/>
              </w:rPr>
              <w:t>b</w:t>
            </w:r>
            <w:r>
              <w:rPr>
                <w:rFonts w:hint="default" w:ascii="Times" w:hAnsi="Times" w:eastAsia="Arial" w:cs="Arial"/>
                <w:sz w:val="21"/>
                <w:szCs w:val="21"/>
                <w:highlight w:val="none"/>
                <w:lang w:val="en-US" w:eastAsia="zh-CN"/>
              </w:rPr>
              <w:t xml:space="preserve">etween the </w:t>
            </w:r>
            <w:r>
              <w:rPr>
                <w:rFonts w:hint="eastAsia" w:ascii="Times" w:hAnsi="Times" w:eastAsia="Arial" w:cs="Arial"/>
                <w:sz w:val="21"/>
                <w:szCs w:val="21"/>
                <w:highlight w:val="none"/>
                <w:lang w:val="en-US" w:eastAsia="zh-CN"/>
              </w:rPr>
              <w:t>t</w:t>
            </w:r>
            <w:r>
              <w:rPr>
                <w:rFonts w:hint="default" w:ascii="Times" w:hAnsi="Times" w:eastAsia="Arial" w:cs="Arial"/>
                <w:sz w:val="21"/>
                <w:szCs w:val="21"/>
                <w:highlight w:val="none"/>
                <w:lang w:val="en-US" w:eastAsia="zh-CN"/>
              </w:rPr>
              <w:t xml:space="preserve">wo </w:t>
            </w:r>
            <w:r>
              <w:rPr>
                <w:rFonts w:hint="eastAsia" w:ascii="Times" w:hAnsi="Times" w:eastAsia="Arial" w:cs="Arial"/>
                <w:sz w:val="21"/>
                <w:szCs w:val="21"/>
                <w:highlight w:val="none"/>
                <w:lang w:val="en-US" w:eastAsia="zh-CN"/>
              </w:rPr>
              <w:t>g</w:t>
            </w:r>
            <w:r>
              <w:rPr>
                <w:rFonts w:hint="default" w:ascii="Times" w:hAnsi="Times" w:eastAsia="Arial" w:cs="Arial"/>
                <w:sz w:val="21"/>
                <w:szCs w:val="21"/>
                <w:highlight w:val="none"/>
                <w:lang w:val="en-US" w:eastAsia="zh-CN"/>
              </w:rPr>
              <w:t>roups</w:t>
            </w:r>
            <w:r>
              <w:rPr>
                <w:rFonts w:hint="eastAsia" w:ascii="Times" w:hAnsi="Times" w:eastAsia="Arial" w:cs="Arial"/>
                <w:sz w:val="21"/>
                <w:szCs w:val="21"/>
                <w:highlight w:val="none"/>
                <w:lang w:val="en-US" w:eastAsia="zh-CN"/>
              </w:rPr>
              <w:t>－CHB patients with MAFLD are less likely to achieve ALT normalization during treatment.</w:t>
            </w:r>
          </w:p>
        </w:tc>
        <w:tc>
          <w:tcPr>
            <w:tcW w:w="1608" w:type="dxa"/>
            <w:vAlign w:val="center"/>
          </w:tcPr>
          <w:p w14:paraId="39B46503">
            <w:pPr>
              <w:jc w:val="both"/>
              <w:rPr>
                <w:rFonts w:hint="eastAsia"/>
                <w:vertAlign w:val="baseline"/>
                <w:lang w:val="en-US" w:eastAsia="zh-CN"/>
              </w:rPr>
            </w:pPr>
            <w:r>
              <w:rPr>
                <w:rFonts w:hint="eastAsia"/>
                <w:vertAlign w:val="baseline"/>
                <w:lang w:val="en-US" w:eastAsia="zh-CN"/>
              </w:rPr>
              <w:t>201-210</w:t>
            </w:r>
          </w:p>
          <w:p w14:paraId="6DA24747">
            <w:pPr>
              <w:jc w:val="both"/>
              <w:rPr>
                <w:rFonts w:hint="default"/>
                <w:vertAlign w:val="baseline"/>
                <w:lang w:val="en-US" w:eastAsia="zh-CN"/>
              </w:rPr>
            </w:pPr>
            <w:r>
              <w:rPr>
                <w:rFonts w:hint="default" w:ascii="Times" w:hAnsi="Times" w:eastAsia="Arial" w:cs="Arial"/>
                <w:sz w:val="21"/>
                <w:szCs w:val="21"/>
                <w:highlight w:val="none"/>
                <w:lang w:val="en-US" w:eastAsia="zh-CN"/>
              </w:rPr>
              <w:t xml:space="preserve">Figure </w:t>
            </w:r>
            <w:r>
              <w:rPr>
                <w:rFonts w:hint="eastAsia" w:ascii="Times" w:hAnsi="Times" w:eastAsia="Arial" w:cs="Arial"/>
                <w:sz w:val="21"/>
                <w:szCs w:val="21"/>
                <w:highlight w:val="none"/>
                <w:lang w:val="en-US" w:eastAsia="zh-CN"/>
              </w:rPr>
              <w:t>3 and Table3</w:t>
            </w:r>
            <w:r>
              <w:rPr>
                <w:rFonts w:hint="default" w:ascii="Times" w:hAnsi="Times" w:eastAsia="Arial" w:cs="Arial"/>
                <w:sz w:val="21"/>
                <w:szCs w:val="21"/>
                <w:highlight w:val="none"/>
                <w:lang w:val="en-US" w:eastAsia="zh-CN"/>
              </w:rPr>
              <w:t xml:space="preserve"> </w:t>
            </w:r>
          </w:p>
        </w:tc>
      </w:tr>
      <w:tr w14:paraId="5ED8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vMerge w:val="continue"/>
            <w:tcBorders/>
          </w:tcPr>
          <w:p w14:paraId="5BC40966">
            <w:pPr>
              <w:rPr>
                <w:rFonts w:hint="eastAsia" w:ascii="Times" w:hAnsi="Times" w:eastAsia="Arial" w:cs="Arial"/>
                <w:sz w:val="21"/>
                <w:szCs w:val="21"/>
                <w:highlight w:val="none"/>
                <w:lang w:val="en-US" w:eastAsia="zh-CN"/>
              </w:rPr>
            </w:pPr>
          </w:p>
        </w:tc>
        <w:tc>
          <w:tcPr>
            <w:tcW w:w="629" w:type="dxa"/>
            <w:vAlign w:val="center"/>
          </w:tcPr>
          <w:p w14:paraId="4178D287">
            <w:pPr>
              <w:jc w:val="both"/>
              <w:rPr>
                <w:rFonts w:hint="default"/>
                <w:vertAlign w:val="baseline"/>
                <w:lang w:val="en-US" w:eastAsia="zh-CN"/>
              </w:rPr>
            </w:pPr>
            <w:r>
              <w:rPr>
                <w:rFonts w:hint="eastAsia"/>
                <w:vertAlign w:val="baseline"/>
                <w:lang w:val="en-US" w:eastAsia="zh-CN"/>
              </w:rPr>
              <w:t>12c</w:t>
            </w:r>
          </w:p>
        </w:tc>
        <w:tc>
          <w:tcPr>
            <w:tcW w:w="6594" w:type="dxa"/>
          </w:tcPr>
          <w:p w14:paraId="62F35DC6">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 xml:space="preserve">The </w:t>
            </w:r>
            <w:r>
              <w:rPr>
                <w:rFonts w:hint="eastAsia" w:ascii="Times" w:hAnsi="Times" w:eastAsia="Arial" w:cs="Arial"/>
                <w:sz w:val="21"/>
                <w:szCs w:val="21"/>
                <w:highlight w:val="none"/>
                <w:lang w:val="en-US" w:eastAsia="zh-CN"/>
              </w:rPr>
              <w:t>c</w:t>
            </w:r>
            <w:r>
              <w:rPr>
                <w:rFonts w:hint="default" w:ascii="Times" w:hAnsi="Times" w:eastAsia="Arial" w:cs="Arial"/>
                <w:sz w:val="21"/>
                <w:szCs w:val="21"/>
                <w:highlight w:val="none"/>
                <w:lang w:val="en-US" w:eastAsia="zh-CN"/>
              </w:rPr>
              <w:t xml:space="preserve">omparison of </w:t>
            </w:r>
            <w:r>
              <w:rPr>
                <w:rFonts w:hint="eastAsia" w:ascii="Times" w:hAnsi="Times" w:eastAsia="Arial" w:cs="Arial"/>
                <w:sz w:val="21"/>
                <w:szCs w:val="21"/>
                <w:highlight w:val="none"/>
                <w:lang w:val="en-US" w:eastAsia="zh-CN"/>
              </w:rPr>
              <w:t>a</w:t>
            </w:r>
            <w:r>
              <w:rPr>
                <w:rFonts w:hint="default" w:ascii="Times" w:hAnsi="Times" w:eastAsia="Arial" w:cs="Arial"/>
                <w:sz w:val="21"/>
                <w:szCs w:val="21"/>
                <w:highlight w:val="none"/>
                <w:lang w:val="en-US" w:eastAsia="zh-CN"/>
              </w:rPr>
              <w:t xml:space="preserve">dverse </w:t>
            </w:r>
            <w:r>
              <w:rPr>
                <w:rFonts w:hint="eastAsia" w:ascii="Times" w:hAnsi="Times" w:eastAsia="Arial" w:cs="Arial"/>
                <w:sz w:val="21"/>
                <w:szCs w:val="21"/>
                <w:highlight w:val="none"/>
                <w:lang w:val="en-US" w:eastAsia="zh-CN"/>
              </w:rPr>
              <w:t>e</w:t>
            </w:r>
            <w:r>
              <w:rPr>
                <w:rFonts w:hint="default" w:ascii="Times" w:hAnsi="Times" w:eastAsia="Arial" w:cs="Arial"/>
                <w:sz w:val="21"/>
                <w:szCs w:val="21"/>
                <w:highlight w:val="none"/>
                <w:lang w:val="en-US" w:eastAsia="zh-CN"/>
              </w:rPr>
              <w:t xml:space="preserve">vents </w:t>
            </w:r>
            <w:r>
              <w:rPr>
                <w:rFonts w:hint="eastAsia" w:ascii="Times" w:hAnsi="Times" w:eastAsia="Arial" w:cs="Arial"/>
                <w:sz w:val="21"/>
                <w:szCs w:val="21"/>
                <w:highlight w:val="none"/>
                <w:lang w:val="en-US" w:eastAsia="zh-CN"/>
              </w:rPr>
              <w:t>b</w:t>
            </w:r>
            <w:r>
              <w:rPr>
                <w:rFonts w:hint="default" w:ascii="Times" w:hAnsi="Times" w:eastAsia="Arial" w:cs="Arial"/>
                <w:sz w:val="21"/>
                <w:szCs w:val="21"/>
                <w:highlight w:val="none"/>
                <w:lang w:val="en-US" w:eastAsia="zh-CN"/>
              </w:rPr>
              <w:t xml:space="preserve">etween the </w:t>
            </w:r>
            <w:r>
              <w:rPr>
                <w:rFonts w:hint="eastAsia" w:ascii="Times" w:hAnsi="Times" w:eastAsia="Arial" w:cs="Arial"/>
                <w:sz w:val="21"/>
                <w:szCs w:val="21"/>
                <w:highlight w:val="none"/>
                <w:lang w:val="en-US" w:eastAsia="zh-CN"/>
              </w:rPr>
              <w:t>t</w:t>
            </w:r>
            <w:r>
              <w:rPr>
                <w:rFonts w:hint="default" w:ascii="Times" w:hAnsi="Times" w:eastAsia="Arial" w:cs="Arial"/>
                <w:sz w:val="21"/>
                <w:szCs w:val="21"/>
                <w:highlight w:val="none"/>
                <w:lang w:val="en-US" w:eastAsia="zh-CN"/>
              </w:rPr>
              <w:t xml:space="preserve">wo </w:t>
            </w:r>
            <w:r>
              <w:rPr>
                <w:rFonts w:hint="eastAsia" w:ascii="Times" w:hAnsi="Times" w:eastAsia="Arial" w:cs="Arial"/>
                <w:sz w:val="21"/>
                <w:szCs w:val="21"/>
                <w:highlight w:val="none"/>
                <w:lang w:val="en-US" w:eastAsia="zh-CN"/>
              </w:rPr>
              <w:t>g</w:t>
            </w:r>
            <w:r>
              <w:rPr>
                <w:rFonts w:hint="default" w:ascii="Times" w:hAnsi="Times" w:eastAsia="Arial" w:cs="Arial"/>
                <w:sz w:val="21"/>
                <w:szCs w:val="21"/>
                <w:highlight w:val="none"/>
                <w:lang w:val="en-US" w:eastAsia="zh-CN"/>
              </w:rPr>
              <w:t>roups</w:t>
            </w:r>
            <w:r>
              <w:rPr>
                <w:rFonts w:hint="eastAsia" w:ascii="Times" w:hAnsi="Times" w:eastAsia="Arial" w:cs="Arial"/>
                <w:sz w:val="21"/>
                <w:szCs w:val="21"/>
                <w:highlight w:val="none"/>
                <w:lang w:val="en-US" w:eastAsia="zh-CN"/>
              </w:rPr>
              <w:t>－There was no significant difference in the incidence of adverse reactions between the CHB group and the CHB-MAFLD group</w:t>
            </w:r>
          </w:p>
        </w:tc>
        <w:tc>
          <w:tcPr>
            <w:tcW w:w="1608" w:type="dxa"/>
            <w:vAlign w:val="center"/>
          </w:tcPr>
          <w:p w14:paraId="54DE494A">
            <w:pPr>
              <w:jc w:val="both"/>
              <w:rPr>
                <w:rFonts w:hint="eastAsia"/>
                <w:vertAlign w:val="baseline"/>
                <w:lang w:val="en-US" w:eastAsia="zh-CN"/>
              </w:rPr>
            </w:pPr>
            <w:r>
              <w:rPr>
                <w:rFonts w:hint="eastAsia"/>
                <w:vertAlign w:val="baseline"/>
                <w:lang w:val="en-US" w:eastAsia="zh-CN"/>
              </w:rPr>
              <w:t>212-221</w:t>
            </w:r>
          </w:p>
          <w:p w14:paraId="660B6D1A">
            <w:pPr>
              <w:jc w:val="both"/>
              <w:rPr>
                <w:rFonts w:hint="default"/>
                <w:vertAlign w:val="baseline"/>
                <w:lang w:val="en-US" w:eastAsia="zh-CN"/>
              </w:rPr>
            </w:pPr>
            <w:r>
              <w:rPr>
                <w:rFonts w:hint="default" w:ascii="Times" w:hAnsi="Times" w:eastAsia="Arial" w:cs="Arial"/>
                <w:sz w:val="21"/>
                <w:szCs w:val="21"/>
                <w:highlight w:val="none"/>
                <w:lang w:val="en-US" w:eastAsia="zh-CN"/>
              </w:rPr>
              <w:t>T able 4</w:t>
            </w:r>
          </w:p>
        </w:tc>
      </w:tr>
      <w:tr w14:paraId="4988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52" w:type="dxa"/>
            <w:gridSpan w:val="4"/>
            <w:tcBorders/>
          </w:tcPr>
          <w:p w14:paraId="76522F1E">
            <w:pPr>
              <w:rPr>
                <w:rFonts w:hint="eastAsia" w:ascii="Times" w:hAnsi="Times" w:eastAsia="Arial" w:cs="Arial"/>
                <w:sz w:val="21"/>
                <w:szCs w:val="21"/>
                <w:highlight w:val="none"/>
                <w:lang w:val="en-US" w:eastAsia="zh-CN"/>
              </w:rPr>
            </w:pPr>
            <w:r>
              <w:rPr>
                <w:rFonts w:hint="eastAsia" w:ascii="Times" w:hAnsi="Times" w:eastAsia="Arial" w:cs="Arial"/>
                <w:b/>
                <w:bCs/>
                <w:sz w:val="21"/>
                <w:szCs w:val="21"/>
                <w:highlight w:val="none"/>
                <w:lang w:val="en-US" w:eastAsia="zh-CN"/>
              </w:rPr>
              <w:t>Discussion</w:t>
            </w:r>
          </w:p>
        </w:tc>
      </w:tr>
      <w:tr w14:paraId="317D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tcBorders/>
            <w:vAlign w:val="center"/>
          </w:tcPr>
          <w:p w14:paraId="2F6C836A">
            <w:pPr>
              <w:jc w:val="both"/>
              <w:rPr>
                <w:rFonts w:hint="eastAsia"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Key re</w:t>
            </w:r>
            <w:bookmarkStart w:id="0" w:name="_GoBack"/>
            <w:bookmarkEnd w:id="0"/>
            <w:r>
              <w:rPr>
                <w:rFonts w:hint="default" w:ascii="Times" w:hAnsi="Times" w:eastAsia="Arial" w:cs="Arial"/>
                <w:sz w:val="21"/>
                <w:szCs w:val="21"/>
                <w:highlight w:val="none"/>
                <w:lang w:val="en-US" w:eastAsia="zh-CN"/>
              </w:rPr>
              <w:t>sults</w:t>
            </w:r>
          </w:p>
          <w:p w14:paraId="20A36E83">
            <w:pPr>
              <w:jc w:val="both"/>
              <w:rPr>
                <w:rFonts w:hint="eastAsia" w:ascii="Times" w:hAnsi="Times" w:eastAsia="Arial" w:cs="Arial"/>
                <w:sz w:val="21"/>
                <w:szCs w:val="21"/>
                <w:highlight w:val="none"/>
                <w:lang w:val="en-US" w:eastAsia="zh-CN"/>
              </w:rPr>
            </w:pPr>
          </w:p>
        </w:tc>
        <w:tc>
          <w:tcPr>
            <w:tcW w:w="629" w:type="dxa"/>
            <w:vAlign w:val="center"/>
          </w:tcPr>
          <w:p w14:paraId="7CBCC3B6">
            <w:pPr>
              <w:jc w:val="both"/>
              <w:rPr>
                <w:rFonts w:hint="default"/>
                <w:vertAlign w:val="baseline"/>
                <w:lang w:val="en-US" w:eastAsia="zh-CN"/>
              </w:rPr>
            </w:pPr>
            <w:r>
              <w:rPr>
                <w:rFonts w:hint="eastAsia"/>
                <w:vertAlign w:val="baseline"/>
                <w:lang w:val="en-US" w:eastAsia="zh-CN"/>
              </w:rPr>
              <w:t>13</w:t>
            </w:r>
          </w:p>
        </w:tc>
        <w:tc>
          <w:tcPr>
            <w:tcW w:w="6594" w:type="dxa"/>
          </w:tcPr>
          <w:p w14:paraId="28DF488A">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The results showed no significant difference in HBsAg clearance rates between CHB patients with and without MAFLD following</w:t>
            </w:r>
            <w:r>
              <w:rPr>
                <w:rFonts w:hint="eastAsia" w:ascii="Times" w:hAnsi="Times" w:eastAsia="Arial" w:cs="Arial"/>
                <w:sz w:val="21"/>
                <w:szCs w:val="21"/>
                <w:highlight w:val="none"/>
                <w:lang w:val="en-US" w:eastAsia="zh-CN"/>
              </w:rPr>
              <w:t xml:space="preserve"> </w:t>
            </w:r>
            <w:r>
              <w:rPr>
                <w:rFonts w:hint="default" w:ascii="Times" w:hAnsi="Times" w:eastAsia="Arial" w:cs="Arial"/>
                <w:sz w:val="21"/>
                <w:szCs w:val="21"/>
                <w:highlight w:val="none"/>
                <w:lang w:val="en-US" w:eastAsia="zh-CN"/>
              </w:rPr>
              <w:t>PEG-IFN treatment. This suggests that the presence of MAFLD does not influence the ability of</w:t>
            </w:r>
            <w:r>
              <w:rPr>
                <w:rFonts w:hint="eastAsia" w:ascii="Times" w:hAnsi="Times" w:eastAsia="Arial" w:cs="Arial"/>
                <w:sz w:val="21"/>
                <w:szCs w:val="21"/>
                <w:highlight w:val="none"/>
                <w:lang w:val="en-US" w:eastAsia="zh-CN"/>
              </w:rPr>
              <w:t xml:space="preserve"> PEG-IFN </w:t>
            </w:r>
            <w:r>
              <w:rPr>
                <w:rFonts w:hint="default" w:ascii="Times" w:hAnsi="Times" w:eastAsia="Arial" w:cs="Arial"/>
                <w:sz w:val="21"/>
                <w:szCs w:val="21"/>
                <w:highlight w:val="none"/>
                <w:lang w:val="en-US" w:eastAsia="zh-CN"/>
              </w:rPr>
              <w:t xml:space="preserve">to achieve </w:t>
            </w:r>
            <w:r>
              <w:rPr>
                <w:rFonts w:hint="eastAsia" w:ascii="Times" w:hAnsi="Times" w:eastAsia="Arial" w:cs="Arial"/>
                <w:sz w:val="21"/>
                <w:szCs w:val="21"/>
                <w:highlight w:val="none"/>
                <w:lang w:val="en-US" w:eastAsia="zh-CN"/>
              </w:rPr>
              <w:t>functional</w:t>
            </w:r>
            <w:r>
              <w:rPr>
                <w:rFonts w:hint="default" w:ascii="Times" w:hAnsi="Times" w:eastAsia="Arial" w:cs="Arial"/>
                <w:sz w:val="21"/>
                <w:szCs w:val="21"/>
                <w:highlight w:val="none"/>
                <w:lang w:val="en-US" w:eastAsia="zh-CN"/>
              </w:rPr>
              <w:t xml:space="preserve"> cure in </w:t>
            </w:r>
            <w:r>
              <w:rPr>
                <w:rFonts w:hint="eastAsia" w:ascii="Times" w:hAnsi="Times" w:eastAsia="Arial" w:cs="Arial"/>
                <w:sz w:val="21"/>
                <w:szCs w:val="21"/>
                <w:highlight w:val="none"/>
                <w:lang w:val="en-US" w:eastAsia="zh-CN"/>
              </w:rPr>
              <w:t>NAs</w:t>
            </w:r>
            <w:r>
              <w:rPr>
                <w:rFonts w:hint="default" w:ascii="Times" w:hAnsi="Times" w:eastAsia="Arial" w:cs="Arial"/>
                <w:sz w:val="21"/>
                <w:szCs w:val="21"/>
                <w:highlight w:val="none"/>
                <w:lang w:val="en-US" w:eastAsia="zh-CN"/>
              </w:rPr>
              <w:t>-treated CHB patients. Moreover, it was found that during PEG-IFN treatment, CHB patients with MAFLD had strikingly lower ALT normalization rates compared to the non-MAFLD group; however, 24 weeks after the end of treatment, there was no significant difference in ALT normalization rates between the two groups.</w:t>
            </w:r>
          </w:p>
        </w:tc>
        <w:tc>
          <w:tcPr>
            <w:tcW w:w="1608" w:type="dxa"/>
            <w:vAlign w:val="center"/>
          </w:tcPr>
          <w:p w14:paraId="3E5FB551">
            <w:pPr>
              <w:jc w:val="both"/>
              <w:rPr>
                <w:rFonts w:hint="default"/>
                <w:vertAlign w:val="baseline"/>
                <w:lang w:val="en-US" w:eastAsia="zh-CN"/>
              </w:rPr>
            </w:pPr>
            <w:r>
              <w:rPr>
                <w:rFonts w:hint="eastAsia"/>
                <w:vertAlign w:val="baseline"/>
                <w:lang w:val="en-US" w:eastAsia="zh-CN"/>
              </w:rPr>
              <w:t>223-287</w:t>
            </w:r>
          </w:p>
        </w:tc>
      </w:tr>
      <w:tr w14:paraId="3B4F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tcBorders/>
            <w:vAlign w:val="center"/>
          </w:tcPr>
          <w:p w14:paraId="5132517A">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Limitations</w:t>
            </w:r>
          </w:p>
        </w:tc>
        <w:tc>
          <w:tcPr>
            <w:tcW w:w="629" w:type="dxa"/>
            <w:vAlign w:val="center"/>
          </w:tcPr>
          <w:p w14:paraId="3D1F6FAE">
            <w:pPr>
              <w:jc w:val="both"/>
              <w:rPr>
                <w:rFonts w:hint="default"/>
                <w:vertAlign w:val="baseline"/>
                <w:lang w:val="en-US" w:eastAsia="zh-CN"/>
              </w:rPr>
            </w:pPr>
            <w:r>
              <w:rPr>
                <w:rFonts w:hint="eastAsia"/>
                <w:vertAlign w:val="baseline"/>
                <w:lang w:val="en-US" w:eastAsia="zh-CN"/>
              </w:rPr>
              <w:t>14</w:t>
            </w:r>
          </w:p>
        </w:tc>
        <w:tc>
          <w:tcPr>
            <w:tcW w:w="6594" w:type="dxa"/>
          </w:tcPr>
          <w:p w14:paraId="00CEB2B6">
            <w:pPr>
              <w:tabs>
                <w:tab w:val="left" w:pos="813"/>
              </w:tabs>
              <w:bidi w:val="0"/>
              <w:jc w:val="left"/>
              <w:rPr>
                <w:rFonts w:hint="default"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The study is</w:t>
            </w:r>
            <w:r>
              <w:rPr>
                <w:rFonts w:hint="default" w:ascii="Times" w:hAnsi="Times" w:eastAsia="Arial" w:cs="Arial"/>
                <w:sz w:val="21"/>
                <w:szCs w:val="21"/>
                <w:highlight w:val="none"/>
                <w:lang w:val="en-US" w:eastAsia="zh-CN"/>
              </w:rPr>
              <w:t xml:space="preserve"> a single-center retrospective study with a small sample size and short follow-up duration</w:t>
            </w:r>
            <w:r>
              <w:rPr>
                <w:rFonts w:hint="eastAsia" w:ascii="Times" w:hAnsi="Times" w:eastAsia="Arial" w:cs="Arial"/>
                <w:sz w:val="21"/>
                <w:szCs w:val="21"/>
                <w:highlight w:val="none"/>
                <w:lang w:val="en-US" w:eastAsia="zh-CN"/>
              </w:rPr>
              <w:t>.</w:t>
            </w:r>
          </w:p>
        </w:tc>
        <w:tc>
          <w:tcPr>
            <w:tcW w:w="1608" w:type="dxa"/>
            <w:vAlign w:val="center"/>
          </w:tcPr>
          <w:p w14:paraId="661D156D">
            <w:pPr>
              <w:jc w:val="both"/>
              <w:rPr>
                <w:rFonts w:hint="default"/>
                <w:vertAlign w:val="baseline"/>
                <w:lang w:val="en-US" w:eastAsia="zh-CN"/>
              </w:rPr>
            </w:pPr>
            <w:r>
              <w:rPr>
                <w:rFonts w:hint="eastAsia"/>
                <w:vertAlign w:val="baseline"/>
                <w:lang w:val="en-US" w:eastAsia="zh-CN"/>
              </w:rPr>
              <w:t>288-296</w:t>
            </w:r>
          </w:p>
        </w:tc>
      </w:tr>
      <w:tr w14:paraId="402B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tcBorders/>
            <w:vAlign w:val="center"/>
          </w:tcPr>
          <w:p w14:paraId="4E5E3EE7">
            <w:pPr>
              <w:jc w:val="both"/>
              <w:rPr>
                <w:rFonts w:hint="eastAsia"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Interpretation</w:t>
            </w:r>
          </w:p>
          <w:p w14:paraId="44DC2C4A">
            <w:pPr>
              <w:jc w:val="both"/>
              <w:rPr>
                <w:rFonts w:hint="eastAsia" w:ascii="Times" w:hAnsi="Times" w:eastAsia="Arial" w:cs="Arial"/>
                <w:sz w:val="21"/>
                <w:szCs w:val="21"/>
                <w:highlight w:val="none"/>
                <w:lang w:val="en-US" w:eastAsia="zh-CN"/>
              </w:rPr>
            </w:pPr>
          </w:p>
        </w:tc>
        <w:tc>
          <w:tcPr>
            <w:tcW w:w="629" w:type="dxa"/>
            <w:vAlign w:val="center"/>
          </w:tcPr>
          <w:p w14:paraId="132DB6A2">
            <w:pPr>
              <w:jc w:val="both"/>
              <w:rPr>
                <w:rFonts w:hint="default"/>
                <w:vertAlign w:val="baseline"/>
                <w:lang w:val="en-US" w:eastAsia="zh-CN"/>
              </w:rPr>
            </w:pPr>
            <w:r>
              <w:rPr>
                <w:rFonts w:hint="eastAsia"/>
                <w:vertAlign w:val="baseline"/>
                <w:lang w:val="en-US" w:eastAsia="zh-CN"/>
              </w:rPr>
              <w:t>15</w:t>
            </w:r>
          </w:p>
        </w:tc>
        <w:tc>
          <w:tcPr>
            <w:tcW w:w="6594" w:type="dxa"/>
          </w:tcPr>
          <w:p w14:paraId="55524015">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The ultimate impact of MAFLD on liver inflammation progression requires long-term observation for clarification. Therefore, CHB patients with concurrent MAFLD should be closely monitored, and in addition to active antiviral therapy, it is important to change dietary habits and lifestyle.</w:t>
            </w:r>
          </w:p>
          <w:p w14:paraId="3597168B">
            <w:pPr>
              <w:tabs>
                <w:tab w:val="left" w:pos="813"/>
              </w:tabs>
              <w:bidi w:val="0"/>
              <w:jc w:val="left"/>
              <w:rPr>
                <w:rFonts w:hint="default" w:ascii="Times" w:hAnsi="Times" w:eastAsia="Arial" w:cs="Arial"/>
                <w:sz w:val="21"/>
                <w:szCs w:val="21"/>
                <w:highlight w:val="none"/>
                <w:lang w:val="en-US" w:eastAsia="zh-CN"/>
              </w:rPr>
            </w:pPr>
          </w:p>
        </w:tc>
        <w:tc>
          <w:tcPr>
            <w:tcW w:w="1608" w:type="dxa"/>
            <w:vAlign w:val="center"/>
          </w:tcPr>
          <w:p w14:paraId="5E690E3B">
            <w:pPr>
              <w:jc w:val="both"/>
              <w:rPr>
                <w:rFonts w:hint="default"/>
                <w:vertAlign w:val="baseline"/>
                <w:lang w:val="en-US" w:eastAsia="zh-CN"/>
              </w:rPr>
            </w:pPr>
            <w:r>
              <w:rPr>
                <w:rFonts w:hint="eastAsia"/>
                <w:vertAlign w:val="baseline"/>
                <w:lang w:val="en-US" w:eastAsia="zh-CN"/>
              </w:rPr>
              <w:t>298-305</w:t>
            </w:r>
          </w:p>
        </w:tc>
      </w:tr>
      <w:tr w14:paraId="4A1C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52" w:type="dxa"/>
            <w:gridSpan w:val="4"/>
            <w:tcBorders/>
          </w:tcPr>
          <w:p w14:paraId="0097CB0A">
            <w:pPr>
              <w:rPr>
                <w:rFonts w:hint="eastAsia" w:ascii="Times" w:hAnsi="Times" w:eastAsia="Arial" w:cs="Arial"/>
                <w:sz w:val="21"/>
                <w:szCs w:val="21"/>
                <w:highlight w:val="none"/>
                <w:lang w:val="en-US" w:eastAsia="zh-CN"/>
              </w:rPr>
            </w:pPr>
            <w:r>
              <w:rPr>
                <w:rFonts w:hint="eastAsia" w:ascii="Times" w:hAnsi="Times" w:eastAsia="Arial" w:cs="Arial"/>
                <w:b/>
                <w:bCs/>
                <w:sz w:val="21"/>
                <w:szCs w:val="21"/>
                <w:highlight w:val="none"/>
                <w:lang w:val="en-US" w:eastAsia="zh-CN"/>
              </w:rPr>
              <w:t>Other information</w:t>
            </w:r>
          </w:p>
        </w:tc>
      </w:tr>
      <w:tr w14:paraId="545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21" w:type="dxa"/>
            <w:tcBorders/>
            <w:vAlign w:val="center"/>
          </w:tcPr>
          <w:p w14:paraId="16A0CEFF">
            <w:pPr>
              <w:jc w:val="both"/>
              <w:rPr>
                <w:rFonts w:hint="eastAsia" w:ascii="Times" w:hAnsi="Times" w:eastAsia="Arial" w:cs="Arial"/>
                <w:sz w:val="21"/>
                <w:szCs w:val="21"/>
                <w:highlight w:val="none"/>
                <w:lang w:val="en-US" w:eastAsia="zh-CN"/>
              </w:rPr>
            </w:pPr>
            <w:r>
              <w:rPr>
                <w:rFonts w:hint="eastAsia" w:ascii="Times" w:hAnsi="Times" w:eastAsia="Arial" w:cs="Arial"/>
                <w:sz w:val="21"/>
                <w:szCs w:val="21"/>
                <w:highlight w:val="none"/>
                <w:lang w:val="en-US" w:eastAsia="zh-CN"/>
              </w:rPr>
              <w:t>Funding</w:t>
            </w:r>
          </w:p>
        </w:tc>
        <w:tc>
          <w:tcPr>
            <w:tcW w:w="629" w:type="dxa"/>
            <w:vAlign w:val="center"/>
          </w:tcPr>
          <w:p w14:paraId="0BC220DA">
            <w:pPr>
              <w:jc w:val="both"/>
              <w:rPr>
                <w:rFonts w:hint="default"/>
                <w:vertAlign w:val="baseline"/>
                <w:lang w:val="en-US" w:eastAsia="zh-CN"/>
              </w:rPr>
            </w:pPr>
            <w:r>
              <w:rPr>
                <w:rFonts w:hint="eastAsia"/>
                <w:vertAlign w:val="baseline"/>
                <w:lang w:val="en-US" w:eastAsia="zh-CN"/>
              </w:rPr>
              <w:t>16</w:t>
            </w:r>
          </w:p>
        </w:tc>
        <w:tc>
          <w:tcPr>
            <w:tcW w:w="6594" w:type="dxa"/>
          </w:tcPr>
          <w:p w14:paraId="5137AB16">
            <w:pPr>
              <w:tabs>
                <w:tab w:val="left" w:pos="813"/>
              </w:tabs>
              <w:bidi w:val="0"/>
              <w:jc w:val="left"/>
              <w:rPr>
                <w:rFonts w:hint="default" w:ascii="Times" w:hAnsi="Times" w:eastAsia="Arial" w:cs="Arial"/>
                <w:sz w:val="21"/>
                <w:szCs w:val="21"/>
                <w:highlight w:val="none"/>
                <w:lang w:val="en-US" w:eastAsia="zh-CN"/>
              </w:rPr>
            </w:pPr>
            <w:r>
              <w:rPr>
                <w:rFonts w:hint="default" w:ascii="Times" w:hAnsi="Times" w:eastAsia="Arial" w:cs="Arial"/>
                <w:sz w:val="21"/>
                <w:szCs w:val="21"/>
                <w:highlight w:val="none"/>
                <w:lang w:val="en-US" w:eastAsia="zh-CN"/>
              </w:rPr>
              <w:t>The authors declare that no funds, grants, or other support were received during the preparation of this manuscript.</w:t>
            </w:r>
          </w:p>
          <w:p w14:paraId="41F976F5">
            <w:pPr>
              <w:tabs>
                <w:tab w:val="left" w:pos="813"/>
              </w:tabs>
              <w:bidi w:val="0"/>
              <w:jc w:val="left"/>
              <w:rPr>
                <w:rFonts w:hint="default" w:ascii="Times" w:hAnsi="Times" w:eastAsia="Arial" w:cs="Arial"/>
                <w:sz w:val="21"/>
                <w:szCs w:val="21"/>
                <w:highlight w:val="none"/>
                <w:lang w:val="en-US" w:eastAsia="zh-CN"/>
              </w:rPr>
            </w:pPr>
          </w:p>
        </w:tc>
        <w:tc>
          <w:tcPr>
            <w:tcW w:w="1608" w:type="dxa"/>
            <w:vAlign w:val="center"/>
          </w:tcPr>
          <w:p w14:paraId="280D87A9">
            <w:pPr>
              <w:jc w:val="center"/>
              <w:rPr>
                <w:rFonts w:hint="default"/>
                <w:vertAlign w:val="baseline"/>
                <w:lang w:val="en-US" w:eastAsia="zh-CN"/>
              </w:rPr>
            </w:pPr>
            <w:r>
              <w:rPr>
                <w:rFonts w:hint="eastAsia"/>
                <w:vertAlign w:val="baseline"/>
                <w:lang w:val="en-US" w:eastAsia="zh-CN"/>
              </w:rPr>
              <w:t>311-312</w:t>
            </w:r>
          </w:p>
        </w:tc>
      </w:tr>
    </w:tbl>
    <w:p w14:paraId="3F3D8E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337D"/>
    <w:rsid w:val="130D7532"/>
    <w:rsid w:val="2A81520E"/>
    <w:rsid w:val="2DBF0527"/>
    <w:rsid w:val="2E50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
    <w:qFormat/>
    <w:uiPriority w:val="0"/>
    <w:pPr>
      <w:spacing w:line="276" w:lineRule="auto"/>
      <w:contextualSpacing/>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2025-01-13T12:32:37Z</dcterms:created>
  <dc:creator>huawei</dc:creator>
  <cp:lastModifiedBy>着肚费赐险</cp:lastModifiedBy>
  <dcterms:modified xsi:type="dcterms:W3CDTF">2025-01-13T14:31:48Z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eyJoZGlkIjoiZmIwOGU4MjMxYTFjMGIzNDRlOTEyZDE3MTc5NmY3ZWMiLCJ1c2VySWQiOiIxNjcxNDkwMDUzIn0=</vt:lpwstr>
  </property>
  <property fmtid="{D5CDD505-2E9C-101B-9397-08002B2CF9AE}" pid="4" name="ICV">
    <vt:lpwstr>A22C53D477CE4F6786866EE9FB0FD5B3_12</vt:lpwstr>
  </property>
</Properties>
</file>